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1C771">
      <w:pPr>
        <w:spacing w:line="240" w:lineRule="auto"/>
        <w:ind w:firstLine="0" w:firstLineChars="0"/>
        <w:jc w:val="center"/>
        <w:rPr>
          <w:rFonts w:ascii="Times New Roman" w:hAnsi="Times New Roman" w:eastAsia="方正小标宋简体"/>
          <w:sz w:val="52"/>
          <w:szCs w:val="52"/>
        </w:rPr>
      </w:pPr>
      <w:bookmarkStart w:id="0" w:name="_bookmark3"/>
      <w:bookmarkEnd w:id="0"/>
      <w:bookmarkStart w:id="1" w:name="_bookmark2"/>
      <w:bookmarkEnd w:id="1"/>
      <w:bookmarkStart w:id="2" w:name="_Toc139528574"/>
    </w:p>
    <w:p w14:paraId="121FCDFA">
      <w:pPr>
        <w:spacing w:line="240" w:lineRule="auto"/>
        <w:ind w:firstLine="0" w:firstLineChars="0"/>
        <w:jc w:val="center"/>
        <w:rPr>
          <w:rFonts w:ascii="Times New Roman" w:hAnsi="Times New Roman" w:eastAsia="方正小标宋简体"/>
          <w:sz w:val="52"/>
          <w:szCs w:val="52"/>
        </w:rPr>
      </w:pPr>
    </w:p>
    <w:p w14:paraId="158873A9">
      <w:pPr>
        <w:spacing w:line="1100" w:lineRule="exact"/>
        <w:ind w:firstLine="0" w:firstLineChars="0"/>
        <w:jc w:val="center"/>
        <w:rPr>
          <w:rFonts w:ascii="Times New Roman" w:hAnsi="Times New Roman" w:eastAsia="方正小标宋简体"/>
          <w:sz w:val="72"/>
          <w:szCs w:val="72"/>
        </w:rPr>
      </w:pPr>
      <w:r>
        <w:rPr>
          <w:rFonts w:ascii="Times New Roman" w:hAnsi="Times New Roman" w:eastAsia="方正小标宋简体"/>
          <w:sz w:val="72"/>
          <w:szCs w:val="72"/>
        </w:rPr>
        <w:t>随州市青春化工工业园</w:t>
      </w:r>
      <w:r>
        <w:rPr>
          <w:rFonts w:hint="eastAsia" w:ascii="Times New Roman" w:hAnsi="Times New Roman" w:eastAsia="方正小标宋简体"/>
          <w:sz w:val="72"/>
          <w:szCs w:val="72"/>
        </w:rPr>
        <w:t>区</w:t>
      </w:r>
    </w:p>
    <w:p w14:paraId="7385693D">
      <w:pPr>
        <w:spacing w:line="1100" w:lineRule="exact"/>
        <w:ind w:firstLine="0" w:firstLineChars="0"/>
        <w:jc w:val="center"/>
        <w:rPr>
          <w:rFonts w:ascii="Times New Roman" w:hAnsi="Times New Roman" w:eastAsia="方正小标宋简体"/>
          <w:sz w:val="72"/>
          <w:szCs w:val="72"/>
        </w:rPr>
      </w:pPr>
      <w:r>
        <w:rPr>
          <w:rFonts w:hint="eastAsia" w:ascii="Times New Roman" w:hAnsi="Times New Roman" w:eastAsia="方正小标宋简体"/>
          <w:sz w:val="72"/>
          <w:szCs w:val="72"/>
        </w:rPr>
        <w:t>管理制度汇编</w:t>
      </w:r>
    </w:p>
    <w:p w14:paraId="0CF9453F">
      <w:pPr>
        <w:spacing w:line="240" w:lineRule="auto"/>
        <w:ind w:firstLine="0" w:firstLineChars="0"/>
        <w:jc w:val="center"/>
        <w:rPr>
          <w:rFonts w:hint="eastAsia" w:ascii="Times New Roman" w:hAnsi="Times New Roman" w:eastAsia="方正小标宋简体"/>
          <w:sz w:val="72"/>
          <w:szCs w:val="72"/>
        </w:rPr>
      </w:pPr>
    </w:p>
    <w:p w14:paraId="6E5D2030">
      <w:pPr>
        <w:adjustRightInd w:val="0"/>
        <w:snapToGrid w:val="0"/>
        <w:spacing w:line="240" w:lineRule="auto"/>
        <w:ind w:firstLine="0" w:firstLineChars="0"/>
        <w:jc w:val="center"/>
        <w:rPr>
          <w:rFonts w:ascii="Times New Roman" w:hAnsi="Times New Roman" w:eastAsia="方正小标宋简体"/>
          <w:sz w:val="52"/>
          <w:szCs w:val="52"/>
        </w:rPr>
      </w:pPr>
    </w:p>
    <w:p w14:paraId="489A5F44">
      <w:pPr>
        <w:adjustRightInd w:val="0"/>
        <w:snapToGrid w:val="0"/>
        <w:spacing w:line="240" w:lineRule="auto"/>
        <w:ind w:firstLine="0" w:firstLineChars="0"/>
        <w:jc w:val="center"/>
        <w:rPr>
          <w:rFonts w:ascii="Times New Roman" w:hAnsi="Times New Roman" w:eastAsia="方正小标宋_GBK"/>
          <w:sz w:val="52"/>
          <w:szCs w:val="52"/>
        </w:rPr>
      </w:pPr>
    </w:p>
    <w:bookmarkEnd w:id="2"/>
    <w:p w14:paraId="716B6EAA">
      <w:pPr>
        <w:adjustRightInd w:val="0"/>
        <w:snapToGrid w:val="0"/>
        <w:spacing w:line="240" w:lineRule="auto"/>
        <w:ind w:firstLine="0" w:firstLineChars="0"/>
        <w:jc w:val="center"/>
        <w:rPr>
          <w:rFonts w:ascii="Times New Roman" w:hAnsi="Times New Roman" w:eastAsia="方正小标宋_GBK"/>
          <w:sz w:val="52"/>
          <w:szCs w:val="52"/>
        </w:rPr>
      </w:pPr>
    </w:p>
    <w:p w14:paraId="76BB4A7F">
      <w:pPr>
        <w:adjustRightInd w:val="0"/>
        <w:snapToGrid w:val="0"/>
        <w:spacing w:line="240" w:lineRule="auto"/>
        <w:ind w:firstLine="0" w:firstLineChars="0"/>
        <w:jc w:val="center"/>
        <w:rPr>
          <w:rFonts w:ascii="Times New Roman" w:hAnsi="Times New Roman" w:eastAsia="方正小标宋_GBK"/>
          <w:sz w:val="52"/>
          <w:szCs w:val="52"/>
        </w:rPr>
      </w:pPr>
    </w:p>
    <w:p w14:paraId="1891DD89">
      <w:pPr>
        <w:adjustRightInd w:val="0"/>
        <w:snapToGrid w:val="0"/>
        <w:spacing w:line="240" w:lineRule="auto"/>
        <w:ind w:firstLine="0" w:firstLineChars="0"/>
        <w:jc w:val="center"/>
        <w:rPr>
          <w:rFonts w:ascii="Times New Roman" w:hAnsi="Times New Roman" w:eastAsia="方正小标宋_GBK"/>
          <w:sz w:val="52"/>
          <w:szCs w:val="52"/>
        </w:rPr>
      </w:pPr>
    </w:p>
    <w:p w14:paraId="619DB240">
      <w:pPr>
        <w:adjustRightInd w:val="0"/>
        <w:snapToGrid w:val="0"/>
        <w:spacing w:line="240" w:lineRule="auto"/>
        <w:ind w:firstLine="0" w:firstLineChars="0"/>
        <w:jc w:val="center"/>
        <w:rPr>
          <w:rFonts w:ascii="Times New Roman" w:hAnsi="Times New Roman" w:eastAsia="方正小标宋_GBK"/>
          <w:sz w:val="52"/>
          <w:szCs w:val="52"/>
        </w:rPr>
      </w:pPr>
    </w:p>
    <w:p w14:paraId="355F38D4">
      <w:pPr>
        <w:adjustRightInd w:val="0"/>
        <w:snapToGrid w:val="0"/>
        <w:spacing w:line="240" w:lineRule="auto"/>
        <w:ind w:firstLine="0" w:firstLineChars="0"/>
        <w:jc w:val="center"/>
        <w:rPr>
          <w:rFonts w:ascii="Times New Roman" w:hAnsi="Times New Roman" w:eastAsia="方正小标宋_GBK"/>
          <w:sz w:val="52"/>
          <w:szCs w:val="52"/>
        </w:rPr>
      </w:pPr>
    </w:p>
    <w:p w14:paraId="3B526080">
      <w:pPr>
        <w:adjustRightInd w:val="0"/>
        <w:snapToGrid w:val="0"/>
        <w:spacing w:line="240" w:lineRule="auto"/>
        <w:ind w:firstLine="0" w:firstLineChars="0"/>
        <w:jc w:val="center"/>
        <w:rPr>
          <w:rFonts w:ascii="Times New Roman" w:hAnsi="Times New Roman" w:eastAsia="方正小标宋_GBK"/>
          <w:sz w:val="52"/>
          <w:szCs w:val="52"/>
        </w:rPr>
      </w:pPr>
    </w:p>
    <w:p w14:paraId="71F495FB">
      <w:pPr>
        <w:adjustRightInd w:val="0"/>
        <w:snapToGrid w:val="0"/>
        <w:spacing w:line="240" w:lineRule="auto"/>
        <w:ind w:firstLine="0" w:firstLineChars="0"/>
        <w:jc w:val="center"/>
        <w:rPr>
          <w:rFonts w:hint="eastAsia" w:ascii="Times New Roman" w:hAnsi="Times New Roman" w:eastAsia="方正小标宋_GBK"/>
          <w:sz w:val="52"/>
          <w:szCs w:val="52"/>
        </w:rPr>
      </w:pPr>
    </w:p>
    <w:p w14:paraId="4C08DA95">
      <w:pPr>
        <w:adjustRightInd w:val="0"/>
        <w:snapToGrid w:val="0"/>
        <w:spacing w:line="240" w:lineRule="auto"/>
        <w:ind w:firstLine="0" w:firstLineChars="0"/>
        <w:rPr>
          <w:rFonts w:ascii="Times New Roman" w:hAnsi="Times New Roman" w:eastAsia="方正小标宋_GBK"/>
          <w:sz w:val="52"/>
          <w:szCs w:val="52"/>
        </w:rPr>
      </w:pPr>
    </w:p>
    <w:p w14:paraId="2E1CF21B">
      <w:pPr>
        <w:ind w:firstLine="0" w:firstLineChars="0"/>
        <w:jc w:val="center"/>
        <w:rPr>
          <w:rFonts w:ascii="Times New Roman" w:hAnsi="Times New Roman" w:eastAsia="黑体"/>
          <w:sz w:val="36"/>
          <w:szCs w:val="36"/>
        </w:rPr>
      </w:pPr>
      <w:r>
        <w:rPr>
          <w:rFonts w:ascii="Times New Roman" w:hAnsi="Times New Roman" w:eastAsia="黑体"/>
          <w:sz w:val="36"/>
          <w:szCs w:val="36"/>
        </w:rPr>
        <w:t>随州高新技术产业开发区管理委员会</w:t>
      </w:r>
    </w:p>
    <w:p w14:paraId="3E6FFA96">
      <w:pPr>
        <w:ind w:firstLine="0" w:firstLineChars="0"/>
        <w:jc w:val="center"/>
        <w:rPr>
          <w:rFonts w:ascii="Times New Roman" w:hAnsi="Times New Roman" w:eastAsia="黑体"/>
          <w:sz w:val="36"/>
          <w:szCs w:val="36"/>
        </w:rPr>
      </w:pPr>
      <w:r>
        <w:rPr>
          <w:rFonts w:ascii="Times New Roman" w:hAnsi="Times New Roman" w:eastAsia="黑体"/>
          <w:sz w:val="36"/>
          <w:szCs w:val="36"/>
        </w:rPr>
        <w:t>202</w:t>
      </w:r>
      <w:r>
        <w:rPr>
          <w:rFonts w:hint="eastAsia" w:ascii="Times New Roman" w:hAnsi="Times New Roman" w:eastAsia="黑体"/>
          <w:sz w:val="36"/>
          <w:szCs w:val="36"/>
        </w:rPr>
        <w:t>5</w:t>
      </w:r>
      <w:r>
        <w:rPr>
          <w:rFonts w:ascii="Times New Roman" w:hAnsi="Times New Roman" w:eastAsia="黑体"/>
          <w:sz w:val="36"/>
          <w:szCs w:val="36"/>
        </w:rPr>
        <w:t>年</w:t>
      </w:r>
      <w:r>
        <w:rPr>
          <w:rFonts w:hint="eastAsia" w:ascii="Times New Roman" w:hAnsi="Times New Roman" w:eastAsia="黑体"/>
          <w:sz w:val="36"/>
          <w:szCs w:val="36"/>
          <w:lang w:val="en-US" w:eastAsia="zh-CN"/>
        </w:rPr>
        <w:t>6</w:t>
      </w:r>
      <w:r>
        <w:rPr>
          <w:rFonts w:ascii="Times New Roman" w:hAnsi="Times New Roman" w:eastAsia="黑体"/>
          <w:sz w:val="36"/>
          <w:szCs w:val="36"/>
        </w:rPr>
        <w:t>月</w:t>
      </w:r>
    </w:p>
    <w:p w14:paraId="3CE406D5">
      <w:pPr>
        <w:widowControl/>
        <w:spacing w:line="240" w:lineRule="auto"/>
        <w:ind w:firstLine="0" w:firstLineChars="0"/>
        <w:jc w:val="left"/>
        <w:rPr>
          <w:rFonts w:ascii="Times New Roman" w:hAnsi="Times New Roman"/>
        </w:rPr>
      </w:pPr>
      <w:r>
        <w:rPr>
          <w:rFonts w:ascii="Times New Roman" w:hAnsi="Times New Roman"/>
        </w:rPr>
        <w:br w:type="page"/>
      </w:r>
    </w:p>
    <w:p w14:paraId="3BDCDF9E">
      <w:pPr>
        <w:ind w:firstLine="640"/>
        <w:rPr>
          <w:rFonts w:ascii="Times New Roman" w:hAnsi="Times New Roman"/>
        </w:rPr>
      </w:pPr>
    </w:p>
    <w:p w14:paraId="260D5B34">
      <w:pPr>
        <w:ind w:firstLine="0" w:firstLineChars="0"/>
        <w:jc w:val="center"/>
        <w:rPr>
          <w:rFonts w:ascii="黑体" w:hAnsi="黑体" w:eastAsia="黑体"/>
          <w:sz w:val="36"/>
          <w:szCs w:val="36"/>
        </w:rPr>
      </w:pPr>
      <w:r>
        <w:rPr>
          <w:rFonts w:hint="eastAsia" w:ascii="方正小标宋简体" w:eastAsia="方正小标宋简体"/>
          <w:sz w:val="44"/>
          <w:szCs w:val="44"/>
        </w:rPr>
        <w:t>制度汇编修订</w:t>
      </w:r>
    </w:p>
    <w:p w14:paraId="21B37941">
      <w:pPr>
        <w:ind w:firstLine="0" w:firstLineChars="0"/>
        <w:jc w:val="center"/>
        <w:rPr>
          <w:rFonts w:hint="eastAsia" w:ascii="黑体" w:hAnsi="黑体" w:eastAsia="黑体"/>
          <w:sz w:val="36"/>
          <w:szCs w:val="36"/>
        </w:rPr>
      </w:pPr>
      <w:r>
        <w:rPr>
          <w:rFonts w:hint="eastAsia" w:ascii="黑体" w:hAnsi="黑体" w:eastAsia="黑体"/>
          <w:sz w:val="36"/>
          <w:szCs w:val="36"/>
        </w:rPr>
        <w:t xml:space="preserv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861"/>
        <w:gridCol w:w="4306"/>
        <w:gridCol w:w="1391"/>
        <w:gridCol w:w="1076"/>
      </w:tblGrid>
      <w:tr w14:paraId="38AF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74" w:type="dxa"/>
            <w:tcBorders>
              <w:top w:val="single" w:color="auto" w:sz="4" w:space="0"/>
              <w:left w:val="single" w:color="auto" w:sz="4" w:space="0"/>
              <w:bottom w:val="single" w:color="auto" w:sz="4" w:space="0"/>
              <w:right w:val="single" w:color="auto" w:sz="4" w:space="0"/>
            </w:tcBorders>
            <w:vAlign w:val="center"/>
          </w:tcPr>
          <w:p w14:paraId="5527AA48">
            <w:pPr>
              <w:ind w:firstLine="0" w:firstLineChars="0"/>
              <w:jc w:val="center"/>
              <w:rPr>
                <w:rFonts w:hint="eastAsia" w:hAnsi="Times New Roman"/>
                <w:b/>
                <w:bCs/>
                <w:sz w:val="28"/>
                <w:szCs w:val="28"/>
              </w:rPr>
            </w:pPr>
            <w:r>
              <w:rPr>
                <w:rFonts w:hint="eastAsia"/>
                <w:b/>
                <w:bCs/>
                <w:sz w:val="28"/>
                <w:szCs w:val="28"/>
              </w:rPr>
              <w:t>序号</w:t>
            </w:r>
          </w:p>
        </w:tc>
        <w:tc>
          <w:tcPr>
            <w:tcW w:w="861" w:type="dxa"/>
            <w:tcBorders>
              <w:top w:val="single" w:color="auto" w:sz="4" w:space="0"/>
              <w:left w:val="single" w:color="auto" w:sz="4" w:space="0"/>
              <w:bottom w:val="single" w:color="auto" w:sz="4" w:space="0"/>
              <w:right w:val="single" w:color="auto" w:sz="4" w:space="0"/>
            </w:tcBorders>
            <w:vAlign w:val="center"/>
          </w:tcPr>
          <w:p w14:paraId="67B3A263">
            <w:pPr>
              <w:ind w:firstLine="0" w:firstLineChars="0"/>
              <w:jc w:val="center"/>
              <w:rPr>
                <w:rFonts w:hint="eastAsia"/>
                <w:b/>
                <w:bCs/>
                <w:sz w:val="28"/>
                <w:szCs w:val="28"/>
              </w:rPr>
            </w:pPr>
            <w:r>
              <w:rPr>
                <w:rFonts w:hint="eastAsia"/>
                <w:b/>
                <w:bCs/>
                <w:sz w:val="28"/>
                <w:szCs w:val="28"/>
              </w:rPr>
              <w:t>版本</w:t>
            </w:r>
          </w:p>
        </w:tc>
        <w:tc>
          <w:tcPr>
            <w:tcW w:w="4306" w:type="dxa"/>
            <w:tcBorders>
              <w:top w:val="single" w:color="auto" w:sz="4" w:space="0"/>
              <w:left w:val="single" w:color="auto" w:sz="4" w:space="0"/>
              <w:bottom w:val="single" w:color="auto" w:sz="4" w:space="0"/>
              <w:right w:val="single" w:color="auto" w:sz="4" w:space="0"/>
            </w:tcBorders>
            <w:vAlign w:val="center"/>
          </w:tcPr>
          <w:p w14:paraId="73F8C687">
            <w:pPr>
              <w:ind w:firstLine="0" w:firstLineChars="0"/>
              <w:jc w:val="center"/>
              <w:rPr>
                <w:rFonts w:hint="eastAsia"/>
                <w:b/>
                <w:bCs/>
                <w:sz w:val="28"/>
                <w:szCs w:val="28"/>
              </w:rPr>
            </w:pPr>
            <w:r>
              <w:rPr>
                <w:rFonts w:hint="eastAsia"/>
                <w:b/>
                <w:bCs/>
                <w:sz w:val="28"/>
                <w:szCs w:val="28"/>
              </w:rPr>
              <w:t>修订内容</w:t>
            </w:r>
          </w:p>
        </w:tc>
        <w:tc>
          <w:tcPr>
            <w:tcW w:w="1391" w:type="dxa"/>
            <w:tcBorders>
              <w:top w:val="single" w:color="auto" w:sz="4" w:space="0"/>
              <w:left w:val="single" w:color="auto" w:sz="4" w:space="0"/>
              <w:bottom w:val="single" w:color="auto" w:sz="4" w:space="0"/>
              <w:right w:val="single" w:color="auto" w:sz="4" w:space="0"/>
            </w:tcBorders>
            <w:vAlign w:val="center"/>
          </w:tcPr>
          <w:p w14:paraId="13971C05">
            <w:pPr>
              <w:ind w:firstLine="0" w:firstLineChars="0"/>
              <w:jc w:val="center"/>
              <w:rPr>
                <w:rFonts w:hint="eastAsia"/>
                <w:b/>
                <w:bCs/>
                <w:sz w:val="28"/>
                <w:szCs w:val="28"/>
              </w:rPr>
            </w:pPr>
            <w:r>
              <w:rPr>
                <w:rFonts w:hint="eastAsia"/>
                <w:b/>
                <w:bCs/>
                <w:sz w:val="28"/>
                <w:szCs w:val="28"/>
              </w:rPr>
              <w:t>修订时间</w:t>
            </w:r>
          </w:p>
        </w:tc>
        <w:tc>
          <w:tcPr>
            <w:tcW w:w="1076" w:type="dxa"/>
            <w:tcBorders>
              <w:top w:val="single" w:color="auto" w:sz="4" w:space="0"/>
              <w:left w:val="single" w:color="auto" w:sz="4" w:space="0"/>
              <w:bottom w:val="single" w:color="auto" w:sz="4" w:space="0"/>
              <w:right w:val="single" w:color="auto" w:sz="4" w:space="0"/>
            </w:tcBorders>
            <w:vAlign w:val="center"/>
          </w:tcPr>
          <w:p w14:paraId="26E96E42">
            <w:pPr>
              <w:ind w:firstLine="0" w:firstLineChars="0"/>
              <w:jc w:val="center"/>
              <w:rPr>
                <w:rFonts w:hint="eastAsia"/>
                <w:b/>
                <w:bCs/>
                <w:sz w:val="28"/>
                <w:szCs w:val="28"/>
              </w:rPr>
            </w:pPr>
            <w:r>
              <w:rPr>
                <w:rFonts w:hint="eastAsia"/>
                <w:b/>
                <w:bCs/>
                <w:sz w:val="28"/>
                <w:szCs w:val="28"/>
              </w:rPr>
              <w:t>修订人</w:t>
            </w:r>
          </w:p>
        </w:tc>
      </w:tr>
      <w:tr w14:paraId="14AC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74" w:type="dxa"/>
            <w:tcBorders>
              <w:top w:val="single" w:color="auto" w:sz="4" w:space="0"/>
              <w:left w:val="single" w:color="auto" w:sz="4" w:space="0"/>
              <w:bottom w:val="single" w:color="auto" w:sz="4" w:space="0"/>
              <w:right w:val="single" w:color="auto" w:sz="4" w:space="0"/>
            </w:tcBorders>
            <w:vAlign w:val="center"/>
          </w:tcPr>
          <w:p w14:paraId="6885A601">
            <w:pPr>
              <w:ind w:firstLine="0" w:firstLineChars="0"/>
              <w:jc w:val="center"/>
              <w:rPr>
                <w:rFonts w:hint="eastAsia" w:ascii="Times New Roman"/>
                <w:sz w:val="24"/>
                <w:szCs w:val="24"/>
              </w:rPr>
            </w:pPr>
            <w:r>
              <w:rPr>
                <w:sz w:val="24"/>
                <w:szCs w:val="24"/>
              </w:rPr>
              <w:t>1</w:t>
            </w:r>
          </w:p>
        </w:tc>
        <w:tc>
          <w:tcPr>
            <w:tcW w:w="861" w:type="dxa"/>
            <w:tcBorders>
              <w:top w:val="single" w:color="auto" w:sz="4" w:space="0"/>
              <w:left w:val="single" w:color="auto" w:sz="4" w:space="0"/>
              <w:bottom w:val="single" w:color="auto" w:sz="4" w:space="0"/>
              <w:right w:val="single" w:color="auto" w:sz="4" w:space="0"/>
            </w:tcBorders>
            <w:vAlign w:val="center"/>
          </w:tcPr>
          <w:p w14:paraId="30AEF027">
            <w:pPr>
              <w:ind w:firstLine="0" w:firstLineChars="0"/>
              <w:jc w:val="center"/>
              <w:rPr>
                <w:sz w:val="24"/>
                <w:szCs w:val="24"/>
              </w:rPr>
            </w:pPr>
            <w:r>
              <w:rPr>
                <w:sz w:val="24"/>
                <w:szCs w:val="24"/>
              </w:rPr>
              <w:t>V1.0</w:t>
            </w:r>
          </w:p>
        </w:tc>
        <w:tc>
          <w:tcPr>
            <w:tcW w:w="4306" w:type="dxa"/>
            <w:tcBorders>
              <w:top w:val="single" w:color="auto" w:sz="4" w:space="0"/>
              <w:left w:val="single" w:color="auto" w:sz="4" w:space="0"/>
              <w:bottom w:val="single" w:color="auto" w:sz="4" w:space="0"/>
              <w:right w:val="single" w:color="auto" w:sz="4" w:space="0"/>
            </w:tcBorders>
            <w:vAlign w:val="center"/>
          </w:tcPr>
          <w:p w14:paraId="058E6EF7">
            <w:pPr>
              <w:ind w:firstLine="0" w:firstLineChars="0"/>
              <w:rPr>
                <w:sz w:val="24"/>
                <w:szCs w:val="24"/>
              </w:rPr>
            </w:pPr>
            <w:r>
              <w:rPr>
                <w:rFonts w:hint="eastAsia"/>
                <w:sz w:val="24"/>
                <w:szCs w:val="24"/>
              </w:rPr>
              <w:t>新编</w:t>
            </w:r>
          </w:p>
        </w:tc>
        <w:tc>
          <w:tcPr>
            <w:tcW w:w="1391" w:type="dxa"/>
            <w:tcBorders>
              <w:top w:val="single" w:color="auto" w:sz="4" w:space="0"/>
              <w:left w:val="single" w:color="auto" w:sz="4" w:space="0"/>
              <w:bottom w:val="single" w:color="auto" w:sz="4" w:space="0"/>
              <w:right w:val="single" w:color="auto" w:sz="4" w:space="0"/>
            </w:tcBorders>
            <w:vAlign w:val="center"/>
          </w:tcPr>
          <w:p w14:paraId="6BE998CA">
            <w:pPr>
              <w:ind w:firstLine="0" w:firstLineChars="0"/>
              <w:jc w:val="center"/>
              <w:rPr>
                <w:rFonts w:hint="eastAsia"/>
                <w:sz w:val="24"/>
                <w:szCs w:val="24"/>
              </w:rPr>
            </w:pPr>
            <w:r>
              <w:rPr>
                <w:sz w:val="24"/>
                <w:szCs w:val="24"/>
              </w:rPr>
              <w:t>202</w:t>
            </w:r>
            <w:r>
              <w:rPr>
                <w:rFonts w:hint="eastAsia"/>
                <w:sz w:val="24"/>
                <w:szCs w:val="24"/>
              </w:rPr>
              <w:t>4</w:t>
            </w:r>
            <w:r>
              <w:rPr>
                <w:sz w:val="24"/>
                <w:szCs w:val="24"/>
              </w:rPr>
              <w:t>/</w:t>
            </w:r>
            <w:r>
              <w:rPr>
                <w:rFonts w:hint="eastAsia"/>
                <w:sz w:val="24"/>
                <w:szCs w:val="24"/>
              </w:rPr>
              <w:t>6</w:t>
            </w:r>
          </w:p>
        </w:tc>
        <w:tc>
          <w:tcPr>
            <w:tcW w:w="1076" w:type="dxa"/>
            <w:tcBorders>
              <w:top w:val="single" w:color="auto" w:sz="4" w:space="0"/>
              <w:left w:val="single" w:color="auto" w:sz="4" w:space="0"/>
              <w:bottom w:val="single" w:color="auto" w:sz="4" w:space="0"/>
              <w:right w:val="single" w:color="auto" w:sz="4" w:space="0"/>
            </w:tcBorders>
            <w:vAlign w:val="center"/>
          </w:tcPr>
          <w:p w14:paraId="0C39EB5E">
            <w:pPr>
              <w:ind w:firstLine="0" w:firstLineChars="0"/>
              <w:jc w:val="center"/>
              <w:rPr>
                <w:rFonts w:hint="eastAsia"/>
                <w:sz w:val="24"/>
                <w:szCs w:val="24"/>
              </w:rPr>
            </w:pPr>
            <w:r>
              <w:rPr>
                <w:rFonts w:hint="eastAsia"/>
                <w:sz w:val="24"/>
                <w:szCs w:val="24"/>
              </w:rPr>
              <w:t>郑  俊</w:t>
            </w:r>
          </w:p>
        </w:tc>
      </w:tr>
      <w:tr w14:paraId="11D3A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Borders>
              <w:top w:val="single" w:color="auto" w:sz="4" w:space="0"/>
              <w:left w:val="single" w:color="auto" w:sz="4" w:space="0"/>
              <w:bottom w:val="single" w:color="auto" w:sz="4" w:space="0"/>
              <w:right w:val="single" w:color="auto" w:sz="4" w:space="0"/>
            </w:tcBorders>
            <w:vAlign w:val="center"/>
          </w:tcPr>
          <w:p w14:paraId="17D64EDD">
            <w:pPr>
              <w:ind w:firstLine="0" w:firstLineChars="0"/>
              <w:jc w:val="center"/>
              <w:rPr>
                <w:rFonts w:hint="eastAsia" w:ascii="Times New Roman"/>
                <w:sz w:val="24"/>
                <w:szCs w:val="24"/>
              </w:rPr>
            </w:pPr>
            <w:r>
              <w:rPr>
                <w:sz w:val="24"/>
                <w:szCs w:val="24"/>
              </w:rPr>
              <w:t>2</w:t>
            </w:r>
          </w:p>
        </w:tc>
        <w:tc>
          <w:tcPr>
            <w:tcW w:w="861" w:type="dxa"/>
            <w:tcBorders>
              <w:top w:val="single" w:color="auto" w:sz="4" w:space="0"/>
              <w:left w:val="single" w:color="auto" w:sz="4" w:space="0"/>
              <w:bottom w:val="single" w:color="auto" w:sz="4" w:space="0"/>
              <w:right w:val="single" w:color="auto" w:sz="4" w:space="0"/>
            </w:tcBorders>
            <w:vAlign w:val="center"/>
          </w:tcPr>
          <w:p w14:paraId="4648AFF3">
            <w:pPr>
              <w:ind w:firstLine="0" w:firstLineChars="0"/>
              <w:jc w:val="center"/>
              <w:rPr>
                <w:sz w:val="24"/>
                <w:szCs w:val="24"/>
              </w:rPr>
            </w:pPr>
            <w:r>
              <w:rPr>
                <w:sz w:val="24"/>
                <w:szCs w:val="24"/>
              </w:rPr>
              <w:t>V1.1</w:t>
            </w:r>
          </w:p>
        </w:tc>
        <w:tc>
          <w:tcPr>
            <w:tcW w:w="4306" w:type="dxa"/>
            <w:tcBorders>
              <w:top w:val="single" w:color="auto" w:sz="4" w:space="0"/>
              <w:left w:val="single" w:color="auto" w:sz="4" w:space="0"/>
              <w:bottom w:val="single" w:color="auto" w:sz="4" w:space="0"/>
              <w:right w:val="single" w:color="auto" w:sz="4" w:space="0"/>
            </w:tcBorders>
            <w:vAlign w:val="center"/>
          </w:tcPr>
          <w:p w14:paraId="150B2D28">
            <w:pPr>
              <w:numPr>
                <w:ilvl w:val="0"/>
                <w:numId w:val="2"/>
              </w:numPr>
              <w:spacing w:line="400" w:lineRule="exact"/>
              <w:ind w:firstLineChars="0"/>
              <w:jc w:val="left"/>
              <w:rPr>
                <w:sz w:val="24"/>
                <w:szCs w:val="24"/>
              </w:rPr>
            </w:pPr>
            <w:r>
              <w:rPr>
                <w:rFonts w:hint="eastAsia"/>
                <w:sz w:val="24"/>
                <w:szCs w:val="24"/>
              </w:rPr>
              <w:t>新增公用工程、三方、特殊安全等安全管理制度；</w:t>
            </w:r>
          </w:p>
          <w:p w14:paraId="59B53C02">
            <w:pPr>
              <w:numPr>
                <w:ilvl w:val="0"/>
                <w:numId w:val="2"/>
              </w:numPr>
              <w:spacing w:line="400" w:lineRule="exact"/>
              <w:ind w:firstLineChars="0"/>
              <w:jc w:val="left"/>
              <w:rPr>
                <w:rFonts w:hint="eastAsia"/>
                <w:sz w:val="24"/>
                <w:szCs w:val="24"/>
              </w:rPr>
            </w:pPr>
            <w:r>
              <w:rPr>
                <w:rFonts w:hint="eastAsia"/>
                <w:sz w:val="24"/>
                <w:szCs w:val="24"/>
              </w:rPr>
              <w:t>修订项目准入与承包商等管理制度。</w:t>
            </w:r>
          </w:p>
        </w:tc>
        <w:tc>
          <w:tcPr>
            <w:tcW w:w="1391" w:type="dxa"/>
            <w:tcBorders>
              <w:top w:val="single" w:color="auto" w:sz="4" w:space="0"/>
              <w:left w:val="single" w:color="auto" w:sz="4" w:space="0"/>
              <w:bottom w:val="single" w:color="auto" w:sz="4" w:space="0"/>
              <w:right w:val="single" w:color="auto" w:sz="4" w:space="0"/>
            </w:tcBorders>
            <w:vAlign w:val="center"/>
          </w:tcPr>
          <w:p w14:paraId="7134D3CE">
            <w:pPr>
              <w:ind w:firstLine="0" w:firstLineChars="0"/>
              <w:jc w:val="center"/>
              <w:rPr>
                <w:rFonts w:hint="eastAsia"/>
                <w:sz w:val="24"/>
                <w:szCs w:val="24"/>
              </w:rPr>
            </w:pPr>
            <w:r>
              <w:rPr>
                <w:rFonts w:hint="eastAsia"/>
                <w:sz w:val="24"/>
                <w:szCs w:val="24"/>
              </w:rPr>
              <w:t>2024/10</w:t>
            </w:r>
          </w:p>
        </w:tc>
        <w:tc>
          <w:tcPr>
            <w:tcW w:w="1076" w:type="dxa"/>
            <w:tcBorders>
              <w:top w:val="single" w:color="auto" w:sz="4" w:space="0"/>
              <w:left w:val="single" w:color="auto" w:sz="4" w:space="0"/>
              <w:bottom w:val="single" w:color="auto" w:sz="4" w:space="0"/>
              <w:right w:val="single" w:color="auto" w:sz="4" w:space="0"/>
            </w:tcBorders>
            <w:vAlign w:val="center"/>
          </w:tcPr>
          <w:p w14:paraId="7353059E">
            <w:pPr>
              <w:ind w:firstLine="0" w:firstLineChars="0"/>
              <w:jc w:val="center"/>
              <w:rPr>
                <w:rFonts w:hint="eastAsia" w:eastAsia="仿宋_GB2312"/>
                <w:sz w:val="24"/>
                <w:szCs w:val="24"/>
                <w:lang w:eastAsia="zh-CN"/>
              </w:rPr>
            </w:pPr>
            <w:r>
              <w:rPr>
                <w:rFonts w:hint="eastAsia"/>
                <w:sz w:val="24"/>
                <w:szCs w:val="24"/>
                <w:lang w:val="en-US" w:eastAsia="zh-CN"/>
              </w:rPr>
              <w:t>刘旭峰</w:t>
            </w:r>
          </w:p>
        </w:tc>
      </w:tr>
      <w:tr w14:paraId="0E674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Borders>
              <w:top w:val="single" w:color="auto" w:sz="4" w:space="0"/>
              <w:left w:val="single" w:color="auto" w:sz="4" w:space="0"/>
              <w:bottom w:val="single" w:color="auto" w:sz="4" w:space="0"/>
              <w:right w:val="single" w:color="auto" w:sz="4" w:space="0"/>
            </w:tcBorders>
            <w:vAlign w:val="center"/>
          </w:tcPr>
          <w:p w14:paraId="20977884">
            <w:pPr>
              <w:ind w:firstLine="0" w:firstLineChars="0"/>
              <w:jc w:val="center"/>
              <w:rPr>
                <w:rFonts w:hint="eastAsia"/>
                <w:sz w:val="28"/>
                <w:szCs w:val="28"/>
              </w:rPr>
            </w:pPr>
            <w:r>
              <w:rPr>
                <w:rFonts w:hint="eastAsia"/>
                <w:sz w:val="28"/>
                <w:szCs w:val="28"/>
              </w:rPr>
              <w:t>3</w:t>
            </w:r>
          </w:p>
        </w:tc>
        <w:tc>
          <w:tcPr>
            <w:tcW w:w="861" w:type="dxa"/>
            <w:tcBorders>
              <w:top w:val="single" w:color="auto" w:sz="4" w:space="0"/>
              <w:left w:val="single" w:color="auto" w:sz="4" w:space="0"/>
              <w:bottom w:val="single" w:color="auto" w:sz="4" w:space="0"/>
              <w:right w:val="single" w:color="auto" w:sz="4" w:space="0"/>
            </w:tcBorders>
            <w:vAlign w:val="center"/>
          </w:tcPr>
          <w:p w14:paraId="46FAD083">
            <w:pPr>
              <w:ind w:firstLine="0" w:firstLineChars="0"/>
              <w:jc w:val="center"/>
              <w:rPr>
                <w:rFonts w:hint="eastAsia"/>
                <w:sz w:val="28"/>
                <w:szCs w:val="28"/>
              </w:rPr>
            </w:pPr>
            <w:r>
              <w:rPr>
                <w:sz w:val="24"/>
                <w:szCs w:val="24"/>
              </w:rPr>
              <w:t>V1.</w:t>
            </w:r>
            <w:r>
              <w:rPr>
                <w:rFonts w:hint="eastAsia"/>
                <w:sz w:val="24"/>
                <w:szCs w:val="24"/>
              </w:rPr>
              <w:t>2</w:t>
            </w:r>
          </w:p>
        </w:tc>
        <w:tc>
          <w:tcPr>
            <w:tcW w:w="4306" w:type="dxa"/>
            <w:tcBorders>
              <w:top w:val="single" w:color="auto" w:sz="4" w:space="0"/>
              <w:left w:val="single" w:color="auto" w:sz="4" w:space="0"/>
              <w:bottom w:val="single" w:color="auto" w:sz="4" w:space="0"/>
              <w:right w:val="single" w:color="auto" w:sz="4" w:space="0"/>
            </w:tcBorders>
          </w:tcPr>
          <w:p w14:paraId="3EEA1654">
            <w:pPr>
              <w:spacing w:line="400" w:lineRule="exact"/>
              <w:ind w:firstLine="0" w:firstLineChars="0"/>
              <w:jc w:val="left"/>
              <w:rPr>
                <w:rFonts w:hint="eastAsia"/>
                <w:sz w:val="24"/>
                <w:szCs w:val="24"/>
              </w:rPr>
            </w:pPr>
            <w:r>
              <w:rPr>
                <w:rFonts w:hint="eastAsia"/>
                <w:sz w:val="24"/>
                <w:szCs w:val="24"/>
              </w:rPr>
              <w:t>1.一体化权责清单增加管委会主任、副主任及区直相关部门安全职责；</w:t>
            </w:r>
          </w:p>
          <w:p w14:paraId="562466BF">
            <w:pPr>
              <w:spacing w:line="400" w:lineRule="exact"/>
              <w:ind w:firstLine="0" w:firstLineChars="0"/>
              <w:jc w:val="left"/>
              <w:rPr>
                <w:rFonts w:hint="eastAsia"/>
                <w:sz w:val="24"/>
                <w:szCs w:val="24"/>
              </w:rPr>
            </w:pPr>
            <w:r>
              <w:rPr>
                <w:rFonts w:hint="eastAsia"/>
                <w:sz w:val="24"/>
                <w:szCs w:val="24"/>
              </w:rPr>
              <w:t>2.明确化工园区带班领导范围；</w:t>
            </w:r>
          </w:p>
          <w:p w14:paraId="5F839D74">
            <w:pPr>
              <w:tabs>
                <w:tab w:val="left" w:pos="312"/>
              </w:tabs>
              <w:spacing w:line="400" w:lineRule="exact"/>
              <w:ind w:firstLine="0" w:firstLineChars="0"/>
              <w:jc w:val="left"/>
              <w:rPr>
                <w:sz w:val="24"/>
                <w:szCs w:val="24"/>
              </w:rPr>
            </w:pPr>
            <w:r>
              <w:rPr>
                <w:rFonts w:hint="eastAsia"/>
                <w:sz w:val="24"/>
                <w:szCs w:val="24"/>
              </w:rPr>
              <w:t>3.新增园区封闭化管理制度；</w:t>
            </w:r>
          </w:p>
          <w:p w14:paraId="142B8777">
            <w:pPr>
              <w:tabs>
                <w:tab w:val="left" w:pos="312"/>
              </w:tabs>
              <w:spacing w:line="400" w:lineRule="exact"/>
              <w:ind w:firstLine="0" w:firstLineChars="0"/>
              <w:jc w:val="left"/>
              <w:rPr>
                <w:rFonts w:hint="eastAsia"/>
                <w:sz w:val="28"/>
                <w:szCs w:val="28"/>
              </w:rPr>
            </w:pPr>
            <w:r>
              <w:rPr>
                <w:rFonts w:hint="eastAsia"/>
                <w:sz w:val="24"/>
                <w:szCs w:val="24"/>
              </w:rPr>
              <w:t>4.新增危化品停车场管理制度。</w:t>
            </w:r>
          </w:p>
        </w:tc>
        <w:tc>
          <w:tcPr>
            <w:tcW w:w="1391" w:type="dxa"/>
            <w:tcBorders>
              <w:top w:val="single" w:color="auto" w:sz="4" w:space="0"/>
              <w:left w:val="single" w:color="auto" w:sz="4" w:space="0"/>
              <w:bottom w:val="single" w:color="auto" w:sz="4" w:space="0"/>
              <w:right w:val="single" w:color="auto" w:sz="4" w:space="0"/>
            </w:tcBorders>
            <w:vAlign w:val="center"/>
          </w:tcPr>
          <w:p w14:paraId="565B6A61">
            <w:pPr>
              <w:ind w:firstLine="0" w:firstLineChars="0"/>
              <w:jc w:val="center"/>
              <w:rPr>
                <w:rFonts w:hint="eastAsia"/>
                <w:sz w:val="28"/>
                <w:szCs w:val="28"/>
              </w:rPr>
            </w:pPr>
            <w:r>
              <w:rPr>
                <w:rFonts w:hint="eastAsia"/>
                <w:sz w:val="24"/>
                <w:szCs w:val="24"/>
              </w:rPr>
              <w:t>2025/5</w:t>
            </w:r>
          </w:p>
        </w:tc>
        <w:tc>
          <w:tcPr>
            <w:tcW w:w="1076" w:type="dxa"/>
            <w:tcBorders>
              <w:top w:val="single" w:color="auto" w:sz="4" w:space="0"/>
              <w:left w:val="single" w:color="auto" w:sz="4" w:space="0"/>
              <w:bottom w:val="single" w:color="auto" w:sz="4" w:space="0"/>
              <w:right w:val="single" w:color="auto" w:sz="4" w:space="0"/>
            </w:tcBorders>
            <w:vAlign w:val="center"/>
          </w:tcPr>
          <w:p w14:paraId="16D758A7">
            <w:pPr>
              <w:ind w:firstLine="0" w:firstLineChars="0"/>
              <w:jc w:val="center"/>
              <w:rPr>
                <w:rFonts w:hint="eastAsia"/>
                <w:sz w:val="24"/>
                <w:szCs w:val="24"/>
                <w:lang w:val="en-US" w:eastAsia="zh-CN"/>
              </w:rPr>
            </w:pPr>
            <w:r>
              <w:rPr>
                <w:rFonts w:hint="eastAsia"/>
                <w:sz w:val="24"/>
                <w:szCs w:val="24"/>
                <w:lang w:val="en-US" w:eastAsia="zh-CN"/>
              </w:rPr>
              <w:t>钟  雯</w:t>
            </w:r>
          </w:p>
        </w:tc>
      </w:tr>
      <w:tr w14:paraId="690CA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Borders>
              <w:top w:val="single" w:color="auto" w:sz="4" w:space="0"/>
              <w:left w:val="single" w:color="auto" w:sz="4" w:space="0"/>
              <w:bottom w:val="single" w:color="auto" w:sz="4" w:space="0"/>
              <w:right w:val="single" w:color="auto" w:sz="4" w:space="0"/>
            </w:tcBorders>
            <w:vAlign w:val="center"/>
          </w:tcPr>
          <w:p w14:paraId="09920986">
            <w:pPr>
              <w:ind w:firstLine="0" w:firstLineChars="0"/>
              <w:jc w:val="center"/>
              <w:rPr>
                <w:rFonts w:hint="eastAsia" w:eastAsia="仿宋_GB2312"/>
                <w:sz w:val="28"/>
                <w:szCs w:val="28"/>
                <w:lang w:val="en-US" w:eastAsia="zh-CN"/>
              </w:rPr>
            </w:pPr>
            <w:r>
              <w:rPr>
                <w:rFonts w:hint="eastAsia"/>
                <w:sz w:val="28"/>
                <w:szCs w:val="28"/>
                <w:lang w:val="en-US" w:eastAsia="zh-CN"/>
              </w:rPr>
              <w:t>4</w:t>
            </w:r>
          </w:p>
        </w:tc>
        <w:tc>
          <w:tcPr>
            <w:tcW w:w="861" w:type="dxa"/>
            <w:tcBorders>
              <w:top w:val="single" w:color="auto" w:sz="4" w:space="0"/>
              <w:left w:val="single" w:color="auto" w:sz="4" w:space="0"/>
              <w:bottom w:val="single" w:color="auto" w:sz="4" w:space="0"/>
              <w:right w:val="single" w:color="auto" w:sz="4" w:space="0"/>
            </w:tcBorders>
            <w:vAlign w:val="center"/>
          </w:tcPr>
          <w:p w14:paraId="45D8516A">
            <w:pPr>
              <w:ind w:firstLine="0" w:firstLineChars="0"/>
              <w:jc w:val="left"/>
              <w:rPr>
                <w:rFonts w:hint="default" w:eastAsia="仿宋_GB2312"/>
                <w:sz w:val="24"/>
                <w:szCs w:val="24"/>
                <w:lang w:val="en-US" w:eastAsia="zh-CN"/>
              </w:rPr>
            </w:pPr>
            <w:r>
              <w:rPr>
                <w:rFonts w:hint="eastAsia"/>
                <w:sz w:val="24"/>
                <w:szCs w:val="24"/>
                <w:lang w:val="en-US" w:eastAsia="zh-CN"/>
              </w:rPr>
              <w:t>V1.3</w:t>
            </w:r>
          </w:p>
        </w:tc>
        <w:tc>
          <w:tcPr>
            <w:tcW w:w="4306" w:type="dxa"/>
            <w:tcBorders>
              <w:top w:val="single" w:color="auto" w:sz="4" w:space="0"/>
              <w:left w:val="single" w:color="auto" w:sz="4" w:space="0"/>
              <w:bottom w:val="single" w:color="auto" w:sz="4" w:space="0"/>
              <w:right w:val="single" w:color="auto" w:sz="4" w:space="0"/>
            </w:tcBorders>
            <w:vAlign w:val="center"/>
          </w:tcPr>
          <w:p w14:paraId="2FA539EA">
            <w:pPr>
              <w:tabs>
                <w:tab w:val="left" w:pos="312"/>
              </w:tabs>
              <w:spacing w:line="400" w:lineRule="exact"/>
              <w:ind w:firstLine="0" w:firstLineChars="0"/>
              <w:jc w:val="left"/>
              <w:rPr>
                <w:rFonts w:hint="default" w:eastAsia="仿宋_GB2312"/>
                <w:sz w:val="24"/>
                <w:szCs w:val="24"/>
                <w:lang w:val="en-US" w:eastAsia="zh-CN"/>
              </w:rPr>
            </w:pPr>
            <w:r>
              <w:rPr>
                <w:rFonts w:hint="eastAsia"/>
                <w:sz w:val="24"/>
                <w:szCs w:val="24"/>
                <w:lang w:val="en-US" w:eastAsia="zh-CN"/>
              </w:rPr>
              <w:t>1.新增园区环境保护管理制度</w:t>
            </w:r>
          </w:p>
        </w:tc>
        <w:tc>
          <w:tcPr>
            <w:tcW w:w="1391" w:type="dxa"/>
            <w:tcBorders>
              <w:top w:val="single" w:color="auto" w:sz="4" w:space="0"/>
              <w:left w:val="single" w:color="auto" w:sz="4" w:space="0"/>
              <w:bottom w:val="single" w:color="auto" w:sz="4" w:space="0"/>
              <w:right w:val="single" w:color="auto" w:sz="4" w:space="0"/>
            </w:tcBorders>
            <w:vAlign w:val="center"/>
          </w:tcPr>
          <w:p w14:paraId="15E67E5D">
            <w:pPr>
              <w:ind w:firstLine="0" w:firstLineChars="0"/>
              <w:jc w:val="center"/>
              <w:rPr>
                <w:rFonts w:hint="default" w:eastAsia="仿宋_GB2312"/>
                <w:sz w:val="24"/>
                <w:szCs w:val="24"/>
                <w:lang w:val="en-US" w:eastAsia="zh-CN"/>
              </w:rPr>
            </w:pPr>
            <w:r>
              <w:rPr>
                <w:rFonts w:hint="eastAsia"/>
                <w:sz w:val="24"/>
                <w:szCs w:val="24"/>
                <w:lang w:val="en-US" w:eastAsia="zh-CN"/>
              </w:rPr>
              <w:t>2025/6</w:t>
            </w:r>
          </w:p>
        </w:tc>
        <w:tc>
          <w:tcPr>
            <w:tcW w:w="1076" w:type="dxa"/>
            <w:tcBorders>
              <w:top w:val="single" w:color="auto" w:sz="4" w:space="0"/>
              <w:left w:val="single" w:color="auto" w:sz="4" w:space="0"/>
              <w:bottom w:val="single" w:color="auto" w:sz="4" w:space="0"/>
              <w:right w:val="single" w:color="auto" w:sz="4" w:space="0"/>
            </w:tcBorders>
            <w:vAlign w:val="center"/>
          </w:tcPr>
          <w:p w14:paraId="68EB9C71">
            <w:pPr>
              <w:ind w:firstLine="0" w:firstLineChars="0"/>
              <w:jc w:val="center"/>
              <w:rPr>
                <w:rFonts w:hint="default"/>
                <w:sz w:val="24"/>
                <w:szCs w:val="24"/>
                <w:lang w:val="en-US" w:eastAsia="zh-CN"/>
              </w:rPr>
            </w:pPr>
            <w:r>
              <w:rPr>
                <w:rFonts w:hint="eastAsia"/>
                <w:sz w:val="24"/>
                <w:szCs w:val="24"/>
              </w:rPr>
              <w:t>郑  俊</w:t>
            </w:r>
          </w:p>
        </w:tc>
      </w:tr>
    </w:tbl>
    <w:p w14:paraId="06E2FF20">
      <w:pPr>
        <w:ind w:firstLine="640"/>
        <w:rPr>
          <w:rFonts w:hint="eastAsia" w:ascii="Times New Roman" w:hAnsi="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4" w:left="1531" w:header="851" w:footer="992" w:gutter="0"/>
          <w:cols w:space="720" w:num="1"/>
          <w:docGrid w:type="lines" w:linePitch="439" w:charSpace="0"/>
        </w:sectPr>
      </w:pPr>
    </w:p>
    <w:p w14:paraId="64CB45DF">
      <w:pPr>
        <w:spacing w:line="240" w:lineRule="auto"/>
        <w:ind w:firstLine="0" w:firstLineChars="0"/>
        <w:jc w:val="center"/>
        <w:rPr>
          <w:rFonts w:ascii="Times New Roman" w:hAnsi="Times New Roman" w:eastAsia="方正小标宋简体"/>
          <w:sz w:val="40"/>
          <w:szCs w:val="40"/>
        </w:rPr>
      </w:pPr>
      <w:r>
        <w:rPr>
          <w:rFonts w:ascii="Times New Roman" w:hAnsi="Times New Roman" w:eastAsia="方正小标宋简体"/>
          <w:sz w:val="40"/>
          <w:szCs w:val="40"/>
        </w:rPr>
        <w:t>目  录</w:t>
      </w:r>
    </w:p>
    <w:p w14:paraId="77DED4B9">
      <w:pPr>
        <w:pStyle w:val="15"/>
        <w:tabs>
          <w:tab w:val="right" w:leader="dot" w:pos="8844"/>
        </w:tabs>
      </w:pPr>
      <w:r>
        <w:rPr>
          <w:rFonts w:ascii="Times New Roman" w:hAnsi="Times New Roman" w:eastAsia="仿宋_GB2312"/>
          <w:szCs w:val="32"/>
        </w:rPr>
        <w:fldChar w:fldCharType="begin"/>
      </w:r>
      <w:r>
        <w:rPr>
          <w:rFonts w:ascii="Times New Roman" w:hAnsi="Times New Roman" w:eastAsia="仿宋_GB2312"/>
          <w:szCs w:val="32"/>
        </w:rPr>
        <w:instrText xml:space="preserve">TOC \o "1-2" \h \u </w:instrText>
      </w:r>
      <w:r>
        <w:rPr>
          <w:rFonts w:ascii="Times New Roman" w:hAnsi="Times New Roman" w:eastAsia="仿宋_GB2312"/>
          <w:szCs w:val="32"/>
        </w:rPr>
        <w:fldChar w:fldCharType="separate"/>
      </w:r>
      <w:r>
        <w:rPr>
          <w:rFonts w:ascii="Times New Roman" w:hAnsi="Times New Roman" w:eastAsia="仿宋_GB2312"/>
          <w:szCs w:val="32"/>
        </w:rPr>
        <w:fldChar w:fldCharType="begin"/>
      </w:r>
      <w:r>
        <w:rPr>
          <w:rFonts w:ascii="Times New Roman" w:hAnsi="Times New Roman" w:eastAsia="仿宋_GB2312"/>
          <w:szCs w:val="32"/>
        </w:rPr>
        <w:instrText xml:space="preserve"> HYPERLINK \l _Toc5244 </w:instrText>
      </w:r>
      <w:r>
        <w:rPr>
          <w:rFonts w:ascii="Times New Roman" w:hAnsi="Times New Roman" w:eastAsia="仿宋_GB2312"/>
          <w:szCs w:val="32"/>
        </w:rPr>
        <w:fldChar w:fldCharType="separate"/>
      </w:r>
      <w:r>
        <w:rPr>
          <w:rFonts w:hint="eastAsia" w:ascii="Times New Roman" w:hAnsi="Times New Roman"/>
        </w:rPr>
        <w:t xml:space="preserve">第一章  </w:t>
      </w:r>
      <w:r>
        <w:rPr>
          <w:rFonts w:ascii="Times New Roman" w:hAnsi="Times New Roman"/>
        </w:rPr>
        <w:t>园区管理机构及职责</w:t>
      </w:r>
      <w:r>
        <w:tab/>
      </w:r>
      <w:r>
        <w:fldChar w:fldCharType="begin"/>
      </w:r>
      <w:r>
        <w:instrText xml:space="preserve"> PAGEREF _Toc5244 \h </w:instrText>
      </w:r>
      <w:r>
        <w:fldChar w:fldCharType="separate"/>
      </w:r>
      <w:r>
        <w:t>5</w:t>
      </w:r>
      <w:r>
        <w:fldChar w:fldCharType="end"/>
      </w:r>
      <w:r>
        <w:rPr>
          <w:rFonts w:ascii="Times New Roman" w:hAnsi="Times New Roman" w:eastAsia="仿宋_GB2312"/>
          <w:szCs w:val="32"/>
        </w:rPr>
        <w:fldChar w:fldCharType="end"/>
      </w:r>
    </w:p>
    <w:p w14:paraId="41ECA693">
      <w:pPr>
        <w:pStyle w:val="16"/>
        <w:tabs>
          <w:tab w:val="right" w:leader="dot" w:pos="8844"/>
        </w:tabs>
        <w:rPr>
          <w:rFonts w:hint="eastAsia" w:ascii="楷体_GB2312" w:hAnsi="楷体_GB2312" w:eastAsia="楷体_GB2312" w:cs="楷体_GB2312"/>
        </w:rPr>
      </w:pPr>
      <w:r>
        <w:rPr>
          <w:rFonts w:hint="eastAsia" w:ascii="楷体_GB2312" w:hAnsi="楷体_GB2312" w:eastAsia="楷体_GB2312" w:cs="楷体_GB2312"/>
          <w:szCs w:val="32"/>
        </w:rPr>
        <w:fldChar w:fldCharType="begin"/>
      </w:r>
      <w:r>
        <w:rPr>
          <w:rFonts w:hint="eastAsia" w:ascii="楷体_GB2312" w:hAnsi="楷体_GB2312" w:eastAsia="楷体_GB2312" w:cs="楷体_GB2312"/>
          <w:szCs w:val="32"/>
        </w:rPr>
        <w:instrText xml:space="preserve"> HYPERLINK \l _Toc13746 </w:instrText>
      </w:r>
      <w:r>
        <w:rPr>
          <w:rFonts w:hint="eastAsia" w:ascii="楷体_GB2312" w:hAnsi="楷体_GB2312" w:eastAsia="楷体_GB2312" w:cs="楷体_GB2312"/>
          <w:szCs w:val="32"/>
        </w:rPr>
        <w:fldChar w:fldCharType="separate"/>
      </w:r>
      <w:r>
        <w:rPr>
          <w:rFonts w:hint="eastAsia" w:ascii="楷体_GB2312" w:hAnsi="楷体_GB2312" w:eastAsia="楷体_GB2312" w:cs="楷体_GB2312"/>
          <w:bCs/>
          <w:szCs w:val="21"/>
        </w:rPr>
        <w:t>一、安全生产与应急一体化管理权责清单</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_Toc13746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5</w:t>
      </w:r>
      <w:r>
        <w:rPr>
          <w:rFonts w:hint="eastAsia" w:ascii="楷体_GB2312" w:hAnsi="楷体_GB2312" w:eastAsia="楷体_GB2312" w:cs="楷体_GB2312"/>
        </w:rPr>
        <w:fldChar w:fldCharType="end"/>
      </w:r>
      <w:r>
        <w:rPr>
          <w:rFonts w:hint="eastAsia" w:ascii="楷体_GB2312" w:hAnsi="楷体_GB2312" w:eastAsia="楷体_GB2312" w:cs="楷体_GB2312"/>
          <w:szCs w:val="32"/>
        </w:rPr>
        <w:fldChar w:fldCharType="end"/>
      </w:r>
    </w:p>
    <w:p w14:paraId="35831594">
      <w:pPr>
        <w:pStyle w:val="16"/>
        <w:tabs>
          <w:tab w:val="right" w:leader="dot" w:pos="8844"/>
        </w:tabs>
        <w:rPr>
          <w:rFonts w:hint="eastAsia" w:ascii="楷体_GB2312" w:hAnsi="楷体_GB2312" w:eastAsia="楷体_GB2312" w:cs="楷体_GB2312"/>
        </w:rPr>
      </w:pPr>
      <w:r>
        <w:rPr>
          <w:rFonts w:hint="eastAsia" w:ascii="楷体_GB2312" w:hAnsi="楷体_GB2312" w:eastAsia="楷体_GB2312" w:cs="楷体_GB2312"/>
          <w:szCs w:val="32"/>
        </w:rPr>
        <w:fldChar w:fldCharType="begin"/>
      </w:r>
      <w:r>
        <w:rPr>
          <w:rFonts w:hint="eastAsia" w:ascii="楷体_GB2312" w:hAnsi="楷体_GB2312" w:eastAsia="楷体_GB2312" w:cs="楷体_GB2312"/>
          <w:szCs w:val="32"/>
        </w:rPr>
        <w:instrText xml:space="preserve"> HYPERLINK \l _Toc16695 </w:instrText>
      </w:r>
      <w:r>
        <w:rPr>
          <w:rFonts w:hint="eastAsia" w:ascii="楷体_GB2312" w:hAnsi="楷体_GB2312" w:eastAsia="楷体_GB2312" w:cs="楷体_GB2312"/>
          <w:szCs w:val="32"/>
        </w:rPr>
        <w:fldChar w:fldCharType="separate"/>
      </w:r>
      <w:r>
        <w:rPr>
          <w:rFonts w:hint="eastAsia" w:ascii="楷体_GB2312" w:hAnsi="楷体_GB2312" w:eastAsia="楷体_GB2312" w:cs="楷体_GB2312"/>
          <w:bCs/>
          <w:szCs w:val="21"/>
        </w:rPr>
        <w:t>二、随州市青春化工工业园管理办公室内设部室职责</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_Toc16695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13</w:t>
      </w:r>
      <w:r>
        <w:rPr>
          <w:rFonts w:hint="eastAsia" w:ascii="楷体_GB2312" w:hAnsi="楷体_GB2312" w:eastAsia="楷体_GB2312" w:cs="楷体_GB2312"/>
        </w:rPr>
        <w:fldChar w:fldCharType="end"/>
      </w:r>
      <w:r>
        <w:rPr>
          <w:rFonts w:hint="eastAsia" w:ascii="楷体_GB2312" w:hAnsi="楷体_GB2312" w:eastAsia="楷体_GB2312" w:cs="楷体_GB2312"/>
          <w:szCs w:val="32"/>
        </w:rPr>
        <w:fldChar w:fldCharType="end"/>
      </w:r>
    </w:p>
    <w:p w14:paraId="63433688">
      <w:pPr>
        <w:pStyle w:val="16"/>
        <w:tabs>
          <w:tab w:val="right" w:leader="dot" w:pos="8844"/>
        </w:tabs>
        <w:rPr>
          <w:rFonts w:hint="eastAsia" w:ascii="楷体_GB2312" w:hAnsi="楷体_GB2312" w:eastAsia="楷体_GB2312" w:cs="楷体_GB2312"/>
        </w:rPr>
      </w:pPr>
      <w:r>
        <w:rPr>
          <w:rFonts w:hint="eastAsia" w:ascii="楷体_GB2312" w:hAnsi="楷体_GB2312" w:eastAsia="楷体_GB2312" w:cs="楷体_GB2312"/>
          <w:szCs w:val="32"/>
        </w:rPr>
        <w:fldChar w:fldCharType="begin"/>
      </w:r>
      <w:r>
        <w:rPr>
          <w:rFonts w:hint="eastAsia" w:ascii="楷体_GB2312" w:hAnsi="楷体_GB2312" w:eastAsia="楷体_GB2312" w:cs="楷体_GB2312"/>
          <w:szCs w:val="32"/>
        </w:rPr>
        <w:instrText xml:space="preserve"> HYPERLINK \l _Toc2210 </w:instrText>
      </w:r>
      <w:r>
        <w:rPr>
          <w:rFonts w:hint="eastAsia" w:ascii="楷体_GB2312" w:hAnsi="楷体_GB2312" w:eastAsia="楷体_GB2312" w:cs="楷体_GB2312"/>
          <w:szCs w:val="32"/>
        </w:rPr>
        <w:fldChar w:fldCharType="separate"/>
      </w:r>
      <w:r>
        <w:rPr>
          <w:rFonts w:hint="eastAsia" w:ascii="楷体_GB2312" w:hAnsi="楷体_GB2312" w:eastAsia="楷体_GB2312" w:cs="楷体_GB2312"/>
          <w:bCs/>
          <w:szCs w:val="21"/>
        </w:rPr>
        <w:t>三、年度安全考核制度</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_Toc2210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15</w:t>
      </w:r>
      <w:r>
        <w:rPr>
          <w:rFonts w:hint="eastAsia" w:ascii="楷体_GB2312" w:hAnsi="楷体_GB2312" w:eastAsia="楷体_GB2312" w:cs="楷体_GB2312"/>
        </w:rPr>
        <w:fldChar w:fldCharType="end"/>
      </w:r>
      <w:r>
        <w:rPr>
          <w:rFonts w:hint="eastAsia" w:ascii="楷体_GB2312" w:hAnsi="楷体_GB2312" w:eastAsia="楷体_GB2312" w:cs="楷体_GB2312"/>
          <w:szCs w:val="32"/>
        </w:rPr>
        <w:fldChar w:fldCharType="end"/>
      </w:r>
    </w:p>
    <w:p w14:paraId="0A631ABD">
      <w:pPr>
        <w:pStyle w:val="16"/>
        <w:tabs>
          <w:tab w:val="right" w:leader="dot" w:pos="8844"/>
        </w:tabs>
      </w:pPr>
      <w:r>
        <w:rPr>
          <w:rFonts w:hint="eastAsia" w:ascii="楷体_GB2312" w:hAnsi="楷体_GB2312" w:eastAsia="楷体_GB2312" w:cs="楷体_GB2312"/>
          <w:szCs w:val="32"/>
        </w:rPr>
        <w:fldChar w:fldCharType="begin"/>
      </w:r>
      <w:r>
        <w:rPr>
          <w:rFonts w:hint="eastAsia" w:ascii="楷体_GB2312" w:hAnsi="楷体_GB2312" w:eastAsia="楷体_GB2312" w:cs="楷体_GB2312"/>
          <w:szCs w:val="32"/>
        </w:rPr>
        <w:instrText xml:space="preserve"> HYPERLINK \l _Toc3615 </w:instrText>
      </w:r>
      <w:r>
        <w:rPr>
          <w:rFonts w:hint="eastAsia" w:ascii="楷体_GB2312" w:hAnsi="楷体_GB2312" w:eastAsia="楷体_GB2312" w:cs="楷体_GB2312"/>
          <w:szCs w:val="32"/>
        </w:rPr>
        <w:fldChar w:fldCharType="separate"/>
      </w:r>
      <w:r>
        <w:rPr>
          <w:rFonts w:hint="eastAsia" w:ascii="楷体_GB2312" w:hAnsi="楷体_GB2312" w:eastAsia="楷体_GB2312" w:cs="楷体_GB2312"/>
          <w:bCs/>
          <w:szCs w:val="21"/>
        </w:rPr>
        <w:t>四、领导带班值班制度</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_Toc3615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19</w:t>
      </w:r>
      <w:r>
        <w:rPr>
          <w:rFonts w:hint="eastAsia" w:ascii="楷体_GB2312" w:hAnsi="楷体_GB2312" w:eastAsia="楷体_GB2312" w:cs="楷体_GB2312"/>
        </w:rPr>
        <w:fldChar w:fldCharType="end"/>
      </w:r>
      <w:r>
        <w:rPr>
          <w:rFonts w:hint="eastAsia" w:ascii="楷体_GB2312" w:hAnsi="楷体_GB2312" w:eastAsia="楷体_GB2312" w:cs="楷体_GB2312"/>
          <w:szCs w:val="32"/>
        </w:rPr>
        <w:fldChar w:fldCharType="end"/>
      </w:r>
    </w:p>
    <w:p w14:paraId="2E71229B">
      <w:pPr>
        <w:pStyle w:val="15"/>
        <w:tabs>
          <w:tab w:val="right" w:leader="dot" w:pos="8844"/>
        </w:tabs>
      </w:pPr>
      <w:r>
        <w:rPr>
          <w:rFonts w:ascii="Times New Roman" w:hAnsi="Times New Roman"/>
          <w:szCs w:val="32"/>
        </w:rPr>
        <w:fldChar w:fldCharType="begin"/>
      </w:r>
      <w:r>
        <w:rPr>
          <w:rFonts w:ascii="Times New Roman" w:hAnsi="Times New Roman"/>
          <w:szCs w:val="32"/>
        </w:rPr>
        <w:instrText xml:space="preserve"> HYPERLINK \l _Toc23896 </w:instrText>
      </w:r>
      <w:r>
        <w:rPr>
          <w:rFonts w:ascii="Times New Roman" w:hAnsi="Times New Roman"/>
          <w:szCs w:val="32"/>
        </w:rPr>
        <w:fldChar w:fldCharType="separate"/>
      </w:r>
      <w:r>
        <w:rPr>
          <w:rFonts w:ascii="Times New Roman" w:hAnsi="Times New Roman"/>
        </w:rPr>
        <w:t xml:space="preserve">第二章 </w:t>
      </w:r>
      <w:r>
        <w:rPr>
          <w:rFonts w:hint="eastAsia" w:ascii="Times New Roman" w:hAnsi="Times New Roman"/>
        </w:rPr>
        <w:t xml:space="preserve"> </w:t>
      </w:r>
      <w:r>
        <w:rPr>
          <w:rFonts w:ascii="Times New Roman" w:hAnsi="Times New Roman"/>
        </w:rPr>
        <w:t>安全规划及布局</w:t>
      </w:r>
      <w:r>
        <w:tab/>
      </w:r>
      <w:r>
        <w:fldChar w:fldCharType="begin"/>
      </w:r>
      <w:r>
        <w:instrText xml:space="preserve"> PAGEREF _Toc23896 \h </w:instrText>
      </w:r>
      <w:r>
        <w:fldChar w:fldCharType="separate"/>
      </w:r>
      <w:r>
        <w:t>24</w:t>
      </w:r>
      <w:r>
        <w:fldChar w:fldCharType="end"/>
      </w:r>
      <w:r>
        <w:rPr>
          <w:rFonts w:ascii="Times New Roman" w:hAnsi="Times New Roman"/>
          <w:szCs w:val="32"/>
        </w:rPr>
        <w:fldChar w:fldCharType="end"/>
      </w:r>
    </w:p>
    <w:p w14:paraId="116C302F">
      <w:pPr>
        <w:pStyle w:val="16"/>
        <w:tabs>
          <w:tab w:val="right" w:leader="dot" w:pos="8844"/>
        </w:tabs>
        <w:rPr>
          <w:rFonts w:hint="eastAsia" w:ascii="楷体_GB2312" w:hAnsi="楷体_GB2312" w:eastAsia="楷体_GB2312" w:cs="楷体_GB2312"/>
        </w:rPr>
      </w:pPr>
      <w:r>
        <w:rPr>
          <w:rFonts w:hint="eastAsia" w:ascii="楷体_GB2312" w:hAnsi="楷体_GB2312" w:eastAsia="楷体_GB2312" w:cs="楷体_GB2312"/>
          <w:szCs w:val="32"/>
        </w:rPr>
        <w:fldChar w:fldCharType="begin"/>
      </w:r>
      <w:r>
        <w:rPr>
          <w:rFonts w:hint="eastAsia" w:ascii="楷体_GB2312" w:hAnsi="楷体_GB2312" w:eastAsia="楷体_GB2312" w:cs="楷体_GB2312"/>
          <w:szCs w:val="32"/>
        </w:rPr>
        <w:instrText xml:space="preserve"> HYPERLINK \l _Toc14286 </w:instrText>
      </w:r>
      <w:r>
        <w:rPr>
          <w:rFonts w:hint="eastAsia" w:ascii="楷体_GB2312" w:hAnsi="楷体_GB2312" w:eastAsia="楷体_GB2312" w:cs="楷体_GB2312"/>
          <w:szCs w:val="32"/>
        </w:rPr>
        <w:fldChar w:fldCharType="separate"/>
      </w:r>
      <w:r>
        <w:rPr>
          <w:rFonts w:hint="eastAsia" w:ascii="楷体_GB2312" w:hAnsi="楷体_GB2312" w:eastAsia="楷体_GB2312" w:cs="楷体_GB2312"/>
          <w:bCs/>
          <w:szCs w:val="21"/>
        </w:rPr>
        <w:t>五、设立和选址要求</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_Toc14286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24</w:t>
      </w:r>
      <w:r>
        <w:rPr>
          <w:rFonts w:hint="eastAsia" w:ascii="楷体_GB2312" w:hAnsi="楷体_GB2312" w:eastAsia="楷体_GB2312" w:cs="楷体_GB2312"/>
        </w:rPr>
        <w:fldChar w:fldCharType="end"/>
      </w:r>
      <w:r>
        <w:rPr>
          <w:rFonts w:hint="eastAsia" w:ascii="楷体_GB2312" w:hAnsi="楷体_GB2312" w:eastAsia="楷体_GB2312" w:cs="楷体_GB2312"/>
          <w:szCs w:val="32"/>
        </w:rPr>
        <w:fldChar w:fldCharType="end"/>
      </w:r>
    </w:p>
    <w:p w14:paraId="622D51A0">
      <w:pPr>
        <w:pStyle w:val="16"/>
        <w:tabs>
          <w:tab w:val="right" w:leader="dot" w:pos="8844"/>
        </w:tabs>
        <w:rPr>
          <w:rFonts w:hint="eastAsia" w:ascii="楷体_GB2312" w:hAnsi="楷体_GB2312" w:eastAsia="楷体_GB2312" w:cs="楷体_GB2312"/>
        </w:rPr>
      </w:pPr>
      <w:r>
        <w:rPr>
          <w:rFonts w:hint="eastAsia" w:ascii="楷体_GB2312" w:hAnsi="楷体_GB2312" w:eastAsia="楷体_GB2312" w:cs="楷体_GB2312"/>
          <w:szCs w:val="32"/>
        </w:rPr>
        <w:fldChar w:fldCharType="begin"/>
      </w:r>
      <w:r>
        <w:rPr>
          <w:rFonts w:hint="eastAsia" w:ascii="楷体_GB2312" w:hAnsi="楷体_GB2312" w:eastAsia="楷体_GB2312" w:cs="楷体_GB2312"/>
          <w:szCs w:val="32"/>
        </w:rPr>
        <w:instrText xml:space="preserve"> HYPERLINK \l _Toc23163 </w:instrText>
      </w:r>
      <w:r>
        <w:rPr>
          <w:rFonts w:hint="eastAsia" w:ascii="楷体_GB2312" w:hAnsi="楷体_GB2312" w:eastAsia="楷体_GB2312" w:cs="楷体_GB2312"/>
          <w:szCs w:val="32"/>
        </w:rPr>
        <w:fldChar w:fldCharType="separate"/>
      </w:r>
      <w:r>
        <w:rPr>
          <w:rFonts w:hint="eastAsia" w:ascii="楷体_GB2312" w:hAnsi="楷体_GB2312" w:eastAsia="楷体_GB2312" w:cs="楷体_GB2312"/>
          <w:bCs/>
        </w:rPr>
        <w:t>六、总体规划、产业规划编制要求</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_Toc23163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26</w:t>
      </w:r>
      <w:r>
        <w:rPr>
          <w:rFonts w:hint="eastAsia" w:ascii="楷体_GB2312" w:hAnsi="楷体_GB2312" w:eastAsia="楷体_GB2312" w:cs="楷体_GB2312"/>
        </w:rPr>
        <w:fldChar w:fldCharType="end"/>
      </w:r>
      <w:r>
        <w:rPr>
          <w:rFonts w:hint="eastAsia" w:ascii="楷体_GB2312" w:hAnsi="楷体_GB2312" w:eastAsia="楷体_GB2312" w:cs="楷体_GB2312"/>
          <w:szCs w:val="32"/>
        </w:rPr>
        <w:fldChar w:fldCharType="end"/>
      </w:r>
    </w:p>
    <w:p w14:paraId="274D276C">
      <w:pPr>
        <w:pStyle w:val="16"/>
        <w:tabs>
          <w:tab w:val="right" w:leader="dot" w:pos="8844"/>
        </w:tabs>
        <w:rPr>
          <w:rFonts w:hint="eastAsia" w:ascii="楷体_GB2312" w:hAnsi="楷体_GB2312" w:eastAsia="楷体_GB2312" w:cs="楷体_GB2312"/>
        </w:rPr>
      </w:pPr>
      <w:r>
        <w:rPr>
          <w:rFonts w:hint="eastAsia" w:ascii="楷体_GB2312" w:hAnsi="楷体_GB2312" w:eastAsia="楷体_GB2312" w:cs="楷体_GB2312"/>
          <w:szCs w:val="32"/>
        </w:rPr>
        <w:fldChar w:fldCharType="begin"/>
      </w:r>
      <w:r>
        <w:rPr>
          <w:rFonts w:hint="eastAsia" w:ascii="楷体_GB2312" w:hAnsi="楷体_GB2312" w:eastAsia="楷体_GB2312" w:cs="楷体_GB2312"/>
          <w:szCs w:val="32"/>
        </w:rPr>
        <w:instrText xml:space="preserve"> HYPERLINK \l _Toc31988 </w:instrText>
      </w:r>
      <w:r>
        <w:rPr>
          <w:rFonts w:hint="eastAsia" w:ascii="楷体_GB2312" w:hAnsi="楷体_GB2312" w:eastAsia="楷体_GB2312" w:cs="楷体_GB2312"/>
          <w:szCs w:val="32"/>
        </w:rPr>
        <w:fldChar w:fldCharType="separate"/>
      </w:r>
      <w:r>
        <w:rPr>
          <w:rFonts w:hint="eastAsia" w:ascii="楷体_GB2312" w:hAnsi="楷体_GB2312" w:eastAsia="楷体_GB2312" w:cs="楷体_GB2312"/>
          <w:bCs/>
          <w:szCs w:val="21"/>
        </w:rPr>
        <w:t>七、园区整体性安全风险评估要求</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_Toc31988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31</w:t>
      </w:r>
      <w:r>
        <w:rPr>
          <w:rFonts w:hint="eastAsia" w:ascii="楷体_GB2312" w:hAnsi="楷体_GB2312" w:eastAsia="楷体_GB2312" w:cs="楷体_GB2312"/>
        </w:rPr>
        <w:fldChar w:fldCharType="end"/>
      </w:r>
      <w:r>
        <w:rPr>
          <w:rFonts w:hint="eastAsia" w:ascii="楷体_GB2312" w:hAnsi="楷体_GB2312" w:eastAsia="楷体_GB2312" w:cs="楷体_GB2312"/>
          <w:szCs w:val="32"/>
        </w:rPr>
        <w:fldChar w:fldCharType="end"/>
      </w:r>
    </w:p>
    <w:p w14:paraId="4F938414">
      <w:pPr>
        <w:pStyle w:val="16"/>
        <w:tabs>
          <w:tab w:val="right" w:leader="dot" w:pos="8844"/>
        </w:tabs>
      </w:pPr>
      <w:r>
        <w:rPr>
          <w:rFonts w:hint="eastAsia" w:ascii="楷体_GB2312" w:hAnsi="楷体_GB2312" w:eastAsia="楷体_GB2312" w:cs="楷体_GB2312"/>
          <w:szCs w:val="32"/>
        </w:rPr>
        <w:fldChar w:fldCharType="begin"/>
      </w:r>
      <w:r>
        <w:rPr>
          <w:rFonts w:hint="eastAsia" w:ascii="楷体_GB2312" w:hAnsi="楷体_GB2312" w:eastAsia="楷体_GB2312" w:cs="楷体_GB2312"/>
          <w:szCs w:val="32"/>
        </w:rPr>
        <w:instrText xml:space="preserve"> HYPERLINK \l _Toc21502 </w:instrText>
      </w:r>
      <w:r>
        <w:rPr>
          <w:rFonts w:hint="eastAsia" w:ascii="楷体_GB2312" w:hAnsi="楷体_GB2312" w:eastAsia="楷体_GB2312" w:cs="楷体_GB2312"/>
          <w:szCs w:val="32"/>
        </w:rPr>
        <w:fldChar w:fldCharType="separate"/>
      </w:r>
      <w:r>
        <w:rPr>
          <w:rFonts w:hint="eastAsia" w:ascii="楷体_GB2312" w:hAnsi="楷体_GB2312" w:eastAsia="楷体_GB2312" w:cs="楷体_GB2312"/>
          <w:bCs/>
          <w:szCs w:val="21"/>
        </w:rPr>
        <w:t>八、土地规划安全控制线划定要求</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_Toc21502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33</w:t>
      </w:r>
      <w:r>
        <w:rPr>
          <w:rFonts w:hint="eastAsia" w:ascii="楷体_GB2312" w:hAnsi="楷体_GB2312" w:eastAsia="楷体_GB2312" w:cs="楷体_GB2312"/>
        </w:rPr>
        <w:fldChar w:fldCharType="end"/>
      </w:r>
      <w:r>
        <w:rPr>
          <w:rFonts w:hint="eastAsia" w:ascii="楷体_GB2312" w:hAnsi="楷体_GB2312" w:eastAsia="楷体_GB2312" w:cs="楷体_GB2312"/>
          <w:szCs w:val="32"/>
        </w:rPr>
        <w:fldChar w:fldCharType="end"/>
      </w:r>
    </w:p>
    <w:p w14:paraId="502670A9">
      <w:pPr>
        <w:pStyle w:val="15"/>
        <w:tabs>
          <w:tab w:val="right" w:leader="dot" w:pos="8844"/>
        </w:tabs>
      </w:pPr>
      <w:r>
        <w:rPr>
          <w:rFonts w:ascii="Times New Roman" w:hAnsi="Times New Roman"/>
          <w:szCs w:val="32"/>
        </w:rPr>
        <w:fldChar w:fldCharType="begin"/>
      </w:r>
      <w:r>
        <w:rPr>
          <w:rFonts w:ascii="Times New Roman" w:hAnsi="Times New Roman"/>
          <w:szCs w:val="32"/>
        </w:rPr>
        <w:instrText xml:space="preserve"> HYPERLINK \l _Toc14772 </w:instrText>
      </w:r>
      <w:r>
        <w:rPr>
          <w:rFonts w:ascii="Times New Roman" w:hAnsi="Times New Roman"/>
          <w:szCs w:val="32"/>
        </w:rPr>
        <w:fldChar w:fldCharType="separate"/>
      </w:r>
      <w:r>
        <w:rPr>
          <w:rFonts w:ascii="Times New Roman" w:hAnsi="Times New Roman"/>
        </w:rPr>
        <w:t xml:space="preserve">第三章 </w:t>
      </w:r>
      <w:r>
        <w:rPr>
          <w:rFonts w:hint="eastAsia" w:ascii="Times New Roman" w:hAnsi="Times New Roman"/>
        </w:rPr>
        <w:t xml:space="preserve"> </w:t>
      </w:r>
      <w:r>
        <w:rPr>
          <w:rFonts w:ascii="Times New Roman" w:hAnsi="Times New Roman"/>
        </w:rPr>
        <w:t>项目</w:t>
      </w:r>
      <w:r>
        <w:rPr>
          <w:rFonts w:hint="eastAsia" w:ascii="Times New Roman" w:hAnsi="Times New Roman"/>
        </w:rPr>
        <w:t>准入与退出</w:t>
      </w:r>
      <w:r>
        <w:tab/>
      </w:r>
      <w:r>
        <w:fldChar w:fldCharType="begin"/>
      </w:r>
      <w:r>
        <w:instrText xml:space="preserve"> PAGEREF _Toc14772 \h </w:instrText>
      </w:r>
      <w:r>
        <w:fldChar w:fldCharType="separate"/>
      </w:r>
      <w:r>
        <w:t>35</w:t>
      </w:r>
      <w:r>
        <w:fldChar w:fldCharType="end"/>
      </w:r>
      <w:r>
        <w:rPr>
          <w:rFonts w:ascii="Times New Roman" w:hAnsi="Times New Roman"/>
          <w:szCs w:val="32"/>
        </w:rPr>
        <w:fldChar w:fldCharType="end"/>
      </w:r>
    </w:p>
    <w:p w14:paraId="5D1CDFCE">
      <w:pPr>
        <w:pStyle w:val="16"/>
        <w:tabs>
          <w:tab w:val="right" w:leader="dot" w:pos="8844"/>
        </w:tabs>
        <w:rPr>
          <w:rFonts w:hint="eastAsia" w:ascii="楷体_GB2312" w:hAnsi="楷体_GB2312" w:eastAsia="楷体_GB2312" w:cs="楷体_GB2312"/>
        </w:rPr>
      </w:pPr>
      <w:r>
        <w:rPr>
          <w:rFonts w:hint="eastAsia" w:ascii="楷体_GB2312" w:hAnsi="楷体_GB2312" w:eastAsia="楷体_GB2312" w:cs="楷体_GB2312"/>
          <w:szCs w:val="32"/>
        </w:rPr>
        <w:fldChar w:fldCharType="begin"/>
      </w:r>
      <w:r>
        <w:rPr>
          <w:rFonts w:hint="eastAsia" w:ascii="楷体_GB2312" w:hAnsi="楷体_GB2312" w:eastAsia="楷体_GB2312" w:cs="楷体_GB2312"/>
          <w:szCs w:val="32"/>
        </w:rPr>
        <w:instrText xml:space="preserve"> HYPERLINK \l _Toc5507 </w:instrText>
      </w:r>
      <w:r>
        <w:rPr>
          <w:rFonts w:hint="eastAsia" w:ascii="楷体_GB2312" w:hAnsi="楷体_GB2312" w:eastAsia="楷体_GB2312" w:cs="楷体_GB2312"/>
          <w:szCs w:val="32"/>
        </w:rPr>
        <w:fldChar w:fldCharType="separate"/>
      </w:r>
      <w:r>
        <w:rPr>
          <w:rFonts w:hint="eastAsia" w:ascii="楷体_GB2312" w:hAnsi="楷体_GB2312" w:eastAsia="楷体_GB2312" w:cs="楷体_GB2312"/>
          <w:bCs/>
          <w:szCs w:val="21"/>
        </w:rPr>
        <w:t>九、危险化学品建设项目安全准入条件（试行）</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_Toc5507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35</w:t>
      </w:r>
      <w:r>
        <w:rPr>
          <w:rFonts w:hint="eastAsia" w:ascii="楷体_GB2312" w:hAnsi="楷体_GB2312" w:eastAsia="楷体_GB2312" w:cs="楷体_GB2312"/>
        </w:rPr>
        <w:fldChar w:fldCharType="end"/>
      </w:r>
      <w:r>
        <w:rPr>
          <w:rFonts w:hint="eastAsia" w:ascii="楷体_GB2312" w:hAnsi="楷体_GB2312" w:eastAsia="楷体_GB2312" w:cs="楷体_GB2312"/>
          <w:szCs w:val="32"/>
        </w:rPr>
        <w:fldChar w:fldCharType="end"/>
      </w:r>
    </w:p>
    <w:p w14:paraId="699E86AB">
      <w:pPr>
        <w:pStyle w:val="16"/>
        <w:tabs>
          <w:tab w:val="right" w:leader="dot" w:pos="8844"/>
        </w:tabs>
        <w:rPr>
          <w:rFonts w:hint="eastAsia" w:ascii="楷体_GB2312" w:hAnsi="楷体_GB2312" w:eastAsia="楷体_GB2312" w:cs="楷体_GB2312"/>
        </w:rPr>
      </w:pPr>
      <w:r>
        <w:rPr>
          <w:rFonts w:hint="eastAsia" w:ascii="楷体_GB2312" w:hAnsi="楷体_GB2312" w:eastAsia="楷体_GB2312" w:cs="楷体_GB2312"/>
          <w:szCs w:val="32"/>
        </w:rPr>
        <w:fldChar w:fldCharType="begin"/>
      </w:r>
      <w:r>
        <w:rPr>
          <w:rFonts w:hint="eastAsia" w:ascii="楷体_GB2312" w:hAnsi="楷体_GB2312" w:eastAsia="楷体_GB2312" w:cs="楷体_GB2312"/>
          <w:szCs w:val="32"/>
        </w:rPr>
        <w:instrText xml:space="preserve"> HYPERLINK \l _Toc13039 </w:instrText>
      </w:r>
      <w:r>
        <w:rPr>
          <w:rFonts w:hint="eastAsia" w:ascii="楷体_GB2312" w:hAnsi="楷体_GB2312" w:eastAsia="楷体_GB2312" w:cs="楷体_GB2312"/>
          <w:szCs w:val="32"/>
        </w:rPr>
        <w:fldChar w:fldCharType="separate"/>
      </w:r>
      <w:r>
        <w:rPr>
          <w:rFonts w:hint="eastAsia" w:ascii="楷体_GB2312" w:hAnsi="楷体_GB2312" w:eastAsia="楷体_GB2312" w:cs="楷体_GB2312"/>
          <w:bCs/>
          <w:szCs w:val="21"/>
        </w:rPr>
        <w:t>十、产业项目准入禁限（控）目录</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_Toc13039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38</w:t>
      </w:r>
      <w:r>
        <w:rPr>
          <w:rFonts w:hint="eastAsia" w:ascii="楷体_GB2312" w:hAnsi="楷体_GB2312" w:eastAsia="楷体_GB2312" w:cs="楷体_GB2312"/>
        </w:rPr>
        <w:fldChar w:fldCharType="end"/>
      </w:r>
      <w:r>
        <w:rPr>
          <w:rFonts w:hint="eastAsia" w:ascii="楷体_GB2312" w:hAnsi="楷体_GB2312" w:eastAsia="楷体_GB2312" w:cs="楷体_GB2312"/>
          <w:szCs w:val="32"/>
        </w:rPr>
        <w:fldChar w:fldCharType="end"/>
      </w:r>
    </w:p>
    <w:p w14:paraId="2754A312">
      <w:pPr>
        <w:pStyle w:val="16"/>
        <w:tabs>
          <w:tab w:val="right" w:leader="dot" w:pos="8844"/>
        </w:tabs>
        <w:rPr>
          <w:rFonts w:hint="eastAsia" w:ascii="楷体_GB2312" w:hAnsi="楷体_GB2312" w:eastAsia="楷体_GB2312" w:cs="楷体_GB2312"/>
        </w:rPr>
      </w:pPr>
      <w:r>
        <w:rPr>
          <w:rFonts w:hint="eastAsia" w:ascii="楷体_GB2312" w:hAnsi="楷体_GB2312" w:eastAsia="楷体_GB2312" w:cs="楷体_GB2312"/>
          <w:szCs w:val="32"/>
        </w:rPr>
        <w:fldChar w:fldCharType="begin"/>
      </w:r>
      <w:r>
        <w:rPr>
          <w:rFonts w:hint="eastAsia" w:ascii="楷体_GB2312" w:hAnsi="楷体_GB2312" w:eastAsia="楷体_GB2312" w:cs="楷体_GB2312"/>
          <w:szCs w:val="32"/>
        </w:rPr>
        <w:instrText xml:space="preserve"> HYPERLINK \l _Toc270 </w:instrText>
      </w:r>
      <w:r>
        <w:rPr>
          <w:rFonts w:hint="eastAsia" w:ascii="楷体_GB2312" w:hAnsi="楷体_GB2312" w:eastAsia="楷体_GB2312" w:cs="楷体_GB2312"/>
          <w:szCs w:val="32"/>
        </w:rPr>
        <w:fldChar w:fldCharType="separate"/>
      </w:r>
      <w:r>
        <w:rPr>
          <w:rFonts w:hint="eastAsia" w:ascii="楷体_GB2312" w:hAnsi="楷体_GB2312" w:eastAsia="楷体_GB2312" w:cs="楷体_GB2312"/>
          <w:bCs/>
          <w:szCs w:val="21"/>
        </w:rPr>
        <w:t>十一、随州市青春化工工业园项目准入评审管理制度</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_Toc270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51</w:t>
      </w:r>
      <w:r>
        <w:rPr>
          <w:rFonts w:hint="eastAsia" w:ascii="楷体_GB2312" w:hAnsi="楷体_GB2312" w:eastAsia="楷体_GB2312" w:cs="楷体_GB2312"/>
        </w:rPr>
        <w:fldChar w:fldCharType="end"/>
      </w:r>
      <w:r>
        <w:rPr>
          <w:rFonts w:hint="eastAsia" w:ascii="楷体_GB2312" w:hAnsi="楷体_GB2312" w:eastAsia="楷体_GB2312" w:cs="楷体_GB2312"/>
          <w:szCs w:val="32"/>
        </w:rPr>
        <w:fldChar w:fldCharType="end"/>
      </w:r>
    </w:p>
    <w:p w14:paraId="695F3D12">
      <w:pPr>
        <w:pStyle w:val="16"/>
        <w:tabs>
          <w:tab w:val="right" w:leader="dot" w:pos="8844"/>
        </w:tabs>
      </w:pPr>
      <w:r>
        <w:rPr>
          <w:rFonts w:hint="eastAsia" w:ascii="楷体_GB2312" w:hAnsi="楷体_GB2312" w:eastAsia="楷体_GB2312" w:cs="楷体_GB2312"/>
          <w:szCs w:val="32"/>
        </w:rPr>
        <w:fldChar w:fldCharType="begin"/>
      </w:r>
      <w:r>
        <w:rPr>
          <w:rFonts w:hint="eastAsia" w:ascii="楷体_GB2312" w:hAnsi="楷体_GB2312" w:eastAsia="楷体_GB2312" w:cs="楷体_GB2312"/>
          <w:szCs w:val="32"/>
        </w:rPr>
        <w:instrText xml:space="preserve"> HYPERLINK \l _Toc14519 </w:instrText>
      </w:r>
      <w:r>
        <w:rPr>
          <w:rFonts w:hint="eastAsia" w:ascii="楷体_GB2312" w:hAnsi="楷体_GB2312" w:eastAsia="楷体_GB2312" w:cs="楷体_GB2312"/>
          <w:szCs w:val="32"/>
        </w:rPr>
        <w:fldChar w:fldCharType="separate"/>
      </w:r>
      <w:r>
        <w:rPr>
          <w:rFonts w:hint="eastAsia" w:ascii="楷体_GB2312" w:hAnsi="楷体_GB2312" w:eastAsia="楷体_GB2312" w:cs="楷体_GB2312"/>
          <w:bCs/>
          <w:szCs w:val="21"/>
        </w:rPr>
        <w:t>十二、随州市青春化工工业园企业（项目）退出机制</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_Toc14519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65</w:t>
      </w:r>
      <w:r>
        <w:rPr>
          <w:rFonts w:hint="eastAsia" w:ascii="楷体_GB2312" w:hAnsi="楷体_GB2312" w:eastAsia="楷体_GB2312" w:cs="楷体_GB2312"/>
        </w:rPr>
        <w:fldChar w:fldCharType="end"/>
      </w:r>
      <w:r>
        <w:rPr>
          <w:rFonts w:hint="eastAsia" w:ascii="楷体_GB2312" w:hAnsi="楷体_GB2312" w:eastAsia="楷体_GB2312" w:cs="楷体_GB2312"/>
          <w:szCs w:val="32"/>
        </w:rPr>
        <w:fldChar w:fldCharType="end"/>
      </w:r>
    </w:p>
    <w:p w14:paraId="453DA13A">
      <w:pPr>
        <w:pStyle w:val="15"/>
        <w:tabs>
          <w:tab w:val="right" w:leader="dot" w:pos="8844"/>
        </w:tabs>
      </w:pPr>
      <w:r>
        <w:rPr>
          <w:rFonts w:ascii="Times New Roman" w:hAnsi="Times New Roman"/>
          <w:szCs w:val="32"/>
        </w:rPr>
        <w:fldChar w:fldCharType="begin"/>
      </w:r>
      <w:r>
        <w:rPr>
          <w:rFonts w:ascii="Times New Roman" w:hAnsi="Times New Roman"/>
          <w:szCs w:val="32"/>
        </w:rPr>
        <w:instrText xml:space="preserve"> HYPERLINK \l _Toc11291 </w:instrText>
      </w:r>
      <w:r>
        <w:rPr>
          <w:rFonts w:ascii="Times New Roman" w:hAnsi="Times New Roman"/>
          <w:szCs w:val="32"/>
        </w:rPr>
        <w:fldChar w:fldCharType="separate"/>
      </w:r>
      <w:r>
        <w:rPr>
          <w:rFonts w:ascii="Times New Roman" w:hAnsi="Times New Roman"/>
        </w:rPr>
        <w:t>第四章</w:t>
      </w:r>
      <w:r>
        <w:rPr>
          <w:rFonts w:hint="eastAsia" w:ascii="Times New Roman" w:hAnsi="Times New Roman"/>
          <w:lang w:val="en-US" w:eastAsia="zh-CN"/>
        </w:rPr>
        <w:t xml:space="preserve"> </w:t>
      </w:r>
      <w:r>
        <w:rPr>
          <w:rFonts w:ascii="Times New Roman" w:hAnsi="Times New Roman"/>
        </w:rPr>
        <w:t xml:space="preserve"> 建设项目安全“三同时”监管制度</w:t>
      </w:r>
      <w:r>
        <w:tab/>
      </w:r>
      <w:r>
        <w:fldChar w:fldCharType="begin"/>
      </w:r>
      <w:r>
        <w:instrText xml:space="preserve"> PAGEREF _Toc11291 \h </w:instrText>
      </w:r>
      <w:r>
        <w:fldChar w:fldCharType="separate"/>
      </w:r>
      <w:r>
        <w:t>69</w:t>
      </w:r>
      <w:r>
        <w:fldChar w:fldCharType="end"/>
      </w:r>
      <w:r>
        <w:rPr>
          <w:rFonts w:ascii="Times New Roman" w:hAnsi="Times New Roman"/>
          <w:szCs w:val="32"/>
        </w:rPr>
        <w:fldChar w:fldCharType="end"/>
      </w:r>
    </w:p>
    <w:p w14:paraId="20F6C855">
      <w:pPr>
        <w:pStyle w:val="16"/>
        <w:tabs>
          <w:tab w:val="right" w:leader="dot" w:pos="8844"/>
        </w:tabs>
        <w:rPr>
          <w:rFonts w:hint="eastAsia" w:ascii="楷体_GB2312" w:hAnsi="楷体_GB2312" w:eastAsia="楷体_GB2312" w:cs="楷体_GB2312"/>
        </w:rPr>
      </w:pPr>
      <w:r>
        <w:rPr>
          <w:rFonts w:hint="eastAsia" w:ascii="楷体_GB2312" w:hAnsi="楷体_GB2312" w:eastAsia="楷体_GB2312" w:cs="楷体_GB2312"/>
          <w:szCs w:val="32"/>
        </w:rPr>
        <w:fldChar w:fldCharType="begin"/>
      </w:r>
      <w:r>
        <w:rPr>
          <w:rFonts w:hint="eastAsia" w:ascii="楷体_GB2312" w:hAnsi="楷体_GB2312" w:eastAsia="楷体_GB2312" w:cs="楷体_GB2312"/>
          <w:szCs w:val="32"/>
        </w:rPr>
        <w:instrText xml:space="preserve"> HYPERLINK \l _Toc16768 </w:instrText>
      </w:r>
      <w:r>
        <w:rPr>
          <w:rFonts w:hint="eastAsia" w:ascii="楷体_GB2312" w:hAnsi="楷体_GB2312" w:eastAsia="楷体_GB2312" w:cs="楷体_GB2312"/>
          <w:szCs w:val="32"/>
        </w:rPr>
        <w:fldChar w:fldCharType="separate"/>
      </w:r>
      <w:r>
        <w:rPr>
          <w:rFonts w:hint="eastAsia" w:ascii="楷体_GB2312" w:hAnsi="楷体_GB2312" w:eastAsia="楷体_GB2312" w:cs="楷体_GB2312"/>
          <w:bCs/>
          <w:szCs w:val="21"/>
        </w:rPr>
        <w:t>十三、建设项目安全“三同时”监管制度</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_Toc16768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69</w:t>
      </w:r>
      <w:r>
        <w:rPr>
          <w:rFonts w:hint="eastAsia" w:ascii="楷体_GB2312" w:hAnsi="楷体_GB2312" w:eastAsia="楷体_GB2312" w:cs="楷体_GB2312"/>
        </w:rPr>
        <w:fldChar w:fldCharType="end"/>
      </w:r>
      <w:r>
        <w:rPr>
          <w:rFonts w:hint="eastAsia" w:ascii="楷体_GB2312" w:hAnsi="楷体_GB2312" w:eastAsia="楷体_GB2312" w:cs="楷体_GB2312"/>
          <w:szCs w:val="32"/>
        </w:rPr>
        <w:fldChar w:fldCharType="end"/>
      </w:r>
    </w:p>
    <w:p w14:paraId="1CE6F82B">
      <w:pPr>
        <w:pStyle w:val="15"/>
        <w:tabs>
          <w:tab w:val="right" w:leader="dot" w:pos="8844"/>
        </w:tabs>
      </w:pPr>
      <w:r>
        <w:rPr>
          <w:rFonts w:ascii="Times New Roman" w:hAnsi="Times New Roman"/>
          <w:szCs w:val="32"/>
        </w:rPr>
        <w:fldChar w:fldCharType="begin"/>
      </w:r>
      <w:r>
        <w:rPr>
          <w:rFonts w:ascii="Times New Roman" w:hAnsi="Times New Roman"/>
          <w:szCs w:val="32"/>
        </w:rPr>
        <w:instrText xml:space="preserve"> HYPERLINK \l _Toc13969 </w:instrText>
      </w:r>
      <w:r>
        <w:rPr>
          <w:rFonts w:ascii="Times New Roman" w:hAnsi="Times New Roman"/>
          <w:szCs w:val="32"/>
        </w:rPr>
        <w:fldChar w:fldCharType="separate"/>
      </w:r>
      <w:r>
        <w:rPr>
          <w:rFonts w:ascii="Times New Roman" w:hAnsi="Times New Roman"/>
        </w:rPr>
        <w:t xml:space="preserve">第五章 </w:t>
      </w:r>
      <w:r>
        <w:rPr>
          <w:rFonts w:hint="eastAsia" w:ascii="Times New Roman" w:hAnsi="Times New Roman"/>
          <w:lang w:val="en-US" w:eastAsia="zh-CN"/>
        </w:rPr>
        <w:t xml:space="preserve"> </w:t>
      </w:r>
      <w:r>
        <w:rPr>
          <w:rFonts w:ascii="Times New Roman" w:hAnsi="Times New Roman"/>
        </w:rPr>
        <w:t>宣传教育培训</w:t>
      </w:r>
      <w:r>
        <w:tab/>
      </w:r>
      <w:r>
        <w:fldChar w:fldCharType="begin"/>
      </w:r>
      <w:r>
        <w:instrText xml:space="preserve"> PAGEREF _Toc13969 \h </w:instrText>
      </w:r>
      <w:r>
        <w:fldChar w:fldCharType="separate"/>
      </w:r>
      <w:r>
        <w:t>73</w:t>
      </w:r>
      <w:r>
        <w:fldChar w:fldCharType="end"/>
      </w:r>
      <w:r>
        <w:rPr>
          <w:rFonts w:ascii="Times New Roman" w:hAnsi="Times New Roman"/>
          <w:szCs w:val="32"/>
        </w:rPr>
        <w:fldChar w:fldCharType="end"/>
      </w:r>
    </w:p>
    <w:p w14:paraId="045177AC">
      <w:pPr>
        <w:pStyle w:val="16"/>
        <w:tabs>
          <w:tab w:val="right" w:leader="dot" w:pos="8844"/>
        </w:tabs>
        <w:rPr>
          <w:rFonts w:hint="eastAsia" w:ascii="楷体_GB2312" w:hAnsi="楷体_GB2312" w:eastAsia="楷体_GB2312" w:cs="楷体_GB2312"/>
        </w:rPr>
      </w:pPr>
      <w:r>
        <w:rPr>
          <w:rFonts w:hint="eastAsia" w:ascii="楷体_GB2312" w:hAnsi="楷体_GB2312" w:eastAsia="楷体_GB2312" w:cs="楷体_GB2312"/>
          <w:szCs w:val="32"/>
        </w:rPr>
        <w:fldChar w:fldCharType="begin"/>
      </w:r>
      <w:r>
        <w:rPr>
          <w:rFonts w:hint="eastAsia" w:ascii="楷体_GB2312" w:hAnsi="楷体_GB2312" w:eastAsia="楷体_GB2312" w:cs="楷体_GB2312"/>
          <w:szCs w:val="32"/>
        </w:rPr>
        <w:instrText xml:space="preserve"> HYPERLINK \l _Toc27600 </w:instrText>
      </w:r>
      <w:r>
        <w:rPr>
          <w:rFonts w:hint="eastAsia" w:ascii="楷体_GB2312" w:hAnsi="楷体_GB2312" w:eastAsia="楷体_GB2312" w:cs="楷体_GB2312"/>
          <w:szCs w:val="32"/>
        </w:rPr>
        <w:fldChar w:fldCharType="separate"/>
      </w:r>
      <w:r>
        <w:rPr>
          <w:rFonts w:hint="eastAsia" w:ascii="楷体_GB2312" w:hAnsi="楷体_GB2312" w:eastAsia="楷体_GB2312" w:cs="楷体_GB2312"/>
          <w:bCs/>
        </w:rPr>
        <w:t>十四、化工园区宣传培训管理制度</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_Toc27600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73</w:t>
      </w:r>
      <w:r>
        <w:rPr>
          <w:rFonts w:hint="eastAsia" w:ascii="楷体_GB2312" w:hAnsi="楷体_GB2312" w:eastAsia="楷体_GB2312" w:cs="楷体_GB2312"/>
        </w:rPr>
        <w:fldChar w:fldCharType="end"/>
      </w:r>
      <w:r>
        <w:rPr>
          <w:rFonts w:hint="eastAsia" w:ascii="楷体_GB2312" w:hAnsi="楷体_GB2312" w:eastAsia="楷体_GB2312" w:cs="楷体_GB2312"/>
          <w:szCs w:val="32"/>
        </w:rPr>
        <w:fldChar w:fldCharType="end"/>
      </w:r>
    </w:p>
    <w:p w14:paraId="44A953A0">
      <w:pPr>
        <w:pStyle w:val="16"/>
        <w:tabs>
          <w:tab w:val="right" w:leader="dot" w:pos="8844"/>
        </w:tabs>
        <w:rPr>
          <w:rFonts w:hint="eastAsia" w:ascii="楷体_GB2312" w:hAnsi="楷体_GB2312" w:eastAsia="楷体_GB2312" w:cs="楷体_GB2312"/>
        </w:rPr>
      </w:pPr>
      <w:r>
        <w:rPr>
          <w:rFonts w:hint="eastAsia" w:ascii="楷体_GB2312" w:hAnsi="楷体_GB2312" w:eastAsia="楷体_GB2312" w:cs="楷体_GB2312"/>
          <w:szCs w:val="32"/>
        </w:rPr>
        <w:fldChar w:fldCharType="begin"/>
      </w:r>
      <w:r>
        <w:rPr>
          <w:rFonts w:hint="eastAsia" w:ascii="楷体_GB2312" w:hAnsi="楷体_GB2312" w:eastAsia="楷体_GB2312" w:cs="楷体_GB2312"/>
          <w:szCs w:val="32"/>
        </w:rPr>
        <w:instrText xml:space="preserve"> HYPERLINK \l _Toc12844 </w:instrText>
      </w:r>
      <w:r>
        <w:rPr>
          <w:rFonts w:hint="eastAsia" w:ascii="楷体_GB2312" w:hAnsi="楷体_GB2312" w:eastAsia="楷体_GB2312" w:cs="楷体_GB2312"/>
          <w:szCs w:val="32"/>
        </w:rPr>
        <w:fldChar w:fldCharType="separate"/>
      </w:r>
      <w:r>
        <w:rPr>
          <w:rFonts w:hint="eastAsia" w:ascii="楷体_GB2312" w:hAnsi="楷体_GB2312" w:eastAsia="楷体_GB2312" w:cs="楷体_GB2312"/>
          <w:bCs/>
        </w:rPr>
        <w:t>十五、企业安全生产教育管理要求</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_Toc12844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74</w:t>
      </w:r>
      <w:r>
        <w:rPr>
          <w:rFonts w:hint="eastAsia" w:ascii="楷体_GB2312" w:hAnsi="楷体_GB2312" w:eastAsia="楷体_GB2312" w:cs="楷体_GB2312"/>
        </w:rPr>
        <w:fldChar w:fldCharType="end"/>
      </w:r>
      <w:r>
        <w:rPr>
          <w:rFonts w:hint="eastAsia" w:ascii="楷体_GB2312" w:hAnsi="楷体_GB2312" w:eastAsia="楷体_GB2312" w:cs="楷体_GB2312"/>
          <w:szCs w:val="32"/>
        </w:rPr>
        <w:fldChar w:fldCharType="end"/>
      </w:r>
    </w:p>
    <w:p w14:paraId="202B1F69">
      <w:pPr>
        <w:pStyle w:val="16"/>
        <w:tabs>
          <w:tab w:val="right" w:leader="dot" w:pos="8844"/>
        </w:tabs>
        <w:rPr>
          <w:rFonts w:hint="eastAsia" w:ascii="楷体_GB2312" w:hAnsi="楷体_GB2312" w:eastAsia="楷体_GB2312" w:cs="楷体_GB2312"/>
        </w:rPr>
      </w:pPr>
      <w:r>
        <w:rPr>
          <w:rFonts w:hint="eastAsia" w:ascii="楷体_GB2312" w:hAnsi="楷体_GB2312" w:eastAsia="楷体_GB2312" w:cs="楷体_GB2312"/>
          <w:szCs w:val="32"/>
        </w:rPr>
        <w:fldChar w:fldCharType="begin"/>
      </w:r>
      <w:r>
        <w:rPr>
          <w:rFonts w:hint="eastAsia" w:ascii="楷体_GB2312" w:hAnsi="楷体_GB2312" w:eastAsia="楷体_GB2312" w:cs="楷体_GB2312"/>
          <w:szCs w:val="32"/>
        </w:rPr>
        <w:instrText xml:space="preserve"> HYPERLINK \l _Toc637 </w:instrText>
      </w:r>
      <w:r>
        <w:rPr>
          <w:rFonts w:hint="eastAsia" w:ascii="楷体_GB2312" w:hAnsi="楷体_GB2312" w:eastAsia="楷体_GB2312" w:cs="楷体_GB2312"/>
          <w:szCs w:val="32"/>
        </w:rPr>
        <w:fldChar w:fldCharType="separate"/>
      </w:r>
      <w:r>
        <w:rPr>
          <w:rFonts w:hint="eastAsia" w:ascii="楷体_GB2312" w:hAnsi="楷体_GB2312" w:eastAsia="楷体_GB2312" w:cs="楷体_GB2312"/>
          <w:bCs/>
        </w:rPr>
        <w:t>十六、化工园区实训基地管理制度</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_Toc637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79</w:t>
      </w:r>
      <w:r>
        <w:rPr>
          <w:rFonts w:hint="eastAsia" w:ascii="楷体_GB2312" w:hAnsi="楷体_GB2312" w:eastAsia="楷体_GB2312" w:cs="楷体_GB2312"/>
        </w:rPr>
        <w:fldChar w:fldCharType="end"/>
      </w:r>
      <w:r>
        <w:rPr>
          <w:rFonts w:hint="eastAsia" w:ascii="楷体_GB2312" w:hAnsi="楷体_GB2312" w:eastAsia="楷体_GB2312" w:cs="楷体_GB2312"/>
          <w:szCs w:val="32"/>
        </w:rPr>
        <w:fldChar w:fldCharType="end"/>
      </w:r>
    </w:p>
    <w:p w14:paraId="65CD1681">
      <w:pPr>
        <w:pStyle w:val="15"/>
        <w:tabs>
          <w:tab w:val="right" w:leader="dot" w:pos="8844"/>
        </w:tabs>
      </w:pPr>
      <w:r>
        <w:rPr>
          <w:rFonts w:ascii="Times New Roman" w:hAnsi="Times New Roman"/>
          <w:szCs w:val="32"/>
        </w:rPr>
        <w:fldChar w:fldCharType="begin"/>
      </w:r>
      <w:r>
        <w:rPr>
          <w:rFonts w:ascii="Times New Roman" w:hAnsi="Times New Roman"/>
          <w:szCs w:val="32"/>
        </w:rPr>
        <w:instrText xml:space="preserve"> HYPERLINK \l _Toc26192 </w:instrText>
      </w:r>
      <w:r>
        <w:rPr>
          <w:rFonts w:ascii="Times New Roman" w:hAnsi="Times New Roman"/>
          <w:szCs w:val="32"/>
        </w:rPr>
        <w:fldChar w:fldCharType="separate"/>
      </w:r>
      <w:r>
        <w:rPr>
          <w:rFonts w:ascii="Times New Roman" w:hAnsi="Times New Roman"/>
        </w:rPr>
        <w:t xml:space="preserve">第六章 </w:t>
      </w:r>
      <w:r>
        <w:rPr>
          <w:rFonts w:hint="eastAsia" w:ascii="Times New Roman" w:hAnsi="Times New Roman"/>
          <w:lang w:val="en-US" w:eastAsia="zh-CN"/>
        </w:rPr>
        <w:t xml:space="preserve"> </w:t>
      </w:r>
      <w:r>
        <w:rPr>
          <w:rFonts w:ascii="Times New Roman" w:hAnsi="Times New Roman"/>
        </w:rPr>
        <w:t>重大危险源管理</w:t>
      </w:r>
      <w:r>
        <w:tab/>
      </w:r>
      <w:r>
        <w:fldChar w:fldCharType="begin"/>
      </w:r>
      <w:r>
        <w:instrText xml:space="preserve"> PAGEREF _Toc26192 \h </w:instrText>
      </w:r>
      <w:r>
        <w:fldChar w:fldCharType="separate"/>
      </w:r>
      <w:r>
        <w:t>80</w:t>
      </w:r>
      <w:r>
        <w:fldChar w:fldCharType="end"/>
      </w:r>
      <w:r>
        <w:rPr>
          <w:rFonts w:ascii="Times New Roman" w:hAnsi="Times New Roman"/>
          <w:szCs w:val="32"/>
        </w:rPr>
        <w:fldChar w:fldCharType="end"/>
      </w:r>
    </w:p>
    <w:p w14:paraId="7D17015E">
      <w:pPr>
        <w:pStyle w:val="16"/>
        <w:tabs>
          <w:tab w:val="right" w:leader="dot" w:pos="8844"/>
        </w:tabs>
        <w:rPr>
          <w:rFonts w:hint="eastAsia" w:ascii="楷体_GB2312" w:hAnsi="楷体_GB2312" w:eastAsia="楷体_GB2312" w:cs="楷体_GB2312"/>
        </w:rPr>
      </w:pPr>
      <w:r>
        <w:rPr>
          <w:rFonts w:hint="eastAsia" w:ascii="楷体_GB2312" w:hAnsi="楷体_GB2312" w:eastAsia="楷体_GB2312" w:cs="楷体_GB2312"/>
          <w:szCs w:val="32"/>
        </w:rPr>
        <w:fldChar w:fldCharType="begin"/>
      </w:r>
      <w:r>
        <w:rPr>
          <w:rFonts w:hint="eastAsia" w:ascii="楷体_GB2312" w:hAnsi="楷体_GB2312" w:eastAsia="楷体_GB2312" w:cs="楷体_GB2312"/>
          <w:szCs w:val="32"/>
        </w:rPr>
        <w:instrText xml:space="preserve"> HYPERLINK \l _Toc16307 </w:instrText>
      </w:r>
      <w:r>
        <w:rPr>
          <w:rFonts w:hint="eastAsia" w:ascii="楷体_GB2312" w:hAnsi="楷体_GB2312" w:eastAsia="楷体_GB2312" w:cs="楷体_GB2312"/>
          <w:szCs w:val="32"/>
        </w:rPr>
        <w:fldChar w:fldCharType="separate"/>
      </w:r>
      <w:r>
        <w:rPr>
          <w:rFonts w:hint="eastAsia" w:ascii="楷体_GB2312" w:hAnsi="楷体_GB2312" w:eastAsia="楷体_GB2312" w:cs="楷体_GB2312"/>
          <w:bCs/>
        </w:rPr>
        <w:t>十七、危险化学品重大危险源管理制度</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_Toc16307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80</w:t>
      </w:r>
      <w:r>
        <w:rPr>
          <w:rFonts w:hint="eastAsia" w:ascii="楷体_GB2312" w:hAnsi="楷体_GB2312" w:eastAsia="楷体_GB2312" w:cs="楷体_GB2312"/>
        </w:rPr>
        <w:fldChar w:fldCharType="end"/>
      </w:r>
      <w:r>
        <w:rPr>
          <w:rFonts w:hint="eastAsia" w:ascii="楷体_GB2312" w:hAnsi="楷体_GB2312" w:eastAsia="楷体_GB2312" w:cs="楷体_GB2312"/>
          <w:szCs w:val="32"/>
        </w:rPr>
        <w:fldChar w:fldCharType="end"/>
      </w:r>
    </w:p>
    <w:p w14:paraId="65F3F9A8">
      <w:pPr>
        <w:pStyle w:val="16"/>
        <w:tabs>
          <w:tab w:val="right" w:leader="dot" w:pos="8844"/>
        </w:tabs>
        <w:rPr>
          <w:rFonts w:hint="eastAsia" w:ascii="楷体_GB2312" w:hAnsi="楷体_GB2312" w:eastAsia="楷体_GB2312" w:cs="楷体_GB2312"/>
        </w:rPr>
      </w:pPr>
      <w:r>
        <w:rPr>
          <w:rFonts w:hint="eastAsia" w:ascii="楷体_GB2312" w:hAnsi="楷体_GB2312" w:eastAsia="楷体_GB2312" w:cs="楷体_GB2312"/>
          <w:szCs w:val="32"/>
        </w:rPr>
        <w:fldChar w:fldCharType="begin"/>
      </w:r>
      <w:r>
        <w:rPr>
          <w:rFonts w:hint="eastAsia" w:ascii="楷体_GB2312" w:hAnsi="楷体_GB2312" w:eastAsia="楷体_GB2312" w:cs="楷体_GB2312"/>
          <w:szCs w:val="32"/>
        </w:rPr>
        <w:instrText xml:space="preserve"> HYPERLINK \l _Toc23400 </w:instrText>
      </w:r>
      <w:r>
        <w:rPr>
          <w:rFonts w:hint="eastAsia" w:ascii="楷体_GB2312" w:hAnsi="楷体_GB2312" w:eastAsia="楷体_GB2312" w:cs="楷体_GB2312"/>
          <w:szCs w:val="32"/>
        </w:rPr>
        <w:fldChar w:fldCharType="separate"/>
      </w:r>
      <w:r>
        <w:rPr>
          <w:rFonts w:hint="eastAsia" w:ascii="楷体_GB2312" w:hAnsi="楷体_GB2312" w:eastAsia="楷体_GB2312" w:cs="楷体_GB2312"/>
          <w:bCs/>
          <w:szCs w:val="21"/>
        </w:rPr>
        <w:t>十八、危险化学品重大危险源包保责任制</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_Toc23400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92</w:t>
      </w:r>
      <w:r>
        <w:rPr>
          <w:rFonts w:hint="eastAsia" w:ascii="楷体_GB2312" w:hAnsi="楷体_GB2312" w:eastAsia="楷体_GB2312" w:cs="楷体_GB2312"/>
        </w:rPr>
        <w:fldChar w:fldCharType="end"/>
      </w:r>
      <w:r>
        <w:rPr>
          <w:rFonts w:hint="eastAsia" w:ascii="楷体_GB2312" w:hAnsi="楷体_GB2312" w:eastAsia="楷体_GB2312" w:cs="楷体_GB2312"/>
          <w:szCs w:val="32"/>
        </w:rPr>
        <w:fldChar w:fldCharType="end"/>
      </w:r>
    </w:p>
    <w:p w14:paraId="1F306534">
      <w:pPr>
        <w:pStyle w:val="15"/>
        <w:tabs>
          <w:tab w:val="right" w:leader="dot" w:pos="8844"/>
        </w:tabs>
      </w:pPr>
      <w:r>
        <w:rPr>
          <w:rFonts w:ascii="Times New Roman" w:hAnsi="Times New Roman"/>
          <w:szCs w:val="32"/>
        </w:rPr>
        <w:fldChar w:fldCharType="begin"/>
      </w:r>
      <w:r>
        <w:rPr>
          <w:rFonts w:ascii="Times New Roman" w:hAnsi="Times New Roman"/>
          <w:szCs w:val="32"/>
        </w:rPr>
        <w:instrText xml:space="preserve"> HYPERLINK \l _Toc11613 </w:instrText>
      </w:r>
      <w:r>
        <w:rPr>
          <w:rFonts w:ascii="Times New Roman" w:hAnsi="Times New Roman"/>
          <w:szCs w:val="32"/>
        </w:rPr>
        <w:fldChar w:fldCharType="separate"/>
      </w:r>
      <w:r>
        <w:rPr>
          <w:rFonts w:ascii="Times New Roman" w:hAnsi="Times New Roman"/>
        </w:rPr>
        <w:t xml:space="preserve">第七章 </w:t>
      </w:r>
      <w:r>
        <w:rPr>
          <w:rFonts w:hint="eastAsia" w:ascii="Times New Roman" w:hAnsi="Times New Roman"/>
          <w:lang w:val="en-US" w:eastAsia="zh-CN"/>
        </w:rPr>
        <w:t xml:space="preserve"> </w:t>
      </w:r>
      <w:r>
        <w:rPr>
          <w:rFonts w:ascii="Times New Roman" w:hAnsi="Times New Roman"/>
        </w:rPr>
        <w:t>封闭管理</w:t>
      </w:r>
      <w:r>
        <w:tab/>
      </w:r>
      <w:r>
        <w:fldChar w:fldCharType="begin"/>
      </w:r>
      <w:r>
        <w:instrText xml:space="preserve"> PAGEREF _Toc11613 \h </w:instrText>
      </w:r>
      <w:r>
        <w:fldChar w:fldCharType="separate"/>
      </w:r>
      <w:r>
        <w:t>97</w:t>
      </w:r>
      <w:r>
        <w:fldChar w:fldCharType="end"/>
      </w:r>
      <w:r>
        <w:rPr>
          <w:rFonts w:ascii="Times New Roman" w:hAnsi="Times New Roman"/>
          <w:szCs w:val="32"/>
        </w:rPr>
        <w:fldChar w:fldCharType="end"/>
      </w:r>
    </w:p>
    <w:p w14:paraId="3111CA4B">
      <w:pPr>
        <w:pStyle w:val="16"/>
        <w:tabs>
          <w:tab w:val="right" w:leader="dot" w:pos="8844"/>
        </w:tabs>
      </w:pPr>
      <w:r>
        <w:rPr>
          <w:rFonts w:hint="eastAsia" w:ascii="楷体_GB2312" w:hAnsi="楷体_GB2312" w:eastAsia="楷体_GB2312" w:cs="楷体_GB2312"/>
          <w:szCs w:val="32"/>
        </w:rPr>
        <w:fldChar w:fldCharType="begin"/>
      </w:r>
      <w:r>
        <w:rPr>
          <w:rFonts w:hint="eastAsia" w:ascii="楷体_GB2312" w:hAnsi="楷体_GB2312" w:eastAsia="楷体_GB2312" w:cs="楷体_GB2312"/>
          <w:szCs w:val="32"/>
        </w:rPr>
        <w:instrText xml:space="preserve"> HYPERLINK \l _Toc12856 </w:instrText>
      </w:r>
      <w:r>
        <w:rPr>
          <w:rFonts w:hint="eastAsia" w:ascii="楷体_GB2312" w:hAnsi="楷体_GB2312" w:eastAsia="楷体_GB2312" w:cs="楷体_GB2312"/>
          <w:szCs w:val="32"/>
        </w:rPr>
        <w:fldChar w:fldCharType="separate"/>
      </w:r>
      <w:r>
        <w:rPr>
          <w:rFonts w:hint="eastAsia" w:ascii="楷体_GB2312" w:hAnsi="楷体_GB2312" w:eastAsia="楷体_GB2312" w:cs="楷体_GB2312"/>
          <w:bCs/>
          <w:szCs w:val="21"/>
        </w:rPr>
        <w:t>十九、封闭化管理制度</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_Toc12856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97</w:t>
      </w:r>
      <w:r>
        <w:rPr>
          <w:rFonts w:hint="eastAsia" w:ascii="楷体_GB2312" w:hAnsi="楷体_GB2312" w:eastAsia="楷体_GB2312" w:cs="楷体_GB2312"/>
        </w:rPr>
        <w:fldChar w:fldCharType="end"/>
      </w:r>
      <w:r>
        <w:rPr>
          <w:rFonts w:hint="eastAsia" w:ascii="楷体_GB2312" w:hAnsi="楷体_GB2312" w:eastAsia="楷体_GB2312" w:cs="楷体_GB2312"/>
          <w:szCs w:val="32"/>
        </w:rPr>
        <w:fldChar w:fldCharType="end"/>
      </w:r>
    </w:p>
    <w:p w14:paraId="1B4E5A43">
      <w:pPr>
        <w:pStyle w:val="15"/>
        <w:tabs>
          <w:tab w:val="right" w:leader="dot" w:pos="8844"/>
        </w:tabs>
      </w:pPr>
      <w:r>
        <w:rPr>
          <w:rFonts w:ascii="Times New Roman" w:hAnsi="Times New Roman"/>
          <w:szCs w:val="32"/>
        </w:rPr>
        <w:fldChar w:fldCharType="begin"/>
      </w:r>
      <w:r>
        <w:rPr>
          <w:rFonts w:ascii="Times New Roman" w:hAnsi="Times New Roman"/>
          <w:szCs w:val="32"/>
        </w:rPr>
        <w:instrText xml:space="preserve"> HYPERLINK \l _Toc13732 </w:instrText>
      </w:r>
      <w:r>
        <w:rPr>
          <w:rFonts w:ascii="Times New Roman" w:hAnsi="Times New Roman"/>
          <w:szCs w:val="32"/>
        </w:rPr>
        <w:fldChar w:fldCharType="separate"/>
      </w:r>
      <w:r>
        <w:rPr>
          <w:rFonts w:ascii="Times New Roman" w:hAnsi="Times New Roman"/>
        </w:rPr>
        <w:t>第八章</w:t>
      </w:r>
      <w:r>
        <w:rPr>
          <w:rFonts w:hint="eastAsia" w:ascii="Times New Roman" w:hAnsi="Times New Roman"/>
          <w:lang w:val="en-US" w:eastAsia="zh-CN"/>
        </w:rPr>
        <w:t xml:space="preserve"> </w:t>
      </w:r>
      <w:r>
        <w:rPr>
          <w:rFonts w:ascii="Times New Roman" w:hAnsi="Times New Roman"/>
        </w:rPr>
        <w:t xml:space="preserve"> 监督检查</w:t>
      </w:r>
      <w:r>
        <w:tab/>
      </w:r>
      <w:r>
        <w:fldChar w:fldCharType="begin"/>
      </w:r>
      <w:r>
        <w:instrText xml:space="preserve"> PAGEREF _Toc13732 \h </w:instrText>
      </w:r>
      <w:r>
        <w:fldChar w:fldCharType="separate"/>
      </w:r>
      <w:r>
        <w:t>105</w:t>
      </w:r>
      <w:r>
        <w:fldChar w:fldCharType="end"/>
      </w:r>
      <w:r>
        <w:rPr>
          <w:rFonts w:ascii="Times New Roman" w:hAnsi="Times New Roman"/>
          <w:szCs w:val="32"/>
        </w:rPr>
        <w:fldChar w:fldCharType="end"/>
      </w:r>
    </w:p>
    <w:p w14:paraId="69AB4227">
      <w:pPr>
        <w:pStyle w:val="16"/>
        <w:tabs>
          <w:tab w:val="right" w:leader="dot" w:pos="8844"/>
        </w:tabs>
        <w:rPr>
          <w:rFonts w:hint="eastAsia" w:ascii="楷体_GB2312" w:hAnsi="楷体_GB2312" w:eastAsia="楷体_GB2312" w:cs="楷体_GB2312"/>
        </w:rPr>
      </w:pPr>
      <w:r>
        <w:rPr>
          <w:rFonts w:hint="eastAsia" w:ascii="楷体_GB2312" w:hAnsi="楷体_GB2312" w:eastAsia="楷体_GB2312" w:cs="楷体_GB2312"/>
          <w:szCs w:val="32"/>
        </w:rPr>
        <w:fldChar w:fldCharType="begin"/>
      </w:r>
      <w:r>
        <w:rPr>
          <w:rFonts w:hint="eastAsia" w:ascii="楷体_GB2312" w:hAnsi="楷体_GB2312" w:eastAsia="楷体_GB2312" w:cs="楷体_GB2312"/>
          <w:szCs w:val="32"/>
        </w:rPr>
        <w:instrText xml:space="preserve"> HYPERLINK \l _Toc11986 </w:instrText>
      </w:r>
      <w:r>
        <w:rPr>
          <w:rFonts w:hint="eastAsia" w:ascii="楷体_GB2312" w:hAnsi="楷体_GB2312" w:eastAsia="楷体_GB2312" w:cs="楷体_GB2312"/>
          <w:szCs w:val="32"/>
        </w:rPr>
        <w:fldChar w:fldCharType="separate"/>
      </w:r>
      <w:r>
        <w:rPr>
          <w:rFonts w:hint="eastAsia" w:ascii="楷体_GB2312" w:hAnsi="楷体_GB2312" w:eastAsia="楷体_GB2312" w:cs="楷体_GB2312"/>
          <w:bCs/>
        </w:rPr>
        <w:t>二十、安全生产监督检查制度</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_Toc11986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105</w:t>
      </w:r>
      <w:r>
        <w:rPr>
          <w:rFonts w:hint="eastAsia" w:ascii="楷体_GB2312" w:hAnsi="楷体_GB2312" w:eastAsia="楷体_GB2312" w:cs="楷体_GB2312"/>
        </w:rPr>
        <w:fldChar w:fldCharType="end"/>
      </w:r>
      <w:r>
        <w:rPr>
          <w:rFonts w:hint="eastAsia" w:ascii="楷体_GB2312" w:hAnsi="楷体_GB2312" w:eastAsia="楷体_GB2312" w:cs="楷体_GB2312"/>
          <w:szCs w:val="32"/>
        </w:rPr>
        <w:fldChar w:fldCharType="end"/>
      </w:r>
    </w:p>
    <w:p w14:paraId="78A184C6">
      <w:pPr>
        <w:pStyle w:val="16"/>
        <w:tabs>
          <w:tab w:val="right" w:leader="dot" w:pos="8844"/>
        </w:tabs>
      </w:pPr>
      <w:r>
        <w:rPr>
          <w:rFonts w:hint="eastAsia" w:ascii="楷体_GB2312" w:hAnsi="楷体_GB2312" w:eastAsia="楷体_GB2312" w:cs="楷体_GB2312"/>
          <w:szCs w:val="32"/>
        </w:rPr>
        <w:fldChar w:fldCharType="begin"/>
      </w:r>
      <w:r>
        <w:rPr>
          <w:rFonts w:hint="eastAsia" w:ascii="楷体_GB2312" w:hAnsi="楷体_GB2312" w:eastAsia="楷体_GB2312" w:cs="楷体_GB2312"/>
          <w:szCs w:val="32"/>
        </w:rPr>
        <w:instrText xml:space="preserve"> HYPERLINK \l _Toc19622 </w:instrText>
      </w:r>
      <w:r>
        <w:rPr>
          <w:rFonts w:hint="eastAsia" w:ascii="楷体_GB2312" w:hAnsi="楷体_GB2312" w:eastAsia="楷体_GB2312" w:cs="楷体_GB2312"/>
          <w:szCs w:val="32"/>
        </w:rPr>
        <w:fldChar w:fldCharType="separate"/>
      </w:r>
      <w:r>
        <w:rPr>
          <w:rFonts w:hint="eastAsia" w:ascii="楷体_GB2312" w:hAnsi="楷体_GB2312" w:eastAsia="楷体_GB2312" w:cs="楷体_GB2312"/>
          <w:bCs/>
          <w:szCs w:val="21"/>
        </w:rPr>
        <w:t>二十</w:t>
      </w:r>
      <w:r>
        <w:rPr>
          <w:rFonts w:hint="eastAsia" w:ascii="楷体_GB2312" w:hAnsi="楷体_GB2312" w:eastAsia="楷体_GB2312" w:cs="楷体_GB2312"/>
          <w:bCs/>
          <w:szCs w:val="21"/>
          <w:lang w:val="en-US" w:eastAsia="zh-CN"/>
        </w:rPr>
        <w:t>一</w:t>
      </w:r>
      <w:r>
        <w:rPr>
          <w:rFonts w:hint="eastAsia" w:ascii="楷体_GB2312" w:hAnsi="楷体_GB2312" w:eastAsia="楷体_GB2312" w:cs="楷体_GB2312"/>
          <w:bCs/>
          <w:szCs w:val="21"/>
        </w:rPr>
        <w:t>、企业安全风险分级管控制度</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_Toc19622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106</w:t>
      </w:r>
      <w:r>
        <w:rPr>
          <w:rFonts w:hint="eastAsia" w:ascii="楷体_GB2312" w:hAnsi="楷体_GB2312" w:eastAsia="楷体_GB2312" w:cs="楷体_GB2312"/>
        </w:rPr>
        <w:fldChar w:fldCharType="end"/>
      </w:r>
      <w:r>
        <w:rPr>
          <w:rFonts w:hint="eastAsia" w:ascii="楷体_GB2312" w:hAnsi="楷体_GB2312" w:eastAsia="楷体_GB2312" w:cs="楷体_GB2312"/>
          <w:szCs w:val="32"/>
        </w:rPr>
        <w:fldChar w:fldCharType="end"/>
      </w:r>
    </w:p>
    <w:p w14:paraId="2A9EFACD">
      <w:pPr>
        <w:pStyle w:val="16"/>
        <w:tabs>
          <w:tab w:val="right" w:leader="dot" w:pos="8844"/>
        </w:tabs>
        <w:rPr>
          <w:rFonts w:hint="eastAsia" w:ascii="楷体_GB2312" w:hAnsi="楷体_GB2312" w:eastAsia="楷体_GB2312" w:cs="楷体_GB2312"/>
        </w:rPr>
      </w:pPr>
      <w:r>
        <w:rPr>
          <w:rFonts w:hint="eastAsia" w:ascii="楷体_GB2312" w:hAnsi="楷体_GB2312" w:eastAsia="楷体_GB2312" w:cs="楷体_GB2312"/>
          <w:szCs w:val="32"/>
        </w:rPr>
        <w:fldChar w:fldCharType="begin"/>
      </w:r>
      <w:r>
        <w:rPr>
          <w:rFonts w:hint="eastAsia" w:ascii="楷体_GB2312" w:hAnsi="楷体_GB2312" w:eastAsia="楷体_GB2312" w:cs="楷体_GB2312"/>
          <w:szCs w:val="32"/>
        </w:rPr>
        <w:instrText xml:space="preserve"> HYPERLINK \l _Toc23555 </w:instrText>
      </w:r>
      <w:r>
        <w:rPr>
          <w:rFonts w:hint="eastAsia" w:ascii="楷体_GB2312" w:hAnsi="楷体_GB2312" w:eastAsia="楷体_GB2312" w:cs="楷体_GB2312"/>
          <w:szCs w:val="32"/>
        </w:rPr>
        <w:fldChar w:fldCharType="separate"/>
      </w:r>
      <w:r>
        <w:rPr>
          <w:rFonts w:hint="eastAsia" w:ascii="楷体_GB2312" w:hAnsi="楷体_GB2312" w:eastAsia="楷体_GB2312" w:cs="楷体_GB2312"/>
          <w:bCs/>
          <w:szCs w:val="21"/>
        </w:rPr>
        <w:t>二十</w:t>
      </w:r>
      <w:r>
        <w:rPr>
          <w:rFonts w:hint="eastAsia" w:ascii="楷体_GB2312" w:hAnsi="楷体_GB2312" w:eastAsia="楷体_GB2312" w:cs="楷体_GB2312"/>
          <w:bCs/>
          <w:szCs w:val="21"/>
          <w:lang w:val="en-US" w:eastAsia="zh-CN"/>
        </w:rPr>
        <w:t>二</w:t>
      </w:r>
      <w:r>
        <w:rPr>
          <w:rFonts w:hint="eastAsia" w:ascii="楷体_GB2312" w:hAnsi="楷体_GB2312" w:eastAsia="楷体_GB2312" w:cs="楷体_GB2312"/>
          <w:bCs/>
          <w:szCs w:val="21"/>
        </w:rPr>
        <w:t>、事故隐患排查治理管理制度</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_Toc23555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108</w:t>
      </w:r>
      <w:r>
        <w:rPr>
          <w:rFonts w:hint="eastAsia" w:ascii="楷体_GB2312" w:hAnsi="楷体_GB2312" w:eastAsia="楷体_GB2312" w:cs="楷体_GB2312"/>
        </w:rPr>
        <w:fldChar w:fldCharType="end"/>
      </w:r>
      <w:r>
        <w:rPr>
          <w:rFonts w:hint="eastAsia" w:ascii="楷体_GB2312" w:hAnsi="楷体_GB2312" w:eastAsia="楷体_GB2312" w:cs="楷体_GB2312"/>
          <w:szCs w:val="32"/>
        </w:rPr>
        <w:fldChar w:fldCharType="end"/>
      </w:r>
    </w:p>
    <w:p w14:paraId="0B4C85A6">
      <w:pPr>
        <w:pStyle w:val="16"/>
        <w:tabs>
          <w:tab w:val="right" w:leader="dot" w:pos="8844"/>
        </w:tabs>
      </w:pPr>
      <w:r>
        <w:rPr>
          <w:rFonts w:hint="eastAsia" w:ascii="楷体_GB2312" w:hAnsi="楷体_GB2312" w:eastAsia="楷体_GB2312" w:cs="楷体_GB2312"/>
          <w:szCs w:val="32"/>
        </w:rPr>
        <w:fldChar w:fldCharType="begin"/>
      </w:r>
      <w:r>
        <w:rPr>
          <w:rFonts w:hint="eastAsia" w:ascii="楷体_GB2312" w:hAnsi="楷体_GB2312" w:eastAsia="楷体_GB2312" w:cs="楷体_GB2312"/>
          <w:szCs w:val="32"/>
        </w:rPr>
        <w:instrText xml:space="preserve"> HYPERLINK \l _Toc9356 </w:instrText>
      </w:r>
      <w:r>
        <w:rPr>
          <w:rFonts w:hint="eastAsia" w:ascii="楷体_GB2312" w:hAnsi="楷体_GB2312" w:eastAsia="楷体_GB2312" w:cs="楷体_GB2312"/>
          <w:szCs w:val="32"/>
        </w:rPr>
        <w:fldChar w:fldCharType="separate"/>
      </w:r>
      <w:r>
        <w:rPr>
          <w:rFonts w:hint="eastAsia" w:ascii="楷体_GB2312" w:hAnsi="楷体_GB2312" w:eastAsia="楷体_GB2312" w:cs="楷体_GB2312"/>
          <w:bCs/>
          <w:szCs w:val="21"/>
        </w:rPr>
        <w:t>二十</w:t>
      </w:r>
      <w:r>
        <w:rPr>
          <w:rFonts w:hint="eastAsia" w:ascii="楷体_GB2312" w:hAnsi="楷体_GB2312" w:eastAsia="楷体_GB2312" w:cs="楷体_GB2312"/>
          <w:bCs/>
          <w:szCs w:val="21"/>
          <w:lang w:val="en-US" w:eastAsia="zh-CN"/>
        </w:rPr>
        <w:t>三</w:t>
      </w:r>
      <w:r>
        <w:rPr>
          <w:rFonts w:hint="eastAsia" w:ascii="楷体_GB2312" w:hAnsi="楷体_GB2312" w:eastAsia="楷体_GB2312" w:cs="楷体_GB2312"/>
          <w:bCs/>
          <w:szCs w:val="21"/>
        </w:rPr>
        <w:t>、自然灾害预防和应急处置制度</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_Toc9356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113</w:t>
      </w:r>
      <w:r>
        <w:rPr>
          <w:rFonts w:hint="eastAsia" w:ascii="楷体_GB2312" w:hAnsi="楷体_GB2312" w:eastAsia="楷体_GB2312" w:cs="楷体_GB2312"/>
        </w:rPr>
        <w:fldChar w:fldCharType="end"/>
      </w:r>
      <w:r>
        <w:rPr>
          <w:rFonts w:hint="eastAsia" w:ascii="楷体_GB2312" w:hAnsi="楷体_GB2312" w:eastAsia="楷体_GB2312" w:cs="楷体_GB2312"/>
          <w:szCs w:val="32"/>
        </w:rPr>
        <w:fldChar w:fldCharType="end"/>
      </w:r>
    </w:p>
    <w:p w14:paraId="285D125E">
      <w:pPr>
        <w:pStyle w:val="15"/>
        <w:tabs>
          <w:tab w:val="right" w:leader="dot" w:pos="8844"/>
        </w:tabs>
      </w:pPr>
      <w:r>
        <w:rPr>
          <w:rFonts w:ascii="Times New Roman" w:hAnsi="Times New Roman"/>
          <w:szCs w:val="32"/>
        </w:rPr>
        <w:fldChar w:fldCharType="begin"/>
      </w:r>
      <w:r>
        <w:rPr>
          <w:rFonts w:ascii="Times New Roman" w:hAnsi="Times New Roman"/>
          <w:szCs w:val="32"/>
        </w:rPr>
        <w:instrText xml:space="preserve"> HYPERLINK \l _Toc4992 </w:instrText>
      </w:r>
      <w:r>
        <w:rPr>
          <w:rFonts w:ascii="Times New Roman" w:hAnsi="Times New Roman"/>
          <w:szCs w:val="32"/>
        </w:rPr>
        <w:fldChar w:fldCharType="separate"/>
      </w:r>
      <w:r>
        <w:rPr>
          <w:rFonts w:ascii="Times New Roman" w:hAnsi="Times New Roman"/>
        </w:rPr>
        <w:t>第九章</w:t>
      </w:r>
      <w:r>
        <w:rPr>
          <w:rFonts w:hint="eastAsia" w:ascii="Times New Roman" w:hAnsi="Times New Roman"/>
          <w:lang w:val="en-US" w:eastAsia="zh-CN"/>
        </w:rPr>
        <w:t xml:space="preserve"> </w:t>
      </w:r>
      <w:r>
        <w:rPr>
          <w:rFonts w:ascii="Times New Roman" w:hAnsi="Times New Roman"/>
        </w:rPr>
        <w:t xml:space="preserve"> 特殊作业安全管理</w:t>
      </w:r>
      <w:r>
        <w:tab/>
      </w:r>
      <w:r>
        <w:fldChar w:fldCharType="begin"/>
      </w:r>
      <w:r>
        <w:instrText xml:space="preserve"> PAGEREF _Toc4992 \h </w:instrText>
      </w:r>
      <w:r>
        <w:fldChar w:fldCharType="separate"/>
      </w:r>
      <w:r>
        <w:t>117</w:t>
      </w:r>
      <w:r>
        <w:fldChar w:fldCharType="end"/>
      </w:r>
      <w:r>
        <w:rPr>
          <w:rFonts w:ascii="Times New Roman" w:hAnsi="Times New Roman"/>
          <w:szCs w:val="32"/>
        </w:rPr>
        <w:fldChar w:fldCharType="end"/>
      </w:r>
    </w:p>
    <w:p w14:paraId="41DE79BC">
      <w:pPr>
        <w:pStyle w:val="16"/>
        <w:tabs>
          <w:tab w:val="right" w:leader="dot" w:pos="8844"/>
        </w:tabs>
        <w:rPr>
          <w:rFonts w:hint="eastAsia" w:ascii="楷体_GB2312" w:hAnsi="楷体_GB2312" w:eastAsia="楷体_GB2312" w:cs="楷体_GB2312"/>
        </w:rPr>
      </w:pPr>
      <w:r>
        <w:rPr>
          <w:rFonts w:hint="eastAsia" w:ascii="楷体_GB2312" w:hAnsi="楷体_GB2312" w:eastAsia="楷体_GB2312" w:cs="楷体_GB2312"/>
          <w:szCs w:val="32"/>
        </w:rPr>
        <w:fldChar w:fldCharType="begin"/>
      </w:r>
      <w:r>
        <w:rPr>
          <w:rFonts w:hint="eastAsia" w:ascii="楷体_GB2312" w:hAnsi="楷体_GB2312" w:eastAsia="楷体_GB2312" w:cs="楷体_GB2312"/>
          <w:szCs w:val="32"/>
        </w:rPr>
        <w:instrText xml:space="preserve"> HYPERLINK \l _Toc10152 </w:instrText>
      </w:r>
      <w:r>
        <w:rPr>
          <w:rFonts w:hint="eastAsia" w:ascii="楷体_GB2312" w:hAnsi="楷体_GB2312" w:eastAsia="楷体_GB2312" w:cs="楷体_GB2312"/>
          <w:szCs w:val="32"/>
        </w:rPr>
        <w:fldChar w:fldCharType="separate"/>
      </w:r>
      <w:r>
        <w:rPr>
          <w:rFonts w:hint="eastAsia" w:ascii="楷体_GB2312" w:hAnsi="楷体_GB2312" w:eastAsia="楷体_GB2312" w:cs="楷体_GB2312"/>
          <w:bCs/>
          <w:szCs w:val="21"/>
        </w:rPr>
        <w:t>二十</w:t>
      </w:r>
      <w:r>
        <w:rPr>
          <w:rFonts w:hint="eastAsia" w:ascii="楷体_GB2312" w:hAnsi="楷体_GB2312" w:eastAsia="楷体_GB2312" w:cs="楷体_GB2312"/>
          <w:bCs/>
          <w:szCs w:val="21"/>
          <w:lang w:val="en-US" w:eastAsia="zh-CN"/>
        </w:rPr>
        <w:t>四</w:t>
      </w:r>
      <w:r>
        <w:rPr>
          <w:rFonts w:hint="eastAsia" w:ascii="楷体_GB2312" w:hAnsi="楷体_GB2312" w:eastAsia="楷体_GB2312" w:cs="楷体_GB2312"/>
          <w:bCs/>
          <w:szCs w:val="21"/>
        </w:rPr>
        <w:t>、危险化学品企业特殊作业安全管理制度</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_Toc10152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117</w:t>
      </w:r>
      <w:r>
        <w:rPr>
          <w:rFonts w:hint="eastAsia" w:ascii="楷体_GB2312" w:hAnsi="楷体_GB2312" w:eastAsia="楷体_GB2312" w:cs="楷体_GB2312"/>
        </w:rPr>
        <w:fldChar w:fldCharType="end"/>
      </w:r>
      <w:r>
        <w:rPr>
          <w:rFonts w:hint="eastAsia" w:ascii="楷体_GB2312" w:hAnsi="楷体_GB2312" w:eastAsia="楷体_GB2312" w:cs="楷体_GB2312"/>
          <w:szCs w:val="32"/>
        </w:rPr>
        <w:fldChar w:fldCharType="end"/>
      </w:r>
    </w:p>
    <w:p w14:paraId="4773E5AE">
      <w:pPr>
        <w:pStyle w:val="15"/>
        <w:tabs>
          <w:tab w:val="right" w:leader="dot" w:pos="8844"/>
        </w:tabs>
      </w:pPr>
      <w:r>
        <w:rPr>
          <w:rFonts w:ascii="Times New Roman" w:hAnsi="Times New Roman"/>
          <w:szCs w:val="32"/>
        </w:rPr>
        <w:fldChar w:fldCharType="begin"/>
      </w:r>
      <w:r>
        <w:rPr>
          <w:rFonts w:ascii="Times New Roman" w:hAnsi="Times New Roman"/>
          <w:szCs w:val="32"/>
        </w:rPr>
        <w:instrText xml:space="preserve"> HYPERLINK \l _Toc22549 </w:instrText>
      </w:r>
      <w:r>
        <w:rPr>
          <w:rFonts w:ascii="Times New Roman" w:hAnsi="Times New Roman"/>
          <w:szCs w:val="32"/>
        </w:rPr>
        <w:fldChar w:fldCharType="separate"/>
      </w:r>
      <w:r>
        <w:t>第十章</w:t>
      </w:r>
      <w:r>
        <w:rPr>
          <w:rFonts w:hint="eastAsia"/>
        </w:rPr>
        <w:t xml:space="preserve">  园区企业特殊安全管理</w:t>
      </w:r>
      <w:r>
        <w:tab/>
      </w:r>
      <w:r>
        <w:fldChar w:fldCharType="begin"/>
      </w:r>
      <w:r>
        <w:instrText xml:space="preserve"> PAGEREF _Toc22549 \h </w:instrText>
      </w:r>
      <w:r>
        <w:fldChar w:fldCharType="separate"/>
      </w:r>
      <w:r>
        <w:t>118</w:t>
      </w:r>
      <w:r>
        <w:fldChar w:fldCharType="end"/>
      </w:r>
      <w:r>
        <w:rPr>
          <w:rFonts w:ascii="Times New Roman" w:hAnsi="Times New Roman"/>
          <w:szCs w:val="32"/>
        </w:rPr>
        <w:fldChar w:fldCharType="end"/>
      </w:r>
    </w:p>
    <w:p w14:paraId="2E5648BA">
      <w:pPr>
        <w:pStyle w:val="16"/>
        <w:tabs>
          <w:tab w:val="right" w:leader="dot" w:pos="8844"/>
        </w:tabs>
        <w:rPr>
          <w:rFonts w:hint="eastAsia" w:ascii="楷体_GB2312" w:hAnsi="楷体_GB2312" w:eastAsia="楷体_GB2312" w:cs="楷体_GB2312"/>
        </w:rPr>
      </w:pPr>
      <w:r>
        <w:rPr>
          <w:rFonts w:hint="eastAsia" w:ascii="楷体_GB2312" w:hAnsi="楷体_GB2312" w:eastAsia="楷体_GB2312" w:cs="楷体_GB2312"/>
          <w:szCs w:val="32"/>
        </w:rPr>
        <w:fldChar w:fldCharType="begin"/>
      </w:r>
      <w:r>
        <w:rPr>
          <w:rFonts w:hint="eastAsia" w:ascii="楷体_GB2312" w:hAnsi="楷体_GB2312" w:eastAsia="楷体_GB2312" w:cs="楷体_GB2312"/>
          <w:szCs w:val="32"/>
        </w:rPr>
        <w:instrText xml:space="preserve"> HYPERLINK \l _Toc4172 </w:instrText>
      </w:r>
      <w:r>
        <w:rPr>
          <w:rFonts w:hint="eastAsia" w:ascii="楷体_GB2312" w:hAnsi="楷体_GB2312" w:eastAsia="楷体_GB2312" w:cs="楷体_GB2312"/>
          <w:szCs w:val="32"/>
        </w:rPr>
        <w:fldChar w:fldCharType="separate"/>
      </w:r>
      <w:r>
        <w:rPr>
          <w:rFonts w:hint="eastAsia" w:ascii="楷体_GB2312" w:hAnsi="楷体_GB2312" w:eastAsia="楷体_GB2312" w:cs="楷体_GB2312"/>
          <w:bCs/>
          <w:szCs w:val="21"/>
        </w:rPr>
        <w:t>二十</w:t>
      </w:r>
      <w:r>
        <w:rPr>
          <w:rFonts w:hint="eastAsia" w:ascii="楷体_GB2312" w:hAnsi="楷体_GB2312" w:eastAsia="楷体_GB2312" w:cs="楷体_GB2312"/>
          <w:bCs/>
          <w:szCs w:val="21"/>
          <w:lang w:val="en-US" w:eastAsia="zh-CN"/>
        </w:rPr>
        <w:t>五</w:t>
      </w:r>
      <w:r>
        <w:rPr>
          <w:rFonts w:hint="eastAsia" w:ascii="楷体_GB2312" w:hAnsi="楷体_GB2312" w:eastAsia="楷体_GB2312" w:cs="楷体_GB2312"/>
          <w:bCs/>
          <w:szCs w:val="21"/>
        </w:rPr>
        <w:t>、企业安全生产规章制度</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_Toc4172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118</w:t>
      </w:r>
      <w:r>
        <w:rPr>
          <w:rFonts w:hint="eastAsia" w:ascii="楷体_GB2312" w:hAnsi="楷体_GB2312" w:eastAsia="楷体_GB2312" w:cs="楷体_GB2312"/>
        </w:rPr>
        <w:fldChar w:fldCharType="end"/>
      </w:r>
      <w:r>
        <w:rPr>
          <w:rFonts w:hint="eastAsia" w:ascii="楷体_GB2312" w:hAnsi="楷体_GB2312" w:eastAsia="楷体_GB2312" w:cs="楷体_GB2312"/>
          <w:szCs w:val="32"/>
        </w:rPr>
        <w:fldChar w:fldCharType="end"/>
      </w:r>
    </w:p>
    <w:p w14:paraId="2C25C029">
      <w:pPr>
        <w:pStyle w:val="16"/>
        <w:tabs>
          <w:tab w:val="right" w:leader="dot" w:pos="8844"/>
        </w:tabs>
        <w:rPr>
          <w:rFonts w:hint="eastAsia" w:ascii="楷体_GB2312" w:hAnsi="楷体_GB2312" w:eastAsia="楷体_GB2312" w:cs="楷体_GB2312"/>
        </w:rPr>
      </w:pPr>
      <w:r>
        <w:rPr>
          <w:rFonts w:hint="eastAsia" w:ascii="楷体_GB2312" w:hAnsi="楷体_GB2312" w:eastAsia="楷体_GB2312" w:cs="楷体_GB2312"/>
          <w:szCs w:val="32"/>
        </w:rPr>
        <w:fldChar w:fldCharType="begin"/>
      </w:r>
      <w:r>
        <w:rPr>
          <w:rFonts w:hint="eastAsia" w:ascii="楷体_GB2312" w:hAnsi="楷体_GB2312" w:eastAsia="楷体_GB2312" w:cs="楷体_GB2312"/>
          <w:szCs w:val="32"/>
        </w:rPr>
        <w:instrText xml:space="preserve"> HYPERLINK \l _Toc6815 </w:instrText>
      </w:r>
      <w:r>
        <w:rPr>
          <w:rFonts w:hint="eastAsia" w:ascii="楷体_GB2312" w:hAnsi="楷体_GB2312" w:eastAsia="楷体_GB2312" w:cs="楷体_GB2312"/>
          <w:szCs w:val="32"/>
        </w:rPr>
        <w:fldChar w:fldCharType="separate"/>
      </w:r>
      <w:r>
        <w:rPr>
          <w:rFonts w:hint="eastAsia" w:ascii="楷体_GB2312" w:hAnsi="楷体_GB2312" w:eastAsia="楷体_GB2312" w:cs="楷体_GB2312"/>
          <w:bCs/>
          <w:szCs w:val="21"/>
        </w:rPr>
        <w:t>二十</w:t>
      </w:r>
      <w:r>
        <w:rPr>
          <w:rFonts w:hint="eastAsia" w:ascii="楷体_GB2312" w:hAnsi="楷体_GB2312" w:eastAsia="楷体_GB2312" w:cs="楷体_GB2312"/>
          <w:bCs/>
          <w:szCs w:val="21"/>
          <w:lang w:val="en-US" w:eastAsia="zh-CN"/>
        </w:rPr>
        <w:t>六</w:t>
      </w:r>
      <w:r>
        <w:rPr>
          <w:rFonts w:hint="eastAsia" w:ascii="楷体_GB2312" w:hAnsi="楷体_GB2312" w:eastAsia="楷体_GB2312" w:cs="楷体_GB2312"/>
          <w:bCs/>
          <w:szCs w:val="21"/>
        </w:rPr>
        <w:t>、企业特殊安全管理制度</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_Toc6815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120</w:t>
      </w:r>
      <w:r>
        <w:rPr>
          <w:rFonts w:hint="eastAsia" w:ascii="楷体_GB2312" w:hAnsi="楷体_GB2312" w:eastAsia="楷体_GB2312" w:cs="楷体_GB2312"/>
        </w:rPr>
        <w:fldChar w:fldCharType="end"/>
      </w:r>
      <w:r>
        <w:rPr>
          <w:rFonts w:hint="eastAsia" w:ascii="楷体_GB2312" w:hAnsi="楷体_GB2312" w:eastAsia="楷体_GB2312" w:cs="楷体_GB2312"/>
          <w:szCs w:val="32"/>
        </w:rPr>
        <w:fldChar w:fldCharType="end"/>
      </w:r>
    </w:p>
    <w:p w14:paraId="6AC70231">
      <w:pPr>
        <w:pStyle w:val="16"/>
        <w:tabs>
          <w:tab w:val="right" w:leader="dot" w:pos="8844"/>
        </w:tabs>
        <w:rPr>
          <w:rFonts w:hint="eastAsia" w:ascii="楷体_GB2312" w:hAnsi="楷体_GB2312" w:eastAsia="楷体_GB2312" w:cs="楷体_GB2312"/>
        </w:rPr>
      </w:pPr>
      <w:r>
        <w:rPr>
          <w:rFonts w:hint="eastAsia" w:ascii="楷体_GB2312" w:hAnsi="楷体_GB2312" w:eastAsia="楷体_GB2312" w:cs="楷体_GB2312"/>
          <w:szCs w:val="32"/>
        </w:rPr>
        <w:fldChar w:fldCharType="begin"/>
      </w:r>
      <w:r>
        <w:rPr>
          <w:rFonts w:hint="eastAsia" w:ascii="楷体_GB2312" w:hAnsi="楷体_GB2312" w:eastAsia="楷体_GB2312" w:cs="楷体_GB2312"/>
          <w:szCs w:val="32"/>
        </w:rPr>
        <w:instrText xml:space="preserve"> HYPERLINK \l _Toc29804 </w:instrText>
      </w:r>
      <w:r>
        <w:rPr>
          <w:rFonts w:hint="eastAsia" w:ascii="楷体_GB2312" w:hAnsi="楷体_GB2312" w:eastAsia="楷体_GB2312" w:cs="楷体_GB2312"/>
          <w:szCs w:val="32"/>
        </w:rPr>
        <w:fldChar w:fldCharType="separate"/>
      </w:r>
      <w:r>
        <w:rPr>
          <w:rFonts w:hint="eastAsia" w:ascii="楷体_GB2312" w:hAnsi="楷体_GB2312" w:eastAsia="楷体_GB2312" w:cs="楷体_GB2312"/>
          <w:bCs/>
          <w:szCs w:val="21"/>
        </w:rPr>
        <w:t>二十</w:t>
      </w:r>
      <w:r>
        <w:rPr>
          <w:rFonts w:hint="eastAsia" w:ascii="楷体_GB2312" w:hAnsi="楷体_GB2312" w:eastAsia="楷体_GB2312" w:cs="楷体_GB2312"/>
          <w:bCs/>
          <w:szCs w:val="21"/>
          <w:lang w:val="en-US" w:eastAsia="zh-CN"/>
        </w:rPr>
        <w:t>七</w:t>
      </w:r>
      <w:r>
        <w:rPr>
          <w:rFonts w:hint="eastAsia" w:ascii="楷体_GB2312" w:hAnsi="楷体_GB2312" w:eastAsia="楷体_GB2312" w:cs="楷体_GB2312"/>
          <w:bCs/>
          <w:szCs w:val="21"/>
        </w:rPr>
        <w:t>、企业承包商管理制度</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_Toc29804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126</w:t>
      </w:r>
      <w:r>
        <w:rPr>
          <w:rFonts w:hint="eastAsia" w:ascii="楷体_GB2312" w:hAnsi="楷体_GB2312" w:eastAsia="楷体_GB2312" w:cs="楷体_GB2312"/>
        </w:rPr>
        <w:fldChar w:fldCharType="end"/>
      </w:r>
      <w:r>
        <w:rPr>
          <w:rFonts w:hint="eastAsia" w:ascii="楷体_GB2312" w:hAnsi="楷体_GB2312" w:eastAsia="楷体_GB2312" w:cs="楷体_GB2312"/>
          <w:szCs w:val="32"/>
        </w:rPr>
        <w:fldChar w:fldCharType="end"/>
      </w:r>
    </w:p>
    <w:p w14:paraId="77716F4B">
      <w:pPr>
        <w:pStyle w:val="15"/>
        <w:tabs>
          <w:tab w:val="right" w:leader="dot" w:pos="8844"/>
        </w:tabs>
      </w:pPr>
      <w:r>
        <w:rPr>
          <w:rFonts w:ascii="Times New Roman" w:hAnsi="Times New Roman"/>
          <w:szCs w:val="32"/>
        </w:rPr>
        <w:fldChar w:fldCharType="begin"/>
      </w:r>
      <w:r>
        <w:rPr>
          <w:rFonts w:ascii="Times New Roman" w:hAnsi="Times New Roman"/>
          <w:szCs w:val="32"/>
        </w:rPr>
        <w:instrText xml:space="preserve"> HYPERLINK \l _Toc1956 </w:instrText>
      </w:r>
      <w:r>
        <w:rPr>
          <w:rFonts w:ascii="Times New Roman" w:hAnsi="Times New Roman"/>
          <w:szCs w:val="32"/>
        </w:rPr>
        <w:fldChar w:fldCharType="separate"/>
      </w:r>
      <w:r>
        <w:rPr>
          <w:rFonts w:ascii="Times New Roman" w:hAnsi="Times New Roman"/>
        </w:rPr>
        <w:t>第十</w:t>
      </w:r>
      <w:r>
        <w:rPr>
          <w:rFonts w:hint="eastAsia" w:ascii="Times New Roman" w:hAnsi="Times New Roman"/>
        </w:rPr>
        <w:t>一</w:t>
      </w:r>
      <w:r>
        <w:rPr>
          <w:rFonts w:ascii="Times New Roman" w:hAnsi="Times New Roman"/>
        </w:rPr>
        <w:t>章</w:t>
      </w:r>
      <w:r>
        <w:rPr>
          <w:rFonts w:hint="eastAsia" w:ascii="Times New Roman" w:hAnsi="Times New Roman"/>
          <w:lang w:val="en-US" w:eastAsia="zh-CN"/>
        </w:rPr>
        <w:t xml:space="preserve"> </w:t>
      </w:r>
      <w:r>
        <w:rPr>
          <w:rFonts w:ascii="Times New Roman" w:hAnsi="Times New Roman"/>
        </w:rPr>
        <w:t xml:space="preserve"> 承包商准入</w:t>
      </w:r>
      <w:r>
        <w:rPr>
          <w:rFonts w:hint="eastAsia" w:ascii="Times New Roman" w:hAnsi="Times New Roman"/>
        </w:rPr>
        <w:t>、退出</w:t>
      </w:r>
      <w:r>
        <w:rPr>
          <w:rFonts w:ascii="Times New Roman" w:hAnsi="Times New Roman"/>
        </w:rPr>
        <w:t>和黑名单管理</w:t>
      </w:r>
      <w:r>
        <w:tab/>
      </w:r>
      <w:r>
        <w:fldChar w:fldCharType="begin"/>
      </w:r>
      <w:r>
        <w:instrText xml:space="preserve"> PAGEREF _Toc1956 \h </w:instrText>
      </w:r>
      <w:r>
        <w:fldChar w:fldCharType="separate"/>
      </w:r>
      <w:r>
        <w:t>134</w:t>
      </w:r>
      <w:r>
        <w:fldChar w:fldCharType="end"/>
      </w:r>
      <w:r>
        <w:rPr>
          <w:rFonts w:ascii="Times New Roman" w:hAnsi="Times New Roman"/>
          <w:szCs w:val="32"/>
        </w:rPr>
        <w:fldChar w:fldCharType="end"/>
      </w:r>
    </w:p>
    <w:p w14:paraId="3DCFA687">
      <w:pPr>
        <w:pStyle w:val="16"/>
        <w:tabs>
          <w:tab w:val="right" w:leader="dot" w:pos="8844"/>
        </w:tabs>
        <w:rPr>
          <w:rFonts w:hint="eastAsia" w:ascii="楷体_GB2312" w:hAnsi="楷体_GB2312" w:eastAsia="楷体_GB2312" w:cs="楷体_GB2312"/>
        </w:rPr>
      </w:pPr>
      <w:r>
        <w:rPr>
          <w:rFonts w:hint="eastAsia" w:ascii="楷体_GB2312" w:hAnsi="楷体_GB2312" w:eastAsia="楷体_GB2312" w:cs="楷体_GB2312"/>
          <w:szCs w:val="32"/>
        </w:rPr>
        <w:fldChar w:fldCharType="begin"/>
      </w:r>
      <w:r>
        <w:rPr>
          <w:rFonts w:hint="eastAsia" w:ascii="楷体_GB2312" w:hAnsi="楷体_GB2312" w:eastAsia="楷体_GB2312" w:cs="楷体_GB2312"/>
          <w:szCs w:val="32"/>
        </w:rPr>
        <w:instrText xml:space="preserve"> HYPERLINK \l _Toc2897 </w:instrText>
      </w:r>
      <w:r>
        <w:rPr>
          <w:rFonts w:hint="eastAsia" w:ascii="楷体_GB2312" w:hAnsi="楷体_GB2312" w:eastAsia="楷体_GB2312" w:cs="楷体_GB2312"/>
          <w:szCs w:val="32"/>
        </w:rPr>
        <w:fldChar w:fldCharType="separate"/>
      </w:r>
      <w:r>
        <w:rPr>
          <w:rFonts w:hint="eastAsia" w:ascii="楷体_GB2312" w:hAnsi="楷体_GB2312" w:eastAsia="楷体_GB2312" w:cs="楷体_GB2312"/>
          <w:bCs/>
          <w:szCs w:val="21"/>
        </w:rPr>
        <w:t>二十</w:t>
      </w:r>
      <w:r>
        <w:rPr>
          <w:rFonts w:hint="eastAsia" w:ascii="楷体_GB2312" w:hAnsi="楷体_GB2312" w:eastAsia="楷体_GB2312" w:cs="楷体_GB2312"/>
          <w:bCs/>
          <w:szCs w:val="21"/>
          <w:lang w:val="en-US" w:eastAsia="zh-CN"/>
        </w:rPr>
        <w:t>八</w:t>
      </w:r>
      <w:r>
        <w:rPr>
          <w:rFonts w:hint="eastAsia" w:ascii="楷体_GB2312" w:hAnsi="楷体_GB2312" w:eastAsia="楷体_GB2312" w:cs="楷体_GB2312"/>
          <w:bCs/>
          <w:szCs w:val="21"/>
        </w:rPr>
        <w:t>、承包商准入和退出管理制度</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_Toc2897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134</w:t>
      </w:r>
      <w:r>
        <w:rPr>
          <w:rFonts w:hint="eastAsia" w:ascii="楷体_GB2312" w:hAnsi="楷体_GB2312" w:eastAsia="楷体_GB2312" w:cs="楷体_GB2312"/>
        </w:rPr>
        <w:fldChar w:fldCharType="end"/>
      </w:r>
      <w:r>
        <w:rPr>
          <w:rFonts w:hint="eastAsia" w:ascii="楷体_GB2312" w:hAnsi="楷体_GB2312" w:eastAsia="楷体_GB2312" w:cs="楷体_GB2312"/>
          <w:szCs w:val="32"/>
        </w:rPr>
        <w:fldChar w:fldCharType="end"/>
      </w:r>
    </w:p>
    <w:p w14:paraId="55F14102">
      <w:pPr>
        <w:pStyle w:val="16"/>
        <w:tabs>
          <w:tab w:val="right" w:leader="dot" w:pos="8844"/>
        </w:tabs>
        <w:rPr>
          <w:rFonts w:hint="eastAsia" w:ascii="楷体_GB2312" w:hAnsi="楷体_GB2312" w:eastAsia="楷体_GB2312" w:cs="楷体_GB2312"/>
        </w:rPr>
      </w:pPr>
      <w:r>
        <w:rPr>
          <w:rFonts w:hint="eastAsia" w:ascii="楷体_GB2312" w:hAnsi="楷体_GB2312" w:eastAsia="楷体_GB2312" w:cs="楷体_GB2312"/>
          <w:szCs w:val="32"/>
        </w:rPr>
        <w:fldChar w:fldCharType="begin"/>
      </w:r>
      <w:r>
        <w:rPr>
          <w:rFonts w:hint="eastAsia" w:ascii="楷体_GB2312" w:hAnsi="楷体_GB2312" w:eastAsia="楷体_GB2312" w:cs="楷体_GB2312"/>
          <w:szCs w:val="32"/>
        </w:rPr>
        <w:instrText xml:space="preserve"> HYPERLINK \l _Toc10937 </w:instrText>
      </w:r>
      <w:r>
        <w:rPr>
          <w:rFonts w:hint="eastAsia" w:ascii="楷体_GB2312" w:hAnsi="楷体_GB2312" w:eastAsia="楷体_GB2312" w:cs="楷体_GB2312"/>
          <w:szCs w:val="32"/>
        </w:rPr>
        <w:fldChar w:fldCharType="separate"/>
      </w:r>
      <w:r>
        <w:rPr>
          <w:rFonts w:hint="eastAsia" w:ascii="楷体_GB2312" w:hAnsi="楷体_GB2312" w:eastAsia="楷体_GB2312" w:cs="楷体_GB2312"/>
          <w:bCs/>
          <w:szCs w:val="21"/>
          <w:lang w:val="en-US" w:eastAsia="zh-CN"/>
        </w:rPr>
        <w:t>二十九、承包商黑名单管理制度</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_Toc10937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139</w:t>
      </w:r>
      <w:r>
        <w:rPr>
          <w:rFonts w:hint="eastAsia" w:ascii="楷体_GB2312" w:hAnsi="楷体_GB2312" w:eastAsia="楷体_GB2312" w:cs="楷体_GB2312"/>
        </w:rPr>
        <w:fldChar w:fldCharType="end"/>
      </w:r>
      <w:r>
        <w:rPr>
          <w:rFonts w:hint="eastAsia" w:ascii="楷体_GB2312" w:hAnsi="楷体_GB2312" w:eastAsia="楷体_GB2312" w:cs="楷体_GB2312"/>
          <w:szCs w:val="32"/>
        </w:rPr>
        <w:fldChar w:fldCharType="end"/>
      </w:r>
    </w:p>
    <w:p w14:paraId="55396AB3">
      <w:pPr>
        <w:pStyle w:val="15"/>
        <w:tabs>
          <w:tab w:val="right" w:leader="dot" w:pos="8844"/>
        </w:tabs>
      </w:pPr>
      <w:r>
        <w:rPr>
          <w:rFonts w:ascii="Times New Roman" w:hAnsi="Times New Roman"/>
          <w:szCs w:val="32"/>
        </w:rPr>
        <w:fldChar w:fldCharType="begin"/>
      </w:r>
      <w:r>
        <w:rPr>
          <w:rFonts w:ascii="Times New Roman" w:hAnsi="Times New Roman"/>
          <w:szCs w:val="32"/>
        </w:rPr>
        <w:instrText xml:space="preserve"> HYPERLINK \l _Toc26088 </w:instrText>
      </w:r>
      <w:r>
        <w:rPr>
          <w:rFonts w:ascii="Times New Roman" w:hAnsi="Times New Roman"/>
          <w:szCs w:val="32"/>
        </w:rPr>
        <w:fldChar w:fldCharType="separate"/>
      </w:r>
      <w:r>
        <w:rPr>
          <w:rFonts w:ascii="Times New Roman" w:hAnsi="Times New Roman"/>
        </w:rPr>
        <w:t>第十</w:t>
      </w:r>
      <w:r>
        <w:rPr>
          <w:rFonts w:hint="eastAsia" w:ascii="Times New Roman" w:hAnsi="Times New Roman"/>
        </w:rPr>
        <w:t>二</w:t>
      </w:r>
      <w:r>
        <w:rPr>
          <w:rFonts w:ascii="Times New Roman" w:hAnsi="Times New Roman"/>
        </w:rPr>
        <w:t>章</w:t>
      </w:r>
      <w:r>
        <w:rPr>
          <w:rFonts w:hint="eastAsia" w:ascii="Times New Roman" w:hAnsi="Times New Roman"/>
          <w:lang w:val="en-US" w:eastAsia="zh-CN"/>
        </w:rPr>
        <w:t xml:space="preserve"> </w:t>
      </w:r>
      <w:r>
        <w:rPr>
          <w:rFonts w:ascii="Times New Roman" w:hAnsi="Times New Roman"/>
        </w:rPr>
        <w:t xml:space="preserve"> 园区配套公用工程管理</w:t>
      </w:r>
      <w:r>
        <w:tab/>
      </w:r>
      <w:r>
        <w:fldChar w:fldCharType="begin"/>
      </w:r>
      <w:r>
        <w:instrText xml:space="preserve"> PAGEREF _Toc26088 \h </w:instrText>
      </w:r>
      <w:r>
        <w:fldChar w:fldCharType="separate"/>
      </w:r>
      <w:r>
        <w:t>143</w:t>
      </w:r>
      <w:r>
        <w:fldChar w:fldCharType="end"/>
      </w:r>
      <w:r>
        <w:rPr>
          <w:rFonts w:ascii="Times New Roman" w:hAnsi="Times New Roman"/>
          <w:szCs w:val="32"/>
        </w:rPr>
        <w:fldChar w:fldCharType="end"/>
      </w:r>
    </w:p>
    <w:p w14:paraId="3A7D402D">
      <w:pPr>
        <w:pStyle w:val="16"/>
        <w:tabs>
          <w:tab w:val="right" w:leader="dot" w:pos="8844"/>
        </w:tabs>
        <w:rPr>
          <w:rFonts w:hint="eastAsia" w:ascii="楷体_GB2312" w:hAnsi="楷体_GB2312" w:eastAsia="楷体_GB2312" w:cs="楷体_GB2312"/>
        </w:rPr>
      </w:pPr>
      <w:r>
        <w:rPr>
          <w:rFonts w:hint="eastAsia" w:ascii="楷体_GB2312" w:hAnsi="楷体_GB2312" w:eastAsia="楷体_GB2312" w:cs="楷体_GB2312"/>
          <w:szCs w:val="32"/>
        </w:rPr>
        <w:fldChar w:fldCharType="begin"/>
      </w:r>
      <w:r>
        <w:rPr>
          <w:rFonts w:hint="eastAsia" w:ascii="楷体_GB2312" w:hAnsi="楷体_GB2312" w:eastAsia="楷体_GB2312" w:cs="楷体_GB2312"/>
          <w:szCs w:val="32"/>
        </w:rPr>
        <w:instrText xml:space="preserve"> HYPERLINK \l _Toc24092 </w:instrText>
      </w:r>
      <w:r>
        <w:rPr>
          <w:rFonts w:hint="eastAsia" w:ascii="楷体_GB2312" w:hAnsi="楷体_GB2312" w:eastAsia="楷体_GB2312" w:cs="楷体_GB2312"/>
          <w:szCs w:val="32"/>
        </w:rPr>
        <w:fldChar w:fldCharType="separate"/>
      </w:r>
      <w:r>
        <w:rPr>
          <w:rFonts w:hint="eastAsia" w:ascii="楷体_GB2312" w:hAnsi="楷体_GB2312" w:eastAsia="楷体_GB2312" w:cs="楷体_GB2312"/>
          <w:bCs/>
          <w:szCs w:val="21"/>
        </w:rPr>
        <w:t>三十、公共管廊管理制度</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_Toc24092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143</w:t>
      </w:r>
      <w:r>
        <w:rPr>
          <w:rFonts w:hint="eastAsia" w:ascii="楷体_GB2312" w:hAnsi="楷体_GB2312" w:eastAsia="楷体_GB2312" w:cs="楷体_GB2312"/>
        </w:rPr>
        <w:fldChar w:fldCharType="end"/>
      </w:r>
      <w:r>
        <w:rPr>
          <w:rFonts w:hint="eastAsia" w:ascii="楷体_GB2312" w:hAnsi="楷体_GB2312" w:eastAsia="楷体_GB2312" w:cs="楷体_GB2312"/>
          <w:szCs w:val="32"/>
        </w:rPr>
        <w:fldChar w:fldCharType="end"/>
      </w:r>
    </w:p>
    <w:p w14:paraId="6215290C">
      <w:pPr>
        <w:pStyle w:val="16"/>
        <w:tabs>
          <w:tab w:val="right" w:leader="dot" w:pos="8844"/>
        </w:tabs>
        <w:rPr>
          <w:rFonts w:hint="eastAsia" w:ascii="楷体_GB2312" w:hAnsi="楷体_GB2312" w:eastAsia="楷体_GB2312" w:cs="楷体_GB2312"/>
        </w:rPr>
      </w:pPr>
      <w:r>
        <w:rPr>
          <w:rFonts w:hint="eastAsia" w:ascii="楷体_GB2312" w:hAnsi="楷体_GB2312" w:eastAsia="楷体_GB2312" w:cs="楷体_GB2312"/>
          <w:szCs w:val="32"/>
        </w:rPr>
        <w:fldChar w:fldCharType="begin"/>
      </w:r>
      <w:r>
        <w:rPr>
          <w:rFonts w:hint="eastAsia" w:ascii="楷体_GB2312" w:hAnsi="楷体_GB2312" w:eastAsia="楷体_GB2312" w:cs="楷体_GB2312"/>
          <w:szCs w:val="32"/>
        </w:rPr>
        <w:instrText xml:space="preserve"> HYPERLINK \l _Toc22121 </w:instrText>
      </w:r>
      <w:r>
        <w:rPr>
          <w:rFonts w:hint="eastAsia" w:ascii="楷体_GB2312" w:hAnsi="楷体_GB2312" w:eastAsia="楷体_GB2312" w:cs="楷体_GB2312"/>
          <w:szCs w:val="32"/>
        </w:rPr>
        <w:fldChar w:fldCharType="separate"/>
      </w:r>
      <w:r>
        <w:rPr>
          <w:rFonts w:hint="eastAsia" w:ascii="楷体_GB2312" w:hAnsi="楷体_GB2312" w:eastAsia="楷体_GB2312" w:cs="楷体_GB2312"/>
          <w:bCs/>
          <w:szCs w:val="21"/>
        </w:rPr>
        <w:t>三十</w:t>
      </w:r>
      <w:r>
        <w:rPr>
          <w:rFonts w:hint="eastAsia" w:ascii="楷体_GB2312" w:hAnsi="楷体_GB2312" w:eastAsia="楷体_GB2312" w:cs="楷体_GB2312"/>
          <w:bCs/>
          <w:szCs w:val="21"/>
          <w:lang w:val="en-US" w:eastAsia="zh-CN"/>
        </w:rPr>
        <w:t>一</w:t>
      </w:r>
      <w:r>
        <w:rPr>
          <w:rFonts w:hint="eastAsia" w:ascii="楷体_GB2312" w:hAnsi="楷体_GB2312" w:eastAsia="楷体_GB2312" w:cs="楷体_GB2312"/>
          <w:bCs/>
          <w:szCs w:val="21"/>
        </w:rPr>
        <w:t>、供水安全管理制度</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_Toc22121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149</w:t>
      </w:r>
      <w:r>
        <w:rPr>
          <w:rFonts w:hint="eastAsia" w:ascii="楷体_GB2312" w:hAnsi="楷体_GB2312" w:eastAsia="楷体_GB2312" w:cs="楷体_GB2312"/>
        </w:rPr>
        <w:fldChar w:fldCharType="end"/>
      </w:r>
      <w:r>
        <w:rPr>
          <w:rFonts w:hint="eastAsia" w:ascii="楷体_GB2312" w:hAnsi="楷体_GB2312" w:eastAsia="楷体_GB2312" w:cs="楷体_GB2312"/>
          <w:szCs w:val="32"/>
        </w:rPr>
        <w:fldChar w:fldCharType="end"/>
      </w:r>
    </w:p>
    <w:p w14:paraId="65F373DE">
      <w:pPr>
        <w:pStyle w:val="16"/>
        <w:tabs>
          <w:tab w:val="right" w:leader="dot" w:pos="8844"/>
        </w:tabs>
      </w:pPr>
      <w:r>
        <w:rPr>
          <w:rFonts w:hint="eastAsia" w:ascii="楷体_GB2312" w:hAnsi="楷体_GB2312" w:eastAsia="楷体_GB2312" w:cs="楷体_GB2312"/>
          <w:szCs w:val="32"/>
        </w:rPr>
        <w:fldChar w:fldCharType="begin"/>
      </w:r>
      <w:r>
        <w:rPr>
          <w:rFonts w:hint="eastAsia" w:ascii="楷体_GB2312" w:hAnsi="楷体_GB2312" w:eastAsia="楷体_GB2312" w:cs="楷体_GB2312"/>
          <w:szCs w:val="32"/>
        </w:rPr>
        <w:instrText xml:space="preserve"> HYPERLINK \l _Toc28723 </w:instrText>
      </w:r>
      <w:r>
        <w:rPr>
          <w:rFonts w:hint="eastAsia" w:ascii="楷体_GB2312" w:hAnsi="楷体_GB2312" w:eastAsia="楷体_GB2312" w:cs="楷体_GB2312"/>
          <w:szCs w:val="32"/>
        </w:rPr>
        <w:fldChar w:fldCharType="separate"/>
      </w:r>
      <w:r>
        <w:rPr>
          <w:rFonts w:hint="eastAsia" w:ascii="楷体_GB2312" w:hAnsi="楷体_GB2312" w:eastAsia="楷体_GB2312" w:cs="楷体_GB2312"/>
          <w:bCs/>
          <w:szCs w:val="21"/>
        </w:rPr>
        <w:t>三十</w:t>
      </w:r>
      <w:r>
        <w:rPr>
          <w:rFonts w:hint="eastAsia" w:ascii="楷体_GB2312" w:hAnsi="楷体_GB2312" w:eastAsia="楷体_GB2312" w:cs="楷体_GB2312"/>
          <w:bCs/>
          <w:szCs w:val="21"/>
          <w:lang w:val="en-US" w:eastAsia="zh-CN"/>
        </w:rPr>
        <w:t>二</w:t>
      </w:r>
      <w:r>
        <w:rPr>
          <w:rFonts w:hint="eastAsia" w:ascii="楷体_GB2312" w:hAnsi="楷体_GB2312" w:eastAsia="楷体_GB2312" w:cs="楷体_GB2312"/>
          <w:bCs/>
          <w:szCs w:val="21"/>
        </w:rPr>
        <w:t>、供电安全管理制度</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_Toc28723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150</w:t>
      </w:r>
      <w:r>
        <w:rPr>
          <w:rFonts w:hint="eastAsia" w:ascii="楷体_GB2312" w:hAnsi="楷体_GB2312" w:eastAsia="楷体_GB2312" w:cs="楷体_GB2312"/>
        </w:rPr>
        <w:fldChar w:fldCharType="end"/>
      </w:r>
      <w:r>
        <w:rPr>
          <w:rFonts w:hint="eastAsia" w:ascii="楷体_GB2312" w:hAnsi="楷体_GB2312" w:eastAsia="楷体_GB2312" w:cs="楷体_GB2312"/>
          <w:szCs w:val="32"/>
        </w:rPr>
        <w:fldChar w:fldCharType="end"/>
      </w:r>
    </w:p>
    <w:p w14:paraId="4D59FA5E">
      <w:pPr>
        <w:pStyle w:val="15"/>
        <w:tabs>
          <w:tab w:val="right" w:leader="dot" w:pos="8844"/>
        </w:tabs>
      </w:pPr>
      <w:r>
        <w:rPr>
          <w:rFonts w:ascii="Times New Roman" w:hAnsi="Times New Roman"/>
          <w:szCs w:val="32"/>
        </w:rPr>
        <w:fldChar w:fldCharType="begin"/>
      </w:r>
      <w:r>
        <w:rPr>
          <w:rFonts w:ascii="Times New Roman" w:hAnsi="Times New Roman"/>
          <w:szCs w:val="32"/>
        </w:rPr>
        <w:instrText xml:space="preserve"> HYPERLINK \l _Toc27252 </w:instrText>
      </w:r>
      <w:r>
        <w:rPr>
          <w:rFonts w:ascii="Times New Roman" w:hAnsi="Times New Roman"/>
          <w:szCs w:val="32"/>
        </w:rPr>
        <w:fldChar w:fldCharType="separate"/>
      </w:r>
      <w:r>
        <w:rPr>
          <w:rFonts w:ascii="Times New Roman" w:hAnsi="Times New Roman"/>
        </w:rPr>
        <w:t>第十</w:t>
      </w:r>
      <w:r>
        <w:rPr>
          <w:rFonts w:hint="eastAsia" w:ascii="Times New Roman" w:hAnsi="Times New Roman"/>
        </w:rPr>
        <w:t>三</w:t>
      </w:r>
      <w:r>
        <w:rPr>
          <w:rFonts w:ascii="Times New Roman" w:hAnsi="Times New Roman"/>
        </w:rPr>
        <w:t xml:space="preserve">章 </w:t>
      </w:r>
      <w:r>
        <w:rPr>
          <w:rFonts w:hint="eastAsia" w:ascii="Times New Roman" w:hAnsi="Times New Roman"/>
          <w:lang w:val="en-US" w:eastAsia="zh-CN"/>
        </w:rPr>
        <w:t xml:space="preserve"> </w:t>
      </w:r>
      <w:r>
        <w:rPr>
          <w:rFonts w:ascii="Times New Roman" w:hAnsi="Times New Roman"/>
        </w:rPr>
        <w:t>消防与应急管理</w:t>
      </w:r>
      <w:r>
        <w:tab/>
      </w:r>
      <w:r>
        <w:fldChar w:fldCharType="begin"/>
      </w:r>
      <w:r>
        <w:instrText xml:space="preserve"> PAGEREF _Toc27252 \h </w:instrText>
      </w:r>
      <w:r>
        <w:fldChar w:fldCharType="separate"/>
      </w:r>
      <w:r>
        <w:t>152</w:t>
      </w:r>
      <w:r>
        <w:fldChar w:fldCharType="end"/>
      </w:r>
      <w:r>
        <w:rPr>
          <w:rFonts w:ascii="Times New Roman" w:hAnsi="Times New Roman"/>
          <w:szCs w:val="32"/>
        </w:rPr>
        <w:fldChar w:fldCharType="end"/>
      </w:r>
    </w:p>
    <w:p w14:paraId="46C144B2">
      <w:pPr>
        <w:pStyle w:val="16"/>
        <w:tabs>
          <w:tab w:val="right" w:leader="dot" w:pos="8844"/>
        </w:tabs>
        <w:rPr>
          <w:rFonts w:hint="eastAsia" w:ascii="楷体_GB2312" w:hAnsi="楷体_GB2312" w:eastAsia="楷体_GB2312" w:cs="楷体_GB2312"/>
        </w:rPr>
      </w:pPr>
      <w:r>
        <w:rPr>
          <w:rFonts w:hint="eastAsia" w:ascii="楷体_GB2312" w:hAnsi="楷体_GB2312" w:eastAsia="楷体_GB2312" w:cs="楷体_GB2312"/>
          <w:szCs w:val="32"/>
        </w:rPr>
        <w:fldChar w:fldCharType="begin"/>
      </w:r>
      <w:r>
        <w:rPr>
          <w:rFonts w:hint="eastAsia" w:ascii="楷体_GB2312" w:hAnsi="楷体_GB2312" w:eastAsia="楷体_GB2312" w:cs="楷体_GB2312"/>
          <w:szCs w:val="32"/>
        </w:rPr>
        <w:instrText xml:space="preserve"> HYPERLINK \l _Toc30146 </w:instrText>
      </w:r>
      <w:r>
        <w:rPr>
          <w:rFonts w:hint="eastAsia" w:ascii="楷体_GB2312" w:hAnsi="楷体_GB2312" w:eastAsia="楷体_GB2312" w:cs="楷体_GB2312"/>
          <w:szCs w:val="32"/>
        </w:rPr>
        <w:fldChar w:fldCharType="separate"/>
      </w:r>
      <w:r>
        <w:rPr>
          <w:rFonts w:hint="eastAsia" w:ascii="楷体_GB2312" w:hAnsi="楷体_GB2312" w:eastAsia="楷体_GB2312" w:cs="楷体_GB2312"/>
          <w:bCs/>
          <w:szCs w:val="21"/>
        </w:rPr>
        <w:t>三十</w:t>
      </w:r>
      <w:r>
        <w:rPr>
          <w:rFonts w:hint="eastAsia" w:ascii="楷体_GB2312" w:hAnsi="楷体_GB2312" w:eastAsia="楷体_GB2312" w:cs="楷体_GB2312"/>
          <w:bCs/>
          <w:szCs w:val="21"/>
          <w:lang w:val="en-US" w:eastAsia="zh-CN"/>
        </w:rPr>
        <w:t>三</w:t>
      </w:r>
      <w:r>
        <w:rPr>
          <w:rFonts w:hint="eastAsia" w:ascii="楷体_GB2312" w:hAnsi="楷体_GB2312" w:eastAsia="楷体_GB2312" w:cs="楷体_GB2312"/>
          <w:bCs/>
          <w:szCs w:val="21"/>
        </w:rPr>
        <w:t>、应急预案编制要求</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_Toc30146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152</w:t>
      </w:r>
      <w:r>
        <w:rPr>
          <w:rFonts w:hint="eastAsia" w:ascii="楷体_GB2312" w:hAnsi="楷体_GB2312" w:eastAsia="楷体_GB2312" w:cs="楷体_GB2312"/>
        </w:rPr>
        <w:fldChar w:fldCharType="end"/>
      </w:r>
      <w:r>
        <w:rPr>
          <w:rFonts w:hint="eastAsia" w:ascii="楷体_GB2312" w:hAnsi="楷体_GB2312" w:eastAsia="楷体_GB2312" w:cs="楷体_GB2312"/>
          <w:szCs w:val="32"/>
        </w:rPr>
        <w:fldChar w:fldCharType="end"/>
      </w:r>
    </w:p>
    <w:p w14:paraId="3EAE2E62">
      <w:pPr>
        <w:pStyle w:val="16"/>
        <w:tabs>
          <w:tab w:val="right" w:leader="dot" w:pos="8844"/>
        </w:tabs>
        <w:rPr>
          <w:rFonts w:hint="eastAsia" w:ascii="楷体_GB2312" w:hAnsi="楷体_GB2312" w:eastAsia="楷体_GB2312" w:cs="楷体_GB2312"/>
        </w:rPr>
      </w:pPr>
      <w:r>
        <w:rPr>
          <w:rFonts w:hint="eastAsia" w:ascii="楷体_GB2312" w:hAnsi="楷体_GB2312" w:eastAsia="楷体_GB2312" w:cs="楷体_GB2312"/>
          <w:szCs w:val="32"/>
        </w:rPr>
        <w:fldChar w:fldCharType="begin"/>
      </w:r>
      <w:r>
        <w:rPr>
          <w:rFonts w:hint="eastAsia" w:ascii="楷体_GB2312" w:hAnsi="楷体_GB2312" w:eastAsia="楷体_GB2312" w:cs="楷体_GB2312"/>
          <w:szCs w:val="32"/>
        </w:rPr>
        <w:instrText xml:space="preserve"> HYPERLINK \l _Toc13013 </w:instrText>
      </w:r>
      <w:r>
        <w:rPr>
          <w:rFonts w:hint="eastAsia" w:ascii="楷体_GB2312" w:hAnsi="楷体_GB2312" w:eastAsia="楷体_GB2312" w:cs="楷体_GB2312"/>
          <w:szCs w:val="32"/>
        </w:rPr>
        <w:fldChar w:fldCharType="separate"/>
      </w:r>
      <w:r>
        <w:rPr>
          <w:rFonts w:hint="eastAsia" w:ascii="楷体_GB2312" w:hAnsi="楷体_GB2312" w:eastAsia="楷体_GB2312" w:cs="楷体_GB2312"/>
          <w:bCs/>
          <w:szCs w:val="21"/>
        </w:rPr>
        <w:t>三十</w:t>
      </w:r>
      <w:r>
        <w:rPr>
          <w:rFonts w:hint="eastAsia" w:ascii="楷体_GB2312" w:hAnsi="楷体_GB2312" w:eastAsia="楷体_GB2312" w:cs="楷体_GB2312"/>
          <w:bCs/>
          <w:szCs w:val="21"/>
          <w:lang w:val="en-US" w:eastAsia="zh-CN"/>
        </w:rPr>
        <w:t>四</w:t>
      </w:r>
      <w:r>
        <w:rPr>
          <w:rFonts w:hint="eastAsia" w:ascii="楷体_GB2312" w:hAnsi="楷体_GB2312" w:eastAsia="楷体_GB2312" w:cs="楷体_GB2312"/>
          <w:bCs/>
          <w:szCs w:val="21"/>
        </w:rPr>
        <w:t>、园区及企业应急物资保障制度</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_Toc13013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156</w:t>
      </w:r>
      <w:r>
        <w:rPr>
          <w:rFonts w:hint="eastAsia" w:ascii="楷体_GB2312" w:hAnsi="楷体_GB2312" w:eastAsia="楷体_GB2312" w:cs="楷体_GB2312"/>
        </w:rPr>
        <w:fldChar w:fldCharType="end"/>
      </w:r>
      <w:r>
        <w:rPr>
          <w:rFonts w:hint="eastAsia" w:ascii="楷体_GB2312" w:hAnsi="楷体_GB2312" w:eastAsia="楷体_GB2312" w:cs="楷体_GB2312"/>
          <w:szCs w:val="32"/>
        </w:rPr>
        <w:fldChar w:fldCharType="end"/>
      </w:r>
    </w:p>
    <w:p w14:paraId="0F3E985B">
      <w:pPr>
        <w:pStyle w:val="16"/>
        <w:tabs>
          <w:tab w:val="right" w:leader="dot" w:pos="8844"/>
        </w:tabs>
        <w:rPr>
          <w:rFonts w:hint="eastAsia" w:ascii="楷体_GB2312" w:hAnsi="楷体_GB2312" w:eastAsia="楷体_GB2312" w:cs="楷体_GB2312"/>
        </w:rPr>
      </w:pPr>
      <w:r>
        <w:rPr>
          <w:rFonts w:hint="eastAsia" w:ascii="楷体_GB2312" w:hAnsi="楷体_GB2312" w:eastAsia="楷体_GB2312" w:cs="楷体_GB2312"/>
          <w:szCs w:val="32"/>
        </w:rPr>
        <w:fldChar w:fldCharType="begin"/>
      </w:r>
      <w:r>
        <w:rPr>
          <w:rFonts w:hint="eastAsia" w:ascii="楷体_GB2312" w:hAnsi="楷体_GB2312" w:eastAsia="楷体_GB2312" w:cs="楷体_GB2312"/>
          <w:szCs w:val="32"/>
        </w:rPr>
        <w:instrText xml:space="preserve"> HYPERLINK \l _Toc14106 </w:instrText>
      </w:r>
      <w:r>
        <w:rPr>
          <w:rFonts w:hint="eastAsia" w:ascii="楷体_GB2312" w:hAnsi="楷体_GB2312" w:eastAsia="楷体_GB2312" w:cs="楷体_GB2312"/>
          <w:szCs w:val="32"/>
        </w:rPr>
        <w:fldChar w:fldCharType="separate"/>
      </w:r>
      <w:r>
        <w:rPr>
          <w:rFonts w:hint="eastAsia" w:ascii="楷体_GB2312" w:hAnsi="楷体_GB2312" w:eastAsia="楷体_GB2312" w:cs="楷体_GB2312"/>
          <w:bCs/>
          <w:szCs w:val="32"/>
        </w:rPr>
        <w:t>三十</w:t>
      </w:r>
      <w:r>
        <w:rPr>
          <w:rFonts w:hint="eastAsia" w:ascii="楷体_GB2312" w:hAnsi="楷体_GB2312" w:eastAsia="楷体_GB2312" w:cs="楷体_GB2312"/>
          <w:bCs/>
          <w:szCs w:val="32"/>
          <w:lang w:val="en-US" w:eastAsia="zh-CN"/>
        </w:rPr>
        <w:t>五</w:t>
      </w:r>
      <w:r>
        <w:rPr>
          <w:rFonts w:hint="eastAsia" w:ascii="楷体_GB2312" w:hAnsi="楷体_GB2312" w:eastAsia="楷体_GB2312" w:cs="楷体_GB2312"/>
          <w:bCs/>
          <w:szCs w:val="32"/>
        </w:rPr>
        <w:t>、园区消防取水码头管理制度</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_Toc14106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161</w:t>
      </w:r>
      <w:r>
        <w:rPr>
          <w:rFonts w:hint="eastAsia" w:ascii="楷体_GB2312" w:hAnsi="楷体_GB2312" w:eastAsia="楷体_GB2312" w:cs="楷体_GB2312"/>
        </w:rPr>
        <w:fldChar w:fldCharType="end"/>
      </w:r>
      <w:r>
        <w:rPr>
          <w:rFonts w:hint="eastAsia" w:ascii="楷体_GB2312" w:hAnsi="楷体_GB2312" w:eastAsia="楷体_GB2312" w:cs="楷体_GB2312"/>
          <w:szCs w:val="32"/>
        </w:rPr>
        <w:fldChar w:fldCharType="end"/>
      </w:r>
    </w:p>
    <w:p w14:paraId="128CB7BB">
      <w:pPr>
        <w:pStyle w:val="15"/>
        <w:tabs>
          <w:tab w:val="right" w:leader="dot" w:pos="8844"/>
        </w:tabs>
      </w:pPr>
      <w:r>
        <w:rPr>
          <w:rFonts w:ascii="Times New Roman" w:hAnsi="Times New Roman"/>
          <w:szCs w:val="32"/>
        </w:rPr>
        <w:fldChar w:fldCharType="begin"/>
      </w:r>
      <w:r>
        <w:rPr>
          <w:rFonts w:ascii="Times New Roman" w:hAnsi="Times New Roman"/>
          <w:szCs w:val="32"/>
        </w:rPr>
        <w:instrText xml:space="preserve"> HYPERLINK \l _Toc11906 </w:instrText>
      </w:r>
      <w:r>
        <w:rPr>
          <w:rFonts w:ascii="Times New Roman" w:hAnsi="Times New Roman"/>
          <w:szCs w:val="32"/>
        </w:rPr>
        <w:fldChar w:fldCharType="separate"/>
      </w:r>
      <w:r>
        <w:rPr>
          <w:rFonts w:ascii="Times New Roman" w:hAnsi="Times New Roman"/>
        </w:rPr>
        <w:t>第十</w:t>
      </w:r>
      <w:r>
        <w:rPr>
          <w:rFonts w:hint="eastAsia" w:ascii="Times New Roman" w:hAnsi="Times New Roman"/>
        </w:rPr>
        <w:t>四</w:t>
      </w:r>
      <w:r>
        <w:rPr>
          <w:rFonts w:ascii="Times New Roman" w:hAnsi="Times New Roman"/>
        </w:rPr>
        <w:t xml:space="preserve">章 </w:t>
      </w:r>
      <w:r>
        <w:rPr>
          <w:rFonts w:hint="eastAsia" w:ascii="Times New Roman" w:hAnsi="Times New Roman"/>
          <w:lang w:val="en-US" w:eastAsia="zh-CN"/>
        </w:rPr>
        <w:t xml:space="preserve"> </w:t>
      </w:r>
      <w:r>
        <w:rPr>
          <w:rFonts w:ascii="Times New Roman" w:hAnsi="Times New Roman"/>
        </w:rPr>
        <w:t>园区信息化管理</w:t>
      </w:r>
      <w:r>
        <w:tab/>
      </w:r>
      <w:r>
        <w:fldChar w:fldCharType="begin"/>
      </w:r>
      <w:r>
        <w:instrText xml:space="preserve"> PAGEREF _Toc11906 \h </w:instrText>
      </w:r>
      <w:r>
        <w:fldChar w:fldCharType="separate"/>
      </w:r>
      <w:r>
        <w:t>165</w:t>
      </w:r>
      <w:r>
        <w:fldChar w:fldCharType="end"/>
      </w:r>
      <w:r>
        <w:rPr>
          <w:rFonts w:ascii="Times New Roman" w:hAnsi="Times New Roman"/>
          <w:szCs w:val="32"/>
        </w:rPr>
        <w:fldChar w:fldCharType="end"/>
      </w:r>
    </w:p>
    <w:p w14:paraId="75548BA2">
      <w:pPr>
        <w:pStyle w:val="16"/>
        <w:tabs>
          <w:tab w:val="right" w:leader="dot" w:pos="8844"/>
        </w:tabs>
        <w:rPr>
          <w:rFonts w:hint="eastAsia" w:ascii="楷体_GB2312" w:hAnsi="楷体_GB2312" w:eastAsia="楷体_GB2312" w:cs="楷体_GB2312"/>
        </w:rPr>
      </w:pPr>
      <w:r>
        <w:rPr>
          <w:rFonts w:hint="eastAsia" w:ascii="楷体_GB2312" w:hAnsi="楷体_GB2312" w:eastAsia="楷体_GB2312" w:cs="楷体_GB2312"/>
          <w:szCs w:val="32"/>
        </w:rPr>
        <w:fldChar w:fldCharType="begin"/>
      </w:r>
      <w:r>
        <w:rPr>
          <w:rFonts w:hint="eastAsia" w:ascii="楷体_GB2312" w:hAnsi="楷体_GB2312" w:eastAsia="楷体_GB2312" w:cs="楷体_GB2312"/>
          <w:szCs w:val="32"/>
        </w:rPr>
        <w:instrText xml:space="preserve"> HYPERLINK \l _Toc22423 </w:instrText>
      </w:r>
      <w:r>
        <w:rPr>
          <w:rFonts w:hint="eastAsia" w:ascii="楷体_GB2312" w:hAnsi="楷体_GB2312" w:eastAsia="楷体_GB2312" w:cs="楷体_GB2312"/>
          <w:szCs w:val="32"/>
        </w:rPr>
        <w:fldChar w:fldCharType="separate"/>
      </w:r>
      <w:r>
        <w:rPr>
          <w:rFonts w:hint="eastAsia" w:ascii="楷体_GB2312" w:hAnsi="楷体_GB2312" w:eastAsia="楷体_GB2312" w:cs="楷体_GB2312"/>
          <w:bCs/>
          <w:szCs w:val="21"/>
        </w:rPr>
        <w:t>三十</w:t>
      </w:r>
      <w:r>
        <w:rPr>
          <w:rFonts w:hint="eastAsia" w:ascii="楷体_GB2312" w:hAnsi="楷体_GB2312" w:eastAsia="楷体_GB2312" w:cs="楷体_GB2312"/>
          <w:bCs/>
          <w:szCs w:val="21"/>
          <w:lang w:val="en-US" w:eastAsia="zh-CN"/>
        </w:rPr>
        <w:t>六</w:t>
      </w:r>
      <w:r>
        <w:rPr>
          <w:rFonts w:hint="eastAsia" w:ascii="楷体_GB2312" w:hAnsi="楷体_GB2312" w:eastAsia="楷体_GB2312" w:cs="楷体_GB2312"/>
          <w:bCs/>
          <w:szCs w:val="21"/>
        </w:rPr>
        <w:t>、化工园区信息化平台管理制度</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_Toc22423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165</w:t>
      </w:r>
      <w:r>
        <w:rPr>
          <w:rFonts w:hint="eastAsia" w:ascii="楷体_GB2312" w:hAnsi="楷体_GB2312" w:eastAsia="楷体_GB2312" w:cs="楷体_GB2312"/>
        </w:rPr>
        <w:fldChar w:fldCharType="end"/>
      </w:r>
      <w:r>
        <w:rPr>
          <w:rFonts w:hint="eastAsia" w:ascii="楷体_GB2312" w:hAnsi="楷体_GB2312" w:eastAsia="楷体_GB2312" w:cs="楷体_GB2312"/>
          <w:szCs w:val="32"/>
        </w:rPr>
        <w:fldChar w:fldCharType="end"/>
      </w:r>
    </w:p>
    <w:p w14:paraId="2022E20F">
      <w:pPr>
        <w:pStyle w:val="15"/>
        <w:tabs>
          <w:tab w:val="right" w:leader="dot" w:pos="8844"/>
        </w:tabs>
      </w:pPr>
      <w:r>
        <w:rPr>
          <w:rFonts w:ascii="Times New Roman" w:hAnsi="Times New Roman"/>
          <w:szCs w:val="32"/>
        </w:rPr>
        <w:fldChar w:fldCharType="begin"/>
      </w:r>
      <w:r>
        <w:rPr>
          <w:rFonts w:ascii="Times New Roman" w:hAnsi="Times New Roman"/>
          <w:szCs w:val="32"/>
        </w:rPr>
        <w:instrText xml:space="preserve"> HYPERLINK \l _Toc4639 </w:instrText>
      </w:r>
      <w:r>
        <w:rPr>
          <w:rFonts w:ascii="Times New Roman" w:hAnsi="Times New Roman"/>
          <w:szCs w:val="32"/>
        </w:rPr>
        <w:fldChar w:fldCharType="separate"/>
      </w:r>
      <w:r>
        <w:t>第十</w:t>
      </w:r>
      <w:r>
        <w:rPr>
          <w:rFonts w:hint="eastAsia"/>
          <w:lang w:val="en-US" w:eastAsia="zh-CN"/>
        </w:rPr>
        <w:t>五</w:t>
      </w:r>
      <w:r>
        <w:t xml:space="preserve">章 </w:t>
      </w:r>
      <w:r>
        <w:rPr>
          <w:rFonts w:hint="eastAsia"/>
          <w:lang w:val="en-US" w:eastAsia="zh-CN"/>
        </w:rPr>
        <w:t xml:space="preserve"> </w:t>
      </w:r>
      <w:r>
        <w:t>园区</w:t>
      </w:r>
      <w:r>
        <w:rPr>
          <w:rFonts w:hint="eastAsia"/>
          <w:lang w:val="en-US" w:eastAsia="zh-CN"/>
        </w:rPr>
        <w:t>生态环境保护</w:t>
      </w:r>
      <w:r>
        <w:t>管理</w:t>
      </w:r>
      <w:r>
        <w:tab/>
      </w:r>
      <w:r>
        <w:fldChar w:fldCharType="begin"/>
      </w:r>
      <w:r>
        <w:instrText xml:space="preserve"> PAGEREF _Toc4639 \h </w:instrText>
      </w:r>
      <w:r>
        <w:fldChar w:fldCharType="separate"/>
      </w:r>
      <w:r>
        <w:t>172</w:t>
      </w:r>
      <w:r>
        <w:fldChar w:fldCharType="end"/>
      </w:r>
      <w:r>
        <w:rPr>
          <w:rFonts w:ascii="Times New Roman" w:hAnsi="Times New Roman"/>
          <w:szCs w:val="32"/>
        </w:rPr>
        <w:fldChar w:fldCharType="end"/>
      </w:r>
    </w:p>
    <w:p w14:paraId="575B9A43">
      <w:pPr>
        <w:pStyle w:val="16"/>
        <w:tabs>
          <w:tab w:val="right" w:leader="dot" w:pos="8844"/>
        </w:tabs>
      </w:pPr>
      <w:r>
        <w:rPr>
          <w:rFonts w:hint="eastAsia" w:ascii="楷体_GB2312" w:hAnsi="楷体_GB2312" w:eastAsia="楷体_GB2312" w:cs="楷体_GB2312"/>
          <w:szCs w:val="32"/>
        </w:rPr>
        <w:fldChar w:fldCharType="begin"/>
      </w:r>
      <w:r>
        <w:rPr>
          <w:rFonts w:hint="eastAsia" w:ascii="楷体_GB2312" w:hAnsi="楷体_GB2312" w:eastAsia="楷体_GB2312" w:cs="楷体_GB2312"/>
          <w:szCs w:val="32"/>
        </w:rPr>
        <w:instrText xml:space="preserve"> HYPERLINK \l _Toc14217 </w:instrText>
      </w:r>
      <w:r>
        <w:rPr>
          <w:rFonts w:hint="eastAsia" w:ascii="楷体_GB2312" w:hAnsi="楷体_GB2312" w:eastAsia="楷体_GB2312" w:cs="楷体_GB2312"/>
          <w:szCs w:val="32"/>
        </w:rPr>
        <w:fldChar w:fldCharType="separate"/>
      </w:r>
      <w:r>
        <w:rPr>
          <w:rFonts w:hint="eastAsia" w:ascii="楷体_GB2312" w:hAnsi="楷体_GB2312" w:eastAsia="楷体_GB2312" w:cs="楷体_GB2312"/>
          <w:bCs/>
          <w:szCs w:val="21"/>
        </w:rPr>
        <w:t>三十</w:t>
      </w:r>
      <w:r>
        <w:rPr>
          <w:rFonts w:hint="eastAsia" w:ascii="楷体_GB2312" w:hAnsi="楷体_GB2312" w:eastAsia="楷体_GB2312" w:cs="楷体_GB2312"/>
          <w:bCs/>
          <w:szCs w:val="21"/>
          <w:lang w:val="en-US" w:eastAsia="zh-CN"/>
        </w:rPr>
        <w:t>七</w:t>
      </w:r>
      <w:r>
        <w:rPr>
          <w:rFonts w:hint="eastAsia" w:ascii="楷体_GB2312" w:hAnsi="楷体_GB2312" w:eastAsia="楷体_GB2312" w:cs="楷体_GB2312"/>
          <w:bCs/>
          <w:szCs w:val="21"/>
        </w:rPr>
        <w:t>、化工园区</w:t>
      </w:r>
      <w:r>
        <w:rPr>
          <w:rFonts w:hint="eastAsia" w:ascii="楷体_GB2312" w:hAnsi="楷体_GB2312" w:eastAsia="楷体_GB2312" w:cs="楷体_GB2312"/>
          <w:bCs/>
          <w:szCs w:val="21"/>
          <w:lang w:val="en-US" w:eastAsia="zh-CN"/>
        </w:rPr>
        <w:t>生态环境保护</w:t>
      </w:r>
      <w:r>
        <w:rPr>
          <w:rFonts w:hint="eastAsia" w:ascii="楷体_GB2312" w:hAnsi="楷体_GB2312" w:eastAsia="楷体_GB2312" w:cs="楷体_GB2312"/>
          <w:bCs/>
          <w:szCs w:val="21"/>
        </w:rPr>
        <w:t>管理制度</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_Toc14217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172</w:t>
      </w:r>
      <w:r>
        <w:rPr>
          <w:rFonts w:hint="eastAsia" w:ascii="楷体_GB2312" w:hAnsi="楷体_GB2312" w:eastAsia="楷体_GB2312" w:cs="楷体_GB2312"/>
        </w:rPr>
        <w:fldChar w:fldCharType="end"/>
      </w:r>
      <w:r>
        <w:rPr>
          <w:rFonts w:hint="eastAsia" w:ascii="楷体_GB2312" w:hAnsi="楷体_GB2312" w:eastAsia="楷体_GB2312" w:cs="楷体_GB2312"/>
          <w:szCs w:val="32"/>
        </w:rPr>
        <w:fldChar w:fldCharType="end"/>
      </w:r>
    </w:p>
    <w:p w14:paraId="0EDA8DAE">
      <w:pPr>
        <w:spacing w:line="500" w:lineRule="exact"/>
        <w:ind w:firstLine="0" w:firstLineChars="0"/>
        <w:rPr>
          <w:rFonts w:ascii="Times New Roman" w:hAnsi="Times New Roman"/>
          <w:szCs w:val="32"/>
        </w:rPr>
      </w:pPr>
      <w:r>
        <w:rPr>
          <w:rFonts w:ascii="Times New Roman" w:hAnsi="Times New Roman"/>
          <w:szCs w:val="32"/>
        </w:rPr>
        <w:fldChar w:fldCharType="end"/>
      </w:r>
    </w:p>
    <w:p w14:paraId="1E20ABE7">
      <w:pPr>
        <w:ind w:firstLine="0" w:firstLineChars="0"/>
        <w:rPr>
          <w:rFonts w:ascii="Times New Roman" w:hAnsi="Times New Roman"/>
          <w:szCs w:val="32"/>
        </w:rPr>
      </w:pPr>
    </w:p>
    <w:p w14:paraId="58849EA8">
      <w:pPr>
        <w:ind w:firstLine="640"/>
        <w:rPr>
          <w:rFonts w:ascii="Times New Roman" w:hAnsi="Times New Roman"/>
        </w:rPr>
        <w:sectPr>
          <w:footerReference r:id="rId11" w:type="default"/>
          <w:pgSz w:w="11906" w:h="16838"/>
          <w:pgMar w:top="2098" w:right="1531" w:bottom="1984" w:left="1531" w:header="851" w:footer="1417" w:gutter="0"/>
          <w:cols w:space="720" w:num="1"/>
          <w:docGrid w:type="lines" w:linePitch="439" w:charSpace="0"/>
        </w:sectPr>
      </w:pPr>
    </w:p>
    <w:p w14:paraId="1AFCF546">
      <w:pPr>
        <w:pStyle w:val="2"/>
        <w:spacing w:before="0" w:after="0" w:line="600" w:lineRule="exact"/>
        <w:ind w:left="1545"/>
        <w:jc w:val="both"/>
        <w:rPr>
          <w:rFonts w:ascii="Times New Roman" w:hAnsi="Times New Roman"/>
        </w:rPr>
      </w:pPr>
      <w:bookmarkStart w:id="3" w:name="_Toc5244"/>
      <w:r>
        <w:rPr>
          <w:rFonts w:hint="eastAsia" w:ascii="Times New Roman" w:hAnsi="Times New Roman"/>
        </w:rPr>
        <w:t xml:space="preserve">第一章  </w:t>
      </w:r>
      <w:r>
        <w:rPr>
          <w:rFonts w:ascii="Times New Roman" w:hAnsi="Times New Roman"/>
        </w:rPr>
        <w:t>园区管理机构及职责</w:t>
      </w:r>
      <w:bookmarkEnd w:id="3"/>
    </w:p>
    <w:p w14:paraId="0107DD99">
      <w:pPr>
        <w:ind w:firstLine="640"/>
        <w:rPr>
          <w:rFonts w:hint="eastAsia"/>
        </w:rPr>
      </w:pPr>
    </w:p>
    <w:p w14:paraId="72A4E9FC">
      <w:pPr>
        <w:ind w:firstLine="640"/>
        <w:rPr>
          <w:rFonts w:hint="eastAsia"/>
        </w:rPr>
      </w:pPr>
      <w:r>
        <w:rPr>
          <w:rFonts w:hint="eastAsia"/>
        </w:rPr>
        <w:t>为加强随州市青春化工工业园区范围内安全生产和应急管理工作的领导，明确安全生产工作职责，健全安全生产责任制，树立安全发展理念。依据</w:t>
      </w:r>
      <w:r>
        <w:rPr>
          <w:rFonts w:ascii="Times New Roman" w:hAnsi="Times New Roman"/>
        </w:rPr>
        <w:t>根据《市委编委关于调整随州高新区管理机构有关机构编制事项的通知》（随编发〔2022〕24号）</w:t>
      </w:r>
      <w:r>
        <w:rPr>
          <w:rFonts w:hint="eastAsia" w:ascii="Times New Roman" w:hAnsi="Times New Roman"/>
        </w:rPr>
        <w:t>等</w:t>
      </w:r>
      <w:r>
        <w:rPr>
          <w:rFonts w:hint="eastAsia"/>
        </w:rPr>
        <w:t>文件精神，《中华人民共和国安全生产法》《化工园区安全风险排查治理导则》等法律及相关部门规定，结合园区实际，特制定本制度。</w:t>
      </w:r>
    </w:p>
    <w:p w14:paraId="799DC41C">
      <w:pPr>
        <w:pStyle w:val="3"/>
        <w:spacing w:line="600" w:lineRule="exact"/>
        <w:ind w:firstLine="816" w:firstLineChars="255"/>
        <w:jc w:val="both"/>
        <w:rPr>
          <w:rFonts w:hint="eastAsia" w:ascii="黑体" w:hAnsi="黑体" w:eastAsia="黑体"/>
          <w:b w:val="0"/>
          <w:bCs/>
          <w:sz w:val="32"/>
          <w:szCs w:val="21"/>
        </w:rPr>
      </w:pPr>
      <w:bookmarkStart w:id="4" w:name="_Toc1833947875"/>
      <w:bookmarkStart w:id="5" w:name="_Toc13746"/>
      <w:r>
        <w:rPr>
          <w:rFonts w:ascii="黑体" w:hAnsi="黑体" w:eastAsia="黑体"/>
          <w:b w:val="0"/>
          <w:bCs/>
          <w:sz w:val="32"/>
          <w:szCs w:val="21"/>
        </w:rPr>
        <w:t>一、</w:t>
      </w:r>
      <w:bookmarkEnd w:id="4"/>
      <w:r>
        <w:rPr>
          <w:rFonts w:hint="eastAsia" w:ascii="黑体" w:hAnsi="黑体" w:eastAsia="黑体"/>
          <w:b w:val="0"/>
          <w:bCs/>
          <w:sz w:val="32"/>
          <w:szCs w:val="21"/>
        </w:rPr>
        <w:t>安全生产与应急一体化管理权责清单</w:t>
      </w:r>
      <w:bookmarkEnd w:id="5"/>
    </w:p>
    <w:p w14:paraId="7BF4AC75">
      <w:pPr>
        <w:pStyle w:val="4"/>
        <w:ind w:firstLine="643"/>
        <w:rPr>
          <w:rFonts w:hint="eastAsia"/>
        </w:rPr>
      </w:pPr>
      <w:bookmarkStart w:id="6" w:name="_Toc1970637732"/>
      <w:r>
        <w:rPr>
          <w:rFonts w:hint="eastAsia"/>
        </w:rPr>
        <w:t>（一）</w:t>
      </w:r>
      <w:bookmarkEnd w:id="6"/>
      <w:r>
        <w:rPr>
          <w:rFonts w:hint="eastAsia"/>
        </w:rPr>
        <w:t>高新区管委会党工委书记、管委会主任</w:t>
      </w:r>
    </w:p>
    <w:p w14:paraId="3EA3BF29">
      <w:pPr>
        <w:ind w:firstLine="640"/>
        <w:rPr>
          <w:rFonts w:hint="eastAsia"/>
        </w:rPr>
      </w:pPr>
      <w:r>
        <w:rPr>
          <w:rFonts w:hint="eastAsia"/>
        </w:rPr>
        <w:t>1.履行属地安全生产主要职责，按照“党政同责、一岗双责”的总要求，承担安全生产第一责任人的责任；</w:t>
      </w:r>
    </w:p>
    <w:p w14:paraId="42AD2BD9">
      <w:pPr>
        <w:ind w:firstLine="640"/>
        <w:rPr>
          <w:rFonts w:hint="eastAsia"/>
        </w:rPr>
      </w:pPr>
      <w:r>
        <w:rPr>
          <w:rFonts w:hint="eastAsia"/>
        </w:rPr>
        <w:t>2.认真贯彻“安全第一、预防为主、综合治理”的方针，执行国家有关安全生产法律、法规，落实安全生产各项措施，防范重特大安全事故的发生；</w:t>
      </w:r>
    </w:p>
    <w:p w14:paraId="0F559F1A">
      <w:pPr>
        <w:ind w:firstLine="640"/>
        <w:rPr>
          <w:rFonts w:hint="eastAsia"/>
        </w:rPr>
      </w:pPr>
      <w:r>
        <w:rPr>
          <w:rFonts w:hint="eastAsia"/>
        </w:rPr>
        <w:t>3.加强对园区开发建设安全工作的领导，将安全生产工作纳入园区开发建设的发展规划，与园区开发建设工作同步规划、同步部署、同步推进，促进安全生产与开发建设相协调；</w:t>
      </w:r>
    </w:p>
    <w:p w14:paraId="2DA4E9FC">
      <w:pPr>
        <w:ind w:firstLine="640"/>
        <w:rPr>
          <w:rFonts w:hint="eastAsia"/>
        </w:rPr>
      </w:pPr>
      <w:r>
        <w:rPr>
          <w:rFonts w:hint="eastAsia"/>
        </w:rPr>
        <w:t>4.根据园区开发建设的总体进度，研究制定年度性、阶段性的安全生产工作目标、工作思路和主要任务，分解任务、落实责任。把安全生产纳入党委委员职责清单，督促落实安全生产“一岗双责”制度，对不按规定履职的成员及时予以提醒或者按组织规定作出处理；</w:t>
      </w:r>
    </w:p>
    <w:p w14:paraId="7708937B">
      <w:pPr>
        <w:ind w:firstLine="640"/>
        <w:rPr>
          <w:rFonts w:hint="eastAsia"/>
        </w:rPr>
      </w:pPr>
      <w:r>
        <w:rPr>
          <w:rFonts w:hint="eastAsia"/>
        </w:rPr>
        <w:t>5.</w:t>
      </w:r>
      <w:r>
        <w:rPr>
          <w:rFonts w:hint="eastAsia"/>
          <w:highlight w:val="none"/>
        </w:rPr>
        <w:t>每半年至少召开一次安全生产工作会议，</w:t>
      </w:r>
      <w:r>
        <w:rPr>
          <w:rFonts w:hint="eastAsia"/>
        </w:rPr>
        <w:t>研究和协调园区安全生产与应急管理方面出现的新问题，并指导、督促相关措施的落实；</w:t>
      </w:r>
    </w:p>
    <w:p w14:paraId="1AC2DF27">
      <w:pPr>
        <w:ind w:firstLine="640"/>
        <w:rPr>
          <w:rFonts w:hint="eastAsia"/>
        </w:rPr>
      </w:pPr>
      <w:r>
        <w:rPr>
          <w:rFonts w:hint="eastAsia"/>
        </w:rPr>
        <w:t>6.协调组织各部门加强安全生产监督管理，查处安全生产违法违规行为；对发现的重大安全生产事故隐患，应当立即召集有关部门研究并落实整改措施；</w:t>
      </w:r>
    </w:p>
    <w:p w14:paraId="7A4E3F8B">
      <w:pPr>
        <w:ind w:firstLine="640"/>
        <w:rPr>
          <w:rFonts w:hint="eastAsia"/>
        </w:rPr>
      </w:pPr>
      <w:r>
        <w:rPr>
          <w:rFonts w:hint="eastAsia"/>
        </w:rPr>
        <w:t>7.及时开展园区整体性安全风险评价，落实风险管控措施；完善应急救援预案体系，落实应急救援措施，每两年至少开展一次综合应急演练，锻炼救援队伍，减少人员伤亡和财产损失；</w:t>
      </w:r>
    </w:p>
    <w:p w14:paraId="09FF6C4F">
      <w:pPr>
        <w:ind w:firstLine="640"/>
        <w:rPr>
          <w:rFonts w:hint="eastAsia"/>
        </w:rPr>
      </w:pPr>
      <w:r>
        <w:rPr>
          <w:rFonts w:hint="eastAsia"/>
        </w:rPr>
        <w:t>8.保证安全生产方面的投入，包括落实相应应急救援物资装备、编制安全方面报告、聘请安全生产第三方技术服务等；</w:t>
      </w:r>
    </w:p>
    <w:p w14:paraId="7FD3EDEB">
      <w:pPr>
        <w:ind w:firstLine="640"/>
        <w:rPr>
          <w:rFonts w:hint="eastAsia"/>
        </w:rPr>
      </w:pPr>
      <w:r>
        <w:rPr>
          <w:rFonts w:hint="eastAsia"/>
        </w:rPr>
        <w:t>9.大力弘扬生命至上、安全第一的思想，强化安全生产宣传教育和舆论引导，加强安全生产公益宣传，将安全生产方针政策和法律法规纳入党员干部学习和培训内容。</w:t>
      </w:r>
    </w:p>
    <w:p w14:paraId="666A8429">
      <w:pPr>
        <w:pStyle w:val="4"/>
        <w:ind w:firstLine="643"/>
        <w:rPr>
          <w:rFonts w:hint="eastAsia"/>
        </w:rPr>
      </w:pPr>
      <w:r>
        <w:rPr>
          <w:rFonts w:hint="eastAsia"/>
        </w:rPr>
        <w:t>（二）高新区管委会分管化工园区副主任</w:t>
      </w:r>
    </w:p>
    <w:p w14:paraId="32D19A91">
      <w:pPr>
        <w:ind w:firstLine="640"/>
        <w:rPr>
          <w:rFonts w:hint="eastAsia"/>
        </w:rPr>
      </w:pPr>
      <w:r>
        <w:rPr>
          <w:rFonts w:hint="eastAsia"/>
        </w:rPr>
        <w:t>1.协助管委会主任对化工园区的安全生产工作进行具体领导、综合协调、监督检查，对安全生产工作负综合监管领导责任，对分管、联系工作领域的安全生产工作负直接领导责任。</w:t>
      </w:r>
    </w:p>
    <w:p w14:paraId="0BF41ADA">
      <w:pPr>
        <w:ind w:firstLine="640"/>
        <w:rPr>
          <w:rFonts w:hint="eastAsia"/>
        </w:rPr>
      </w:pPr>
      <w:r>
        <w:rPr>
          <w:rFonts w:hint="eastAsia"/>
        </w:rPr>
        <w:t>2.组织实施安全生产法律法规和有关安全生产决策部署，积极推进安全发展战略，安全生产方针政策、法律法规的具体措施。</w:t>
      </w:r>
    </w:p>
    <w:p w14:paraId="2E13B7FA">
      <w:pPr>
        <w:ind w:firstLine="640"/>
        <w:rPr>
          <w:rFonts w:hint="eastAsia"/>
        </w:rPr>
      </w:pPr>
      <w:r>
        <w:rPr>
          <w:rFonts w:hint="eastAsia"/>
        </w:rPr>
        <w:t>3.在研究、部署、检查相关工作时，对安全生产工作同时研究、同时部署、同时检查；主持研究制定安全生产工作监管办法和措施；每月至少1次或者根据工作需要及时听取安全生产、消防工作汇报，分析安全生产工作形式，研究制定相关工作措施。</w:t>
      </w:r>
    </w:p>
    <w:p w14:paraId="69792824">
      <w:pPr>
        <w:ind w:firstLine="640"/>
        <w:rPr>
          <w:rFonts w:hint="eastAsia"/>
        </w:rPr>
      </w:pPr>
      <w:r>
        <w:rPr>
          <w:rFonts w:hint="eastAsia"/>
        </w:rPr>
        <w:t>4.加强安全生产应急救援体系建设，依法组织或者参与生产安全事故抢险救援和调查处理，组织开展生产安全事故责任追究和整改措施落实情况评估。</w:t>
      </w:r>
    </w:p>
    <w:p w14:paraId="30347BD6">
      <w:pPr>
        <w:ind w:firstLine="640"/>
        <w:rPr>
          <w:rFonts w:hint="eastAsia"/>
        </w:rPr>
      </w:pPr>
      <w:r>
        <w:rPr>
          <w:rFonts w:hint="eastAsia"/>
        </w:rPr>
        <w:t>5.组织实施安全生产工作监督、检查和考核，督促落实安全生产、消防工作年度目标，建立相应的约束、激励机制。</w:t>
      </w:r>
    </w:p>
    <w:p w14:paraId="4076EF1D">
      <w:pPr>
        <w:ind w:firstLine="640"/>
        <w:rPr>
          <w:rFonts w:hint="eastAsia"/>
        </w:rPr>
      </w:pPr>
      <w:r>
        <w:rPr>
          <w:rFonts w:hint="eastAsia"/>
        </w:rPr>
        <w:t>6.组织实施安全生产事故防控双体系的建设，指导安全生产、消防专项整治，督促、指导重大安全隐患的整改，协调解决安全生产工作中的重点难点问题。</w:t>
      </w:r>
    </w:p>
    <w:p w14:paraId="401958D1">
      <w:pPr>
        <w:pStyle w:val="4"/>
        <w:ind w:firstLine="643"/>
        <w:rPr>
          <w:rFonts w:hint="eastAsia"/>
        </w:rPr>
      </w:pPr>
      <w:r>
        <w:rPr>
          <w:rFonts w:hint="eastAsia"/>
        </w:rPr>
        <w:t>（三）其他管委会副主任</w:t>
      </w:r>
    </w:p>
    <w:p w14:paraId="480EA4B3">
      <w:pPr>
        <w:ind w:firstLine="640"/>
        <w:rPr>
          <w:rFonts w:hint="eastAsia"/>
        </w:rPr>
      </w:pPr>
      <w:r>
        <w:rPr>
          <w:rFonts w:hint="eastAsia"/>
        </w:rPr>
        <w:t>1.抓好分管部门的安全生产工作，加强与其他部门的沟通合作，开展园区安全生产共建共享，动员园区全体干部职工积极参与、支持、监督安全生产工作。</w:t>
      </w:r>
    </w:p>
    <w:p w14:paraId="27F30BB1">
      <w:pPr>
        <w:ind w:firstLine="640"/>
        <w:rPr>
          <w:rFonts w:hint="eastAsia"/>
        </w:rPr>
      </w:pPr>
      <w:r>
        <w:rPr>
          <w:rFonts w:hint="eastAsia"/>
        </w:rPr>
        <w:t>2.组织查处安全生产领域违规违纪行为，严厉打击安全生产违法犯罪行为，协调有关人员参加事故调查。</w:t>
      </w:r>
    </w:p>
    <w:p w14:paraId="6DD74118">
      <w:pPr>
        <w:ind w:firstLine="640"/>
        <w:rPr>
          <w:rFonts w:hint="eastAsia"/>
        </w:rPr>
      </w:pPr>
      <w:r>
        <w:rPr>
          <w:rFonts w:hint="eastAsia"/>
        </w:rPr>
        <w:t>3.协调相关部门支持保障安全生产工作，完善安全生产监管体制机制。</w:t>
      </w:r>
    </w:p>
    <w:p w14:paraId="13C0EBC8">
      <w:pPr>
        <w:ind w:firstLine="640"/>
        <w:rPr>
          <w:rFonts w:hint="eastAsia"/>
        </w:rPr>
      </w:pPr>
      <w:r>
        <w:rPr>
          <w:rFonts w:hint="eastAsia"/>
        </w:rPr>
        <w:t>4.加强安全生产宣传教育，开展安全生产公益宣传，加强舆论引导。</w:t>
      </w:r>
    </w:p>
    <w:p w14:paraId="12825840">
      <w:pPr>
        <w:ind w:firstLine="640"/>
        <w:rPr>
          <w:rFonts w:hint="eastAsia"/>
          <w:b/>
          <w:bCs/>
        </w:rPr>
      </w:pPr>
      <w:r>
        <w:rPr>
          <w:rFonts w:hint="eastAsia"/>
        </w:rPr>
        <w:t>5.化工园区内发生生产安全事故时，按照应急救援预案及时赶赴现场，协调抢险救援和善后处理工作。</w:t>
      </w:r>
    </w:p>
    <w:p w14:paraId="0AB8A48C">
      <w:pPr>
        <w:pStyle w:val="4"/>
        <w:ind w:firstLine="643"/>
        <w:rPr>
          <w:rFonts w:hint="eastAsia"/>
        </w:rPr>
      </w:pPr>
      <w:r>
        <w:rPr>
          <w:rFonts w:hint="eastAsia"/>
        </w:rPr>
        <w:t>（四）青春化工工业园管理办公室</w:t>
      </w:r>
    </w:p>
    <w:p w14:paraId="1FB6E342">
      <w:pPr>
        <w:ind w:firstLine="640"/>
        <w:rPr>
          <w:rFonts w:hint="eastAsia"/>
        </w:rPr>
      </w:pPr>
      <w:r>
        <w:rPr>
          <w:rFonts w:hint="eastAsia"/>
        </w:rPr>
        <w:t>1.负责化工园区安全生产监管、应急管理和消防等工作。</w:t>
      </w:r>
    </w:p>
    <w:p w14:paraId="74BA2979">
      <w:pPr>
        <w:ind w:firstLine="640"/>
        <w:rPr>
          <w:rFonts w:hint="eastAsia"/>
        </w:rPr>
      </w:pPr>
      <w:r>
        <w:rPr>
          <w:rFonts w:hint="eastAsia"/>
        </w:rPr>
        <w:t>2.承担化工园区提档升级工作，负责化工园区认定和安全风险评级工作。</w:t>
      </w:r>
    </w:p>
    <w:p w14:paraId="5D7F3CC9">
      <w:pPr>
        <w:ind w:firstLine="640"/>
        <w:rPr>
          <w:rFonts w:hint="eastAsia"/>
        </w:rPr>
      </w:pPr>
      <w:r>
        <w:rPr>
          <w:rFonts w:hint="eastAsia"/>
        </w:rPr>
        <w:t>3.负责拟定化工园区安全生产规章管理制度，指导化工园区安全风险分级管控和隐患排查治理工作。</w:t>
      </w:r>
    </w:p>
    <w:p w14:paraId="2D6C3FB1">
      <w:pPr>
        <w:ind w:firstLine="640"/>
        <w:rPr>
          <w:rFonts w:hint="eastAsia"/>
        </w:rPr>
      </w:pPr>
      <w:r>
        <w:rPr>
          <w:rFonts w:hint="eastAsia"/>
        </w:rPr>
        <w:t>4.负责化工园区智能管控平台的一体化建设服务和管理，实现园区可视化、数字化、智慧化。</w:t>
      </w:r>
    </w:p>
    <w:p w14:paraId="6D1B482B">
      <w:pPr>
        <w:ind w:firstLine="640"/>
        <w:rPr>
          <w:rFonts w:hint="eastAsia"/>
        </w:rPr>
      </w:pPr>
      <w:r>
        <w:rPr>
          <w:rFonts w:hint="eastAsia"/>
        </w:rPr>
        <w:t>5.协助解决园区内企业的安全生产重大问题，指导企业落实安全生产主体责任。</w:t>
      </w:r>
    </w:p>
    <w:p w14:paraId="2A935134">
      <w:pPr>
        <w:ind w:firstLine="640"/>
        <w:rPr>
          <w:rFonts w:hint="eastAsia"/>
        </w:rPr>
      </w:pPr>
      <w:r>
        <w:rPr>
          <w:rFonts w:hint="eastAsia"/>
        </w:rPr>
        <w:t>6.协助做好化工园区安全生产监督管理、应急救援等工作。</w:t>
      </w:r>
    </w:p>
    <w:p w14:paraId="543E001D">
      <w:pPr>
        <w:ind w:firstLine="640"/>
        <w:rPr>
          <w:rFonts w:hint="eastAsia"/>
        </w:rPr>
      </w:pPr>
      <w:r>
        <w:rPr>
          <w:rFonts w:hint="eastAsia"/>
        </w:rPr>
        <w:t>7.完成上级交办的其他安全生产和应急管理工作。</w:t>
      </w:r>
    </w:p>
    <w:p w14:paraId="78B0C655">
      <w:pPr>
        <w:pStyle w:val="4"/>
        <w:ind w:firstLine="643"/>
        <w:rPr>
          <w:rFonts w:hint="eastAsia"/>
        </w:rPr>
      </w:pPr>
      <w:r>
        <w:rPr>
          <w:rFonts w:hint="eastAsia"/>
        </w:rPr>
        <w:t>（五）区应急管理局</w:t>
      </w:r>
    </w:p>
    <w:p w14:paraId="1A0182FA">
      <w:pPr>
        <w:pStyle w:val="32"/>
        <w:spacing w:line="560" w:lineRule="exact"/>
        <w:ind w:firstLine="640" w:firstLineChars="200"/>
        <w:rPr>
          <w:rFonts w:ascii="Times New Roman" w:eastAsia="仿宋_GB2312" w:cs="Times New Roman"/>
          <w:sz w:val="32"/>
          <w:szCs w:val="32"/>
        </w:rPr>
      </w:pPr>
      <w:r>
        <w:rPr>
          <w:rFonts w:hint="eastAsia" w:ascii="仿宋_GB2312" w:eastAsia="仿宋_GB2312" w:cs="Times New Roman"/>
          <w:sz w:val="32"/>
          <w:szCs w:val="32"/>
        </w:rPr>
        <w:t>1.负</w:t>
      </w:r>
      <w:r>
        <w:rPr>
          <w:rFonts w:ascii="Times New Roman" w:eastAsia="仿宋_GB2312" w:cs="Times New Roman"/>
          <w:sz w:val="32"/>
          <w:szCs w:val="32"/>
        </w:rPr>
        <w:t>责化工园区安全生产和应急管理的综合监督指导工作。</w:t>
      </w:r>
    </w:p>
    <w:p w14:paraId="222A4480">
      <w:pPr>
        <w:pStyle w:val="32"/>
        <w:spacing w:line="560" w:lineRule="exact"/>
        <w:ind w:firstLine="640" w:firstLineChars="200"/>
        <w:rPr>
          <w:rFonts w:ascii="Times New Roman" w:eastAsia="仿宋_GB2312" w:cs="Times New Roman"/>
          <w:sz w:val="32"/>
          <w:szCs w:val="32"/>
        </w:rPr>
      </w:pPr>
      <w:r>
        <w:rPr>
          <w:rFonts w:ascii="Times New Roman" w:eastAsia="仿宋_GB2312" w:cs="Times New Roman"/>
          <w:sz w:val="32"/>
          <w:szCs w:val="32"/>
        </w:rPr>
        <w:t>3.组织园区安全生产类、自然灾害类等突发事件的应急救援、综合研判和应急处置工作。</w:t>
      </w:r>
    </w:p>
    <w:p w14:paraId="7CC637D3">
      <w:pPr>
        <w:pStyle w:val="32"/>
        <w:spacing w:line="560" w:lineRule="exact"/>
        <w:ind w:firstLine="640" w:firstLineChars="200"/>
        <w:rPr>
          <w:rFonts w:ascii="Times New Roman" w:eastAsia="仿宋_GB2312" w:cs="Times New Roman"/>
          <w:sz w:val="32"/>
          <w:szCs w:val="32"/>
        </w:rPr>
      </w:pPr>
      <w:r>
        <w:rPr>
          <w:rFonts w:ascii="Times New Roman" w:eastAsia="仿宋_GB2312" w:cs="Times New Roman"/>
          <w:sz w:val="32"/>
          <w:szCs w:val="32"/>
        </w:rPr>
        <w:t>4.依法监督检查化工园区内生产经营单位贯彻执行安全生产应急管理法律法规情况，依法查处各类安全生产应急管理违法违规行为。</w:t>
      </w:r>
    </w:p>
    <w:p w14:paraId="0B02E6FE">
      <w:pPr>
        <w:ind w:firstLine="640"/>
        <w:rPr>
          <w:rFonts w:ascii="Times New Roman" w:hAnsi="Times New Roman"/>
        </w:rPr>
      </w:pPr>
      <w:r>
        <w:rPr>
          <w:rFonts w:ascii="Times New Roman" w:hAnsi="Times New Roman"/>
        </w:rPr>
        <w:t>5.负责制定</w:t>
      </w:r>
      <w:r>
        <w:rPr>
          <w:rFonts w:hint="eastAsia" w:ascii="Times New Roman" w:hAnsi="Times New Roman"/>
        </w:rPr>
        <w:t>化工</w:t>
      </w:r>
      <w:r>
        <w:rPr>
          <w:rFonts w:ascii="Times New Roman" w:hAnsi="Times New Roman"/>
        </w:rPr>
        <w:t>园区安全生产年度监督检查计划并组织实施。</w:t>
      </w:r>
    </w:p>
    <w:p w14:paraId="621060AE">
      <w:pPr>
        <w:ind w:firstLine="640"/>
        <w:jc w:val="left"/>
        <w:rPr>
          <w:rFonts w:ascii="Times New Roman" w:hAnsi="Times New Roman"/>
          <w:szCs w:val="32"/>
        </w:rPr>
      </w:pPr>
      <w:r>
        <w:rPr>
          <w:rFonts w:ascii="Times New Roman" w:hAnsi="Times New Roman"/>
          <w:szCs w:val="32"/>
        </w:rPr>
        <w:t>6.完成上级交办的其他安全生产和应急管理工作。</w:t>
      </w:r>
    </w:p>
    <w:p w14:paraId="4F90CF44">
      <w:pPr>
        <w:pStyle w:val="4"/>
        <w:ind w:firstLine="643"/>
        <w:rPr>
          <w:rFonts w:hint="eastAsia"/>
        </w:rPr>
      </w:pPr>
      <w:r>
        <w:rPr>
          <w:rFonts w:hint="eastAsia"/>
        </w:rPr>
        <w:t>（六）党政办公室</w:t>
      </w:r>
    </w:p>
    <w:p w14:paraId="171C2497">
      <w:pPr>
        <w:ind w:firstLine="640"/>
        <w:rPr>
          <w:rFonts w:hint="eastAsia"/>
        </w:rPr>
      </w:pPr>
      <w:r>
        <w:rPr>
          <w:rFonts w:hint="eastAsia"/>
        </w:rPr>
        <w:t>1.对化工园区贯彻党和国家的安全生产方针、政策起监督作用，推进落实安全生产和应急管理“党政同责、一岗双责、齐抓共管、失职追责”“管行业必须管安全、管业务必须管安全、管生产经营必须管安全”“谁主管谁负责、谁审批谁负责、谁监管谁负责”责任体系。</w:t>
      </w:r>
    </w:p>
    <w:p w14:paraId="1A6A51DA">
      <w:pPr>
        <w:ind w:firstLine="640"/>
        <w:rPr>
          <w:rFonts w:hint="eastAsia"/>
        </w:rPr>
      </w:pPr>
      <w:r>
        <w:rPr>
          <w:rFonts w:hint="eastAsia"/>
        </w:rPr>
        <w:t>2.按照安全生产党政同责的要求，把安全生产和应急管理工作纳入党工委重要议事日程。</w:t>
      </w:r>
    </w:p>
    <w:p w14:paraId="4BD0DB50">
      <w:pPr>
        <w:ind w:firstLine="640"/>
        <w:rPr>
          <w:rFonts w:hint="eastAsia"/>
        </w:rPr>
      </w:pPr>
      <w:r>
        <w:rPr>
          <w:rFonts w:hint="eastAsia"/>
        </w:rPr>
        <w:t>3.负责将化工园区各项安全管理制度和管理办法以正式文件形式发布。</w:t>
      </w:r>
    </w:p>
    <w:p w14:paraId="443B29E8">
      <w:pPr>
        <w:ind w:firstLine="640"/>
        <w:rPr>
          <w:rFonts w:hint="eastAsia"/>
        </w:rPr>
      </w:pPr>
      <w:r>
        <w:rPr>
          <w:rFonts w:hint="eastAsia"/>
        </w:rPr>
        <w:t>4.保证园区各项安全管理制度和管理办法在本化工园区内的全面实施，并自觉接受园区安全生产管理机构的监督和管理。</w:t>
      </w:r>
    </w:p>
    <w:p w14:paraId="3DD13297">
      <w:pPr>
        <w:ind w:firstLine="640"/>
        <w:rPr>
          <w:rFonts w:hint="eastAsia"/>
        </w:rPr>
      </w:pPr>
      <w:r>
        <w:rPr>
          <w:rFonts w:hint="eastAsia"/>
        </w:rPr>
        <w:t>5.发生生产安全事故时，按照应急救援预案分工，及时协调救援人员赶赴现场，协调或参与救援和善后处理工作。</w:t>
      </w:r>
    </w:p>
    <w:p w14:paraId="015CEBC7">
      <w:pPr>
        <w:pStyle w:val="4"/>
        <w:ind w:firstLine="643"/>
        <w:rPr>
          <w:rFonts w:hint="eastAsia"/>
        </w:rPr>
      </w:pPr>
      <w:r>
        <w:t>（七）党群工作局</w:t>
      </w:r>
    </w:p>
    <w:p w14:paraId="69103142">
      <w:pPr>
        <w:pStyle w:val="32"/>
        <w:spacing w:line="560" w:lineRule="exact"/>
        <w:ind w:firstLine="640" w:firstLineChars="200"/>
        <w:rPr>
          <w:rFonts w:ascii="Times New Roman" w:eastAsia="仿宋_GB2312" w:cs="Times New Roman"/>
          <w:sz w:val="32"/>
          <w:szCs w:val="32"/>
        </w:rPr>
      </w:pPr>
      <w:r>
        <w:rPr>
          <w:rFonts w:ascii="Times New Roman" w:eastAsia="仿宋_GB2312" w:cs="Times New Roman"/>
          <w:sz w:val="32"/>
          <w:szCs w:val="32"/>
        </w:rPr>
        <w:t>1.负责给</w:t>
      </w:r>
      <w:r>
        <w:rPr>
          <w:rFonts w:hint="eastAsia" w:ascii="Times New Roman" w:eastAsia="仿宋_GB2312" w:cs="Times New Roman"/>
          <w:sz w:val="32"/>
          <w:szCs w:val="32"/>
        </w:rPr>
        <w:t>化工园</w:t>
      </w:r>
      <w:r>
        <w:rPr>
          <w:rFonts w:ascii="Times New Roman" w:eastAsia="仿宋_GB2312" w:cs="Times New Roman"/>
          <w:sz w:val="32"/>
          <w:szCs w:val="32"/>
        </w:rPr>
        <w:t>区配备具有化工专业背景的负责人，配齐配强专业安全监管人员，确保专业监管。</w:t>
      </w:r>
    </w:p>
    <w:p w14:paraId="4F64E36F">
      <w:pPr>
        <w:pStyle w:val="32"/>
        <w:spacing w:line="560" w:lineRule="exact"/>
        <w:ind w:firstLine="640" w:firstLineChars="200"/>
        <w:rPr>
          <w:rFonts w:ascii="Times New Roman" w:eastAsia="仿宋_GB2312" w:cs="Times New Roman"/>
          <w:sz w:val="32"/>
          <w:szCs w:val="32"/>
        </w:rPr>
      </w:pPr>
      <w:r>
        <w:rPr>
          <w:rFonts w:ascii="Times New Roman" w:eastAsia="仿宋_GB2312" w:cs="Times New Roman"/>
          <w:sz w:val="32"/>
          <w:szCs w:val="32"/>
        </w:rPr>
        <w:t>2.发挥思想政治工作优势，不断加强安全生产和应急管理方面的宣传教育工作，做好舆论监管，发挥正面引导作用，努力营造安全生产的良好氛围。</w:t>
      </w:r>
    </w:p>
    <w:p w14:paraId="04A35825">
      <w:pPr>
        <w:ind w:firstLine="640"/>
        <w:rPr>
          <w:rFonts w:hint="eastAsia"/>
        </w:rPr>
      </w:pPr>
      <w:r>
        <w:rPr>
          <w:rFonts w:hint="eastAsia"/>
        </w:rPr>
        <w:t>3.负责化工园区安全生产工作的年度考核。</w:t>
      </w:r>
    </w:p>
    <w:p w14:paraId="1D067002">
      <w:pPr>
        <w:pStyle w:val="4"/>
        <w:ind w:firstLine="643"/>
        <w:rPr>
          <w:rFonts w:hint="eastAsia"/>
        </w:rPr>
      </w:pPr>
      <w:r>
        <w:t>（八）区经济发展局</w:t>
      </w:r>
    </w:p>
    <w:p w14:paraId="747D046F">
      <w:pPr>
        <w:ind w:firstLine="640"/>
        <w:rPr>
          <w:rFonts w:ascii="Times New Roman" w:hAnsi="Times New Roman"/>
          <w:lang w:val="zh-CN"/>
        </w:rPr>
      </w:pPr>
      <w:r>
        <w:rPr>
          <w:rFonts w:ascii="Times New Roman" w:hAnsi="Times New Roman"/>
        </w:rPr>
        <w:t>1.</w:t>
      </w:r>
      <w:r>
        <w:rPr>
          <w:rFonts w:ascii="Times New Roman" w:hAnsi="Times New Roman"/>
          <w:lang w:val="zh-CN"/>
        </w:rPr>
        <w:t>负责重点从随州市青春化工工业园行业规划、政策法规等方面统筹考虑安全生产工作。</w:t>
      </w:r>
    </w:p>
    <w:p w14:paraId="1A2D278D">
      <w:pPr>
        <w:ind w:firstLine="640"/>
        <w:rPr>
          <w:rFonts w:ascii="Times New Roman" w:hAnsi="Times New Roman"/>
          <w:lang w:val="zh-CN"/>
        </w:rPr>
      </w:pPr>
      <w:r>
        <w:rPr>
          <w:rFonts w:hint="eastAsia" w:ascii="Times New Roman" w:hAnsi="Times New Roman"/>
        </w:rPr>
        <w:t>2</w:t>
      </w:r>
      <w:r>
        <w:rPr>
          <w:rFonts w:ascii="Times New Roman" w:hAnsi="Times New Roman"/>
        </w:rPr>
        <w:t>.负责</w:t>
      </w:r>
      <w:r>
        <w:rPr>
          <w:rFonts w:ascii="Times New Roman" w:hAnsi="Times New Roman"/>
          <w:lang w:val="zh-CN"/>
        </w:rPr>
        <w:t>会同化工园区有关部门推动安全(应急)产业发展。</w:t>
      </w:r>
    </w:p>
    <w:p w14:paraId="3EEF0DA3">
      <w:pPr>
        <w:ind w:firstLine="640"/>
        <w:rPr>
          <w:rFonts w:ascii="Times New Roman" w:hAnsi="Times New Roman"/>
          <w:lang w:val="zh-CN"/>
        </w:rPr>
      </w:pPr>
      <w:r>
        <w:rPr>
          <w:rFonts w:hint="eastAsia" w:ascii="Times New Roman" w:hAnsi="Times New Roman"/>
        </w:rPr>
        <w:t>3</w:t>
      </w:r>
      <w:r>
        <w:rPr>
          <w:rFonts w:ascii="Times New Roman" w:hAnsi="Times New Roman"/>
        </w:rPr>
        <w:t>.负责</w:t>
      </w:r>
      <w:r>
        <w:rPr>
          <w:rFonts w:ascii="Times New Roman" w:hAnsi="Times New Roman"/>
          <w:lang w:val="zh-CN"/>
        </w:rPr>
        <w:t>化工园区产业政策引导，限制安全水平低、保障能力差的项目发展。</w:t>
      </w:r>
    </w:p>
    <w:p w14:paraId="53F28C20">
      <w:pPr>
        <w:ind w:firstLine="640"/>
        <w:rPr>
          <w:rFonts w:ascii="Times New Roman" w:hAnsi="Times New Roman"/>
          <w:szCs w:val="32"/>
        </w:rPr>
      </w:pPr>
      <w:r>
        <w:rPr>
          <w:rFonts w:hint="eastAsia" w:ascii="Times New Roman" w:hAnsi="Times New Roman"/>
        </w:rPr>
        <w:t>4</w:t>
      </w:r>
      <w:r>
        <w:rPr>
          <w:rFonts w:ascii="Times New Roman" w:hAnsi="Times New Roman"/>
        </w:rPr>
        <w:t>.</w:t>
      </w:r>
      <w:r>
        <w:rPr>
          <w:rFonts w:ascii="Times New Roman" w:hAnsi="Times New Roman"/>
          <w:szCs w:val="32"/>
        </w:rPr>
        <w:t>负责明确园区项目安全准入清单。</w:t>
      </w:r>
    </w:p>
    <w:p w14:paraId="02BC4754">
      <w:pPr>
        <w:ind w:firstLine="640"/>
        <w:rPr>
          <w:rFonts w:ascii="Times New Roman" w:hAnsi="Times New Roman"/>
          <w:szCs w:val="32"/>
        </w:rPr>
      </w:pPr>
      <w:r>
        <w:rPr>
          <w:rFonts w:hint="eastAsia" w:ascii="Times New Roman" w:hAnsi="Times New Roman"/>
          <w:szCs w:val="32"/>
        </w:rPr>
        <w:t>5</w:t>
      </w:r>
      <w:r>
        <w:rPr>
          <w:rFonts w:ascii="Times New Roman" w:hAnsi="Times New Roman"/>
          <w:szCs w:val="32"/>
        </w:rPr>
        <w:t>.负责把安全生产和应急管理工作纳入园区经济社会发展总体规划。</w:t>
      </w:r>
    </w:p>
    <w:p w14:paraId="719639FB">
      <w:pPr>
        <w:ind w:firstLine="640"/>
        <w:rPr>
          <w:rFonts w:ascii="Times New Roman" w:hAnsi="Times New Roman"/>
          <w:szCs w:val="32"/>
        </w:rPr>
      </w:pPr>
      <w:r>
        <w:rPr>
          <w:rFonts w:hint="eastAsia" w:ascii="Times New Roman" w:hAnsi="Times New Roman"/>
          <w:szCs w:val="32"/>
        </w:rPr>
        <w:t>6</w:t>
      </w:r>
      <w:r>
        <w:rPr>
          <w:rFonts w:ascii="Times New Roman" w:hAnsi="Times New Roman"/>
          <w:szCs w:val="32"/>
        </w:rPr>
        <w:t>.做好电力安全保障，协调解决企业反映的供电难题。</w:t>
      </w:r>
    </w:p>
    <w:p w14:paraId="1529B8DD">
      <w:pPr>
        <w:pStyle w:val="4"/>
        <w:ind w:firstLine="643"/>
        <w:rPr>
          <w:rFonts w:hint="eastAsia"/>
        </w:rPr>
      </w:pPr>
      <w:r>
        <w:rPr>
          <w:rFonts w:hint="eastAsia"/>
        </w:rPr>
        <w:t>（九）招商投资促进中心</w:t>
      </w:r>
    </w:p>
    <w:p w14:paraId="3349C156">
      <w:pPr>
        <w:ind w:firstLine="640"/>
        <w:rPr>
          <w:rFonts w:ascii="Times New Roman" w:hAnsi="Times New Roman"/>
          <w:szCs w:val="32"/>
        </w:rPr>
      </w:pPr>
      <w:r>
        <w:rPr>
          <w:rFonts w:hint="eastAsia" w:ascii="Times New Roman" w:hAnsi="Times New Roman"/>
          <w:szCs w:val="32"/>
        </w:rPr>
        <w:t>1.负责入园企业的资格预审、选择，在招商文件中明确入园项目、企业安全生产要求，对入园项目进行评估时，负责将安全准入条件、安全生产和应急管理等纳入评估范围。</w:t>
      </w:r>
    </w:p>
    <w:p w14:paraId="4538A89B">
      <w:pPr>
        <w:ind w:firstLine="640"/>
        <w:rPr>
          <w:rFonts w:hAnsi="Times New Roman"/>
          <w:szCs w:val="32"/>
        </w:rPr>
      </w:pPr>
      <w:r>
        <w:rPr>
          <w:rFonts w:hint="eastAsia" w:ascii="Times New Roman" w:hAnsi="Times New Roman"/>
          <w:szCs w:val="32"/>
        </w:rPr>
        <w:t>2.依据园区产业发展规划及已入园的企业情况，绘制园区产业链全景图，招引项目，确保园区入园项目形成相对完整的“上中下</w:t>
      </w:r>
      <w:r>
        <w:rPr>
          <w:rFonts w:hint="eastAsia" w:hAnsi="Times New Roman"/>
          <w:szCs w:val="32"/>
        </w:rPr>
        <w:t>游”产业链和主导产业</w:t>
      </w:r>
    </w:p>
    <w:p w14:paraId="39D6751C">
      <w:pPr>
        <w:pStyle w:val="4"/>
        <w:ind w:firstLine="643"/>
        <w:rPr>
          <w:rFonts w:hint="eastAsia"/>
        </w:rPr>
      </w:pPr>
      <w:r>
        <w:rPr>
          <w:rFonts w:hint="eastAsia"/>
        </w:rPr>
        <w:t>（十）城东工作局</w:t>
      </w:r>
    </w:p>
    <w:p w14:paraId="03D949D3">
      <w:pPr>
        <w:ind w:firstLine="640"/>
        <w:rPr>
          <w:rFonts w:hAnsi="Times New Roman"/>
          <w:szCs w:val="32"/>
        </w:rPr>
      </w:pPr>
      <w:r>
        <w:rPr>
          <w:rFonts w:hint="eastAsia" w:hAnsi="Times New Roman"/>
          <w:szCs w:val="32"/>
        </w:rPr>
        <w:t>1.负责制定园区四至范围内的居民搬迁方案、落实居民搬迁工作。</w:t>
      </w:r>
    </w:p>
    <w:p w14:paraId="11A5A5DD">
      <w:pPr>
        <w:ind w:firstLine="640"/>
        <w:rPr>
          <w:rFonts w:hAnsi="Times New Roman"/>
          <w:szCs w:val="32"/>
        </w:rPr>
      </w:pPr>
      <w:r>
        <w:rPr>
          <w:rFonts w:hint="eastAsia" w:hAnsi="Times New Roman"/>
          <w:szCs w:val="32"/>
        </w:rPr>
        <w:t>2.负责园区范围内项目建设的外围环境保障工作。</w:t>
      </w:r>
    </w:p>
    <w:p w14:paraId="5136F94B">
      <w:pPr>
        <w:ind w:firstLine="640"/>
        <w:rPr>
          <w:rFonts w:hAnsi="Times New Roman"/>
          <w:szCs w:val="32"/>
        </w:rPr>
      </w:pPr>
      <w:r>
        <w:rPr>
          <w:rFonts w:hint="eastAsia" w:hAnsi="Times New Roman"/>
          <w:szCs w:val="32"/>
        </w:rPr>
        <w:t>3.负责园区范围内的群众工作。</w:t>
      </w:r>
    </w:p>
    <w:p w14:paraId="069C46BB">
      <w:pPr>
        <w:pStyle w:val="4"/>
        <w:ind w:firstLine="643"/>
        <w:rPr>
          <w:rFonts w:hint="eastAsia"/>
        </w:rPr>
      </w:pPr>
      <w:r>
        <w:t>（</w:t>
      </w:r>
      <w:r>
        <w:rPr>
          <w:rFonts w:hint="eastAsia"/>
        </w:rPr>
        <w:t>十一</w:t>
      </w:r>
      <w:r>
        <w:t>）区自然资源和规划建设中心</w:t>
      </w:r>
    </w:p>
    <w:p w14:paraId="4C6D74B2">
      <w:pPr>
        <w:ind w:firstLine="640"/>
        <w:rPr>
          <w:rFonts w:ascii="Times New Roman" w:hAnsi="Times New Roman"/>
        </w:rPr>
      </w:pPr>
      <w:r>
        <w:rPr>
          <w:rFonts w:ascii="Times New Roman" w:hAnsi="Times New Roman"/>
        </w:rPr>
        <w:t>1.负责园区地质灾害危险性评估工作的技术指导和工作推进。</w:t>
      </w:r>
    </w:p>
    <w:p w14:paraId="3158CDB4">
      <w:pPr>
        <w:ind w:firstLine="640"/>
        <w:rPr>
          <w:rFonts w:ascii="Times New Roman" w:hAnsi="Times New Roman"/>
        </w:rPr>
      </w:pPr>
      <w:r>
        <w:rPr>
          <w:rFonts w:ascii="Times New Roman" w:hAnsi="Times New Roman"/>
        </w:rPr>
        <w:t>2.依法组织和实施国土空间规划，充分考虑各专项规划的空间需求。</w:t>
      </w:r>
    </w:p>
    <w:p w14:paraId="7494BA44">
      <w:pPr>
        <w:ind w:firstLine="640"/>
        <w:rPr>
          <w:rFonts w:ascii="Times New Roman" w:hAnsi="Times New Roman"/>
        </w:rPr>
      </w:pPr>
      <w:r>
        <w:rPr>
          <w:rFonts w:ascii="Times New Roman" w:hAnsi="Times New Roman"/>
        </w:rPr>
        <w:t>3.依据国土空间规划，严格实施国土空间用途管制。</w:t>
      </w:r>
    </w:p>
    <w:p w14:paraId="78694C19">
      <w:pPr>
        <w:ind w:firstLine="640"/>
        <w:rPr>
          <w:rFonts w:ascii="Times New Roman" w:hAnsi="Times New Roman"/>
        </w:rPr>
      </w:pPr>
      <w:r>
        <w:rPr>
          <w:rFonts w:hint="eastAsia" w:ascii="Times New Roman" w:hAnsi="Times New Roman"/>
        </w:rPr>
        <w:t>4</w:t>
      </w:r>
      <w:r>
        <w:rPr>
          <w:rFonts w:ascii="Times New Roman" w:hAnsi="Times New Roman"/>
        </w:rPr>
        <w:t>.负责落实综合防灾减灾规划相关工作，承担地质灾害应急救援的相关技术支撑工作。</w:t>
      </w:r>
    </w:p>
    <w:p w14:paraId="453653CD">
      <w:pPr>
        <w:ind w:firstLine="640"/>
        <w:rPr>
          <w:rFonts w:ascii="Times New Roman" w:hAnsi="Times New Roman"/>
        </w:rPr>
      </w:pPr>
      <w:r>
        <w:rPr>
          <w:rFonts w:hint="eastAsia" w:ascii="Times New Roman" w:hAnsi="Times New Roman"/>
        </w:rPr>
        <w:t>5</w:t>
      </w:r>
      <w:r>
        <w:rPr>
          <w:rFonts w:ascii="Times New Roman" w:hAnsi="Times New Roman"/>
        </w:rPr>
        <w:t>.负责指导开展地质灾害工程治理和开展群测群防、专业监测和预报预警等工作；为应急工作提供环境资源、地理信息等信息支持。</w:t>
      </w:r>
    </w:p>
    <w:p w14:paraId="22731DBD">
      <w:pPr>
        <w:pStyle w:val="4"/>
        <w:ind w:firstLine="643"/>
        <w:rPr>
          <w:rFonts w:hint="eastAsia"/>
        </w:rPr>
      </w:pPr>
      <w:r>
        <w:t>（十</w:t>
      </w:r>
      <w:r>
        <w:rPr>
          <w:rFonts w:hint="eastAsia"/>
        </w:rPr>
        <w:t>二</w:t>
      </w:r>
      <w:r>
        <w:t>）区生态环境服务中心</w:t>
      </w:r>
    </w:p>
    <w:p w14:paraId="2CE2A547">
      <w:pPr>
        <w:overflowPunct w:val="0"/>
        <w:autoSpaceDE w:val="0"/>
        <w:autoSpaceDN w:val="0"/>
        <w:adjustRightInd w:val="0"/>
        <w:snapToGrid w:val="0"/>
        <w:ind w:firstLine="640"/>
        <w:textAlignment w:val="baseline"/>
        <w:rPr>
          <w:rFonts w:hAnsi="Times New Roman"/>
          <w:szCs w:val="32"/>
        </w:rPr>
      </w:pPr>
      <w:r>
        <w:rPr>
          <w:rFonts w:hint="eastAsia" w:hAnsi="Times New Roman"/>
          <w:szCs w:val="32"/>
        </w:rPr>
        <w:t>1.负责对园区企业产生危险废物的收集、贮存、处置等进行安全监管，严厉打击无许可证或不按许可证从事危险废物收集、贮存、利用、处置等经营活动的行为。</w:t>
      </w:r>
    </w:p>
    <w:p w14:paraId="08CBC825">
      <w:pPr>
        <w:overflowPunct w:val="0"/>
        <w:autoSpaceDE w:val="0"/>
        <w:autoSpaceDN w:val="0"/>
        <w:adjustRightInd w:val="0"/>
        <w:snapToGrid w:val="0"/>
        <w:ind w:firstLine="640"/>
        <w:textAlignment w:val="baseline"/>
        <w:rPr>
          <w:rFonts w:hAnsi="Times New Roman"/>
          <w:szCs w:val="32"/>
        </w:rPr>
      </w:pPr>
      <w:r>
        <w:rPr>
          <w:rFonts w:hint="eastAsia" w:hAnsi="Times New Roman"/>
          <w:szCs w:val="32"/>
        </w:rPr>
        <w:t>2.负责化工园区危险化学品生产安全事故相关环境污染、生态破坏问题调查和事故现场应急环境监测。</w:t>
      </w:r>
    </w:p>
    <w:p w14:paraId="7966A4C1">
      <w:pPr>
        <w:overflowPunct w:val="0"/>
        <w:autoSpaceDE w:val="0"/>
        <w:autoSpaceDN w:val="0"/>
        <w:adjustRightInd w:val="0"/>
        <w:snapToGrid w:val="0"/>
        <w:ind w:firstLine="640"/>
        <w:textAlignment w:val="baseline"/>
        <w:rPr>
          <w:rFonts w:hAnsi="Times New Roman"/>
          <w:bCs/>
          <w:color w:val="000000"/>
          <w:szCs w:val="32"/>
          <w:lang w:val="zh-CN" w:bidi="zh-CN"/>
        </w:rPr>
      </w:pPr>
      <w:r>
        <w:rPr>
          <w:rFonts w:hint="eastAsia" w:hAnsi="Times New Roman"/>
          <w:szCs w:val="32"/>
        </w:rPr>
        <w:t>3.</w:t>
      </w:r>
      <w:r>
        <w:rPr>
          <w:rFonts w:hint="eastAsia" w:hAnsi="Times New Roman"/>
          <w:color w:val="000000"/>
          <w:kern w:val="0"/>
          <w:szCs w:val="32"/>
        </w:rPr>
        <w:t>负责指导园区环保工作，协调处理污水处理厂运行。</w:t>
      </w:r>
    </w:p>
    <w:p w14:paraId="11ADCE80">
      <w:pPr>
        <w:ind w:firstLine="640"/>
        <w:jc w:val="left"/>
        <w:rPr>
          <w:rFonts w:hAnsi="Times New Roman"/>
          <w:color w:val="000000"/>
          <w:kern w:val="0"/>
          <w:szCs w:val="32"/>
        </w:rPr>
      </w:pPr>
      <w:r>
        <w:rPr>
          <w:rFonts w:hint="eastAsia" w:hAnsi="Times New Roman"/>
          <w:color w:val="000000"/>
          <w:kern w:val="0"/>
          <w:szCs w:val="32"/>
        </w:rPr>
        <w:t>4.发生生产安全事故时，按照应急救援预案分工，及时协调救援人员赶赴现场，协调或参与救援和善后处理工作。</w:t>
      </w:r>
    </w:p>
    <w:p w14:paraId="5A34055C">
      <w:pPr>
        <w:pStyle w:val="4"/>
        <w:ind w:firstLine="643"/>
        <w:rPr>
          <w:rFonts w:hint="eastAsia"/>
        </w:rPr>
      </w:pPr>
      <w:r>
        <w:t>（十</w:t>
      </w:r>
      <w:r>
        <w:rPr>
          <w:rFonts w:hint="eastAsia"/>
        </w:rPr>
        <w:t>三</w:t>
      </w:r>
      <w:r>
        <w:t>）区财政金融局</w:t>
      </w:r>
    </w:p>
    <w:p w14:paraId="67F63FE5">
      <w:pPr>
        <w:ind w:firstLine="640"/>
        <w:jc w:val="left"/>
        <w:rPr>
          <w:rFonts w:hAnsi="Times New Roman"/>
          <w:color w:val="000000"/>
          <w:kern w:val="0"/>
          <w:szCs w:val="32"/>
        </w:rPr>
      </w:pPr>
      <w:r>
        <w:rPr>
          <w:rFonts w:hint="eastAsia" w:hAnsi="Times New Roman"/>
          <w:color w:val="000000"/>
          <w:kern w:val="0"/>
          <w:szCs w:val="32"/>
        </w:rPr>
        <w:t>负责审核各类安全生产和应急管理费用支出，保障化工园区安全监管工作所需经费，对财政政策落实和资金使用情况进行监督检查，指导化工园区加强安全生产投入。</w:t>
      </w:r>
    </w:p>
    <w:p w14:paraId="703CEE3F">
      <w:pPr>
        <w:pStyle w:val="4"/>
        <w:ind w:firstLine="643"/>
        <w:rPr>
          <w:rFonts w:hint="eastAsia"/>
        </w:rPr>
      </w:pPr>
      <w:r>
        <w:t>（十</w:t>
      </w:r>
      <w:r>
        <w:rPr>
          <w:rFonts w:hint="eastAsia"/>
        </w:rPr>
        <w:t>四</w:t>
      </w:r>
      <w:r>
        <w:t>）区社会事务局</w:t>
      </w:r>
    </w:p>
    <w:p w14:paraId="42358914">
      <w:pPr>
        <w:ind w:firstLine="640"/>
        <w:rPr>
          <w:rFonts w:ascii="Times New Roman" w:hAnsi="Times New Roman"/>
        </w:rPr>
      </w:pPr>
      <w:r>
        <w:rPr>
          <w:rFonts w:ascii="Times New Roman" w:hAnsi="Times New Roman"/>
          <w:szCs w:val="32"/>
        </w:rPr>
        <w:t>1.</w:t>
      </w:r>
      <w:r>
        <w:rPr>
          <w:rFonts w:ascii="Times New Roman" w:hAnsi="Times New Roman"/>
          <w:color w:val="000000"/>
          <w:kern w:val="0"/>
          <w:szCs w:val="32"/>
        </w:rPr>
        <w:t>负责园区民政事务及卫生、社会保障等工作。</w:t>
      </w:r>
    </w:p>
    <w:p w14:paraId="7252DCAE">
      <w:pPr>
        <w:ind w:firstLine="640"/>
        <w:rPr>
          <w:rFonts w:ascii="Times New Roman" w:hAnsi="Times New Roman"/>
        </w:rPr>
      </w:pPr>
      <w:r>
        <w:rPr>
          <w:rFonts w:ascii="Times New Roman" w:hAnsi="Times New Roman"/>
        </w:rPr>
        <w:t>2.负责联系曾都区中医医院，协助园区医疗救护站建设及运营，参加化工园区自然灾害、事故灾难的医疗卫生救援。</w:t>
      </w:r>
    </w:p>
    <w:p w14:paraId="5F849BDA">
      <w:pPr>
        <w:ind w:firstLine="640"/>
        <w:jc w:val="left"/>
        <w:rPr>
          <w:rFonts w:ascii="Times New Roman" w:hAnsi="Times New Roman"/>
          <w:szCs w:val="32"/>
        </w:rPr>
      </w:pPr>
      <w:r>
        <w:rPr>
          <w:rFonts w:ascii="Times New Roman" w:hAnsi="Times New Roman"/>
          <w:color w:val="000000"/>
          <w:kern w:val="0"/>
          <w:szCs w:val="32"/>
        </w:rPr>
        <w:t>3.发生生产安全事故时，按照应急救援预案分工，及时组织部门人员赶赴现场，协调或参与救援和善后处理工作。</w:t>
      </w:r>
    </w:p>
    <w:p w14:paraId="71B0D76D">
      <w:pPr>
        <w:pStyle w:val="4"/>
        <w:ind w:firstLine="643"/>
        <w:rPr>
          <w:rFonts w:hint="eastAsia"/>
        </w:rPr>
      </w:pPr>
      <w:r>
        <w:t>（十</w:t>
      </w:r>
      <w:r>
        <w:rPr>
          <w:rFonts w:hint="eastAsia"/>
        </w:rPr>
        <w:t>五</w:t>
      </w:r>
      <w:r>
        <w:t>）区市场监督管理局</w:t>
      </w:r>
    </w:p>
    <w:p w14:paraId="63C78E2F">
      <w:pPr>
        <w:pStyle w:val="32"/>
        <w:spacing w:line="560" w:lineRule="exact"/>
        <w:ind w:firstLine="640" w:firstLineChars="200"/>
        <w:rPr>
          <w:rFonts w:ascii="Times New Roman" w:eastAsia="仿宋_GB2312" w:cs="Times New Roman"/>
          <w:sz w:val="32"/>
          <w:szCs w:val="32"/>
        </w:rPr>
      </w:pPr>
      <w:r>
        <w:rPr>
          <w:rFonts w:ascii="Times New Roman" w:eastAsia="仿宋_GB2312" w:cs="Times New Roman"/>
          <w:sz w:val="32"/>
          <w:szCs w:val="32"/>
        </w:rPr>
        <w:t>负责随州市青春化工工业园特种设备的安全监管。</w:t>
      </w:r>
    </w:p>
    <w:p w14:paraId="655BC790">
      <w:pPr>
        <w:pStyle w:val="4"/>
        <w:ind w:firstLine="643"/>
        <w:rPr>
          <w:rFonts w:hint="eastAsia"/>
        </w:rPr>
      </w:pPr>
      <w:r>
        <w:t>（</w:t>
      </w:r>
      <w:r>
        <w:rPr>
          <w:rFonts w:hint="eastAsia"/>
        </w:rPr>
        <w:t>十六</w:t>
      </w:r>
      <w:r>
        <w:t>）区规划建设局</w:t>
      </w:r>
    </w:p>
    <w:p w14:paraId="62F5E31A">
      <w:pPr>
        <w:ind w:firstLine="640"/>
        <w:jc w:val="left"/>
        <w:rPr>
          <w:rFonts w:ascii="Times New Roman" w:hAnsi="Times New Roman"/>
          <w:szCs w:val="32"/>
        </w:rPr>
      </w:pPr>
      <w:r>
        <w:rPr>
          <w:rFonts w:ascii="Times New Roman" w:hAnsi="Times New Roman"/>
          <w:szCs w:val="32"/>
        </w:rPr>
        <w:t>负责随州市青春化工工业园区内建设项目建筑施工的安全监管。</w:t>
      </w:r>
    </w:p>
    <w:p w14:paraId="42649924">
      <w:pPr>
        <w:pStyle w:val="4"/>
        <w:ind w:firstLine="643"/>
        <w:rPr>
          <w:rFonts w:hint="eastAsia"/>
        </w:rPr>
      </w:pPr>
      <w:r>
        <w:t>（</w:t>
      </w:r>
      <w:r>
        <w:rPr>
          <w:rFonts w:hint="eastAsia"/>
        </w:rPr>
        <w:t>十七</w:t>
      </w:r>
      <w:r>
        <w:t>）区消防救援大队</w:t>
      </w:r>
    </w:p>
    <w:p w14:paraId="44A5480C">
      <w:pPr>
        <w:ind w:firstLine="640"/>
        <w:jc w:val="left"/>
        <w:rPr>
          <w:rFonts w:ascii="Times New Roman" w:hAnsi="Times New Roman"/>
          <w:szCs w:val="32"/>
        </w:rPr>
      </w:pPr>
      <w:r>
        <w:rPr>
          <w:rFonts w:ascii="Times New Roman" w:hAnsi="Times New Roman"/>
          <w:szCs w:val="32"/>
        </w:rPr>
        <w:t>1.承担园区灭火救援事故救援职责，参与自然灾害、事故灾难抢险救援工作。</w:t>
      </w:r>
    </w:p>
    <w:p w14:paraId="1336F501">
      <w:pPr>
        <w:ind w:firstLine="640"/>
        <w:jc w:val="left"/>
        <w:rPr>
          <w:rFonts w:ascii="Times New Roman" w:hAnsi="Times New Roman"/>
          <w:szCs w:val="32"/>
        </w:rPr>
      </w:pPr>
      <w:r>
        <w:rPr>
          <w:rFonts w:ascii="Times New Roman" w:hAnsi="Times New Roman"/>
          <w:szCs w:val="32"/>
        </w:rPr>
        <w:t>2.在市消防救援支队及管委会的统一指挥调度下负责指挥调度灭火救援行动。</w:t>
      </w:r>
    </w:p>
    <w:p w14:paraId="57ECFA4C">
      <w:pPr>
        <w:ind w:firstLine="640"/>
        <w:jc w:val="left"/>
        <w:rPr>
          <w:rFonts w:ascii="Times New Roman" w:hAnsi="Times New Roman"/>
          <w:szCs w:val="32"/>
        </w:rPr>
      </w:pPr>
      <w:r>
        <w:rPr>
          <w:rFonts w:ascii="Times New Roman" w:hAnsi="Times New Roman"/>
          <w:szCs w:val="32"/>
        </w:rPr>
        <w:t>3.参与开展化工园区消防安全生产检查、指导消除各类消防安全隐患，结合化工园区消防安全风险特点有针对性的开展灭火救援战术研究及熟悉演练工作，提升执勤备战水平。</w:t>
      </w:r>
    </w:p>
    <w:p w14:paraId="71DB8EC8">
      <w:pPr>
        <w:ind w:firstLine="640"/>
        <w:jc w:val="left"/>
        <w:rPr>
          <w:rFonts w:ascii="Times New Roman" w:hAnsi="Times New Roman"/>
          <w:szCs w:val="32"/>
        </w:rPr>
      </w:pPr>
      <w:r>
        <w:rPr>
          <w:rFonts w:ascii="Times New Roman" w:hAnsi="Times New Roman"/>
          <w:szCs w:val="32"/>
        </w:rPr>
        <w:t>4.负责园区消防力量建设；参与园区消防专项规划的编制，承担综合性消防救援行动应急通信保障职责。</w:t>
      </w:r>
    </w:p>
    <w:p w14:paraId="232DB941">
      <w:pPr>
        <w:pStyle w:val="4"/>
        <w:ind w:firstLine="643"/>
        <w:rPr>
          <w:rFonts w:hint="eastAsia"/>
        </w:rPr>
      </w:pPr>
      <w:r>
        <w:t>（十</w:t>
      </w:r>
      <w:r>
        <w:rPr>
          <w:rFonts w:hint="eastAsia"/>
        </w:rPr>
        <w:t>八</w:t>
      </w:r>
      <w:r>
        <w:t>）政法办</w:t>
      </w:r>
    </w:p>
    <w:p w14:paraId="3EC3B21C">
      <w:pPr>
        <w:ind w:firstLine="640"/>
        <w:jc w:val="left"/>
        <w:rPr>
          <w:rFonts w:ascii="Times New Roman" w:hAnsi="Times New Roman"/>
          <w:szCs w:val="32"/>
        </w:rPr>
      </w:pPr>
      <w:r>
        <w:rPr>
          <w:rFonts w:ascii="Times New Roman" w:hAnsi="Times New Roman"/>
          <w:szCs w:val="32"/>
        </w:rPr>
        <w:t>1.负责联系公安部门，配合交警中队、交通运输等部门，做好预防和处理道路交通事故，维护道路交通安全、道路交通秩序，开展机动车辆（不含拖拉机）、驾驶人管理，组织道路交通安全宣传教育等安全相关工作。</w:t>
      </w:r>
    </w:p>
    <w:p w14:paraId="176C9558">
      <w:pPr>
        <w:ind w:firstLine="640"/>
        <w:jc w:val="left"/>
        <w:rPr>
          <w:rFonts w:ascii="Times New Roman" w:hAnsi="Times New Roman"/>
          <w:szCs w:val="32"/>
        </w:rPr>
      </w:pPr>
      <w:r>
        <w:rPr>
          <w:rFonts w:ascii="Times New Roman" w:hAnsi="Times New Roman"/>
          <w:szCs w:val="32"/>
        </w:rPr>
        <w:t>2.发生生产安全事故时，按照应急救援预案分工，及时组织部门人员赶赴现场，协调或参与救援和善后处理工作。</w:t>
      </w:r>
    </w:p>
    <w:p w14:paraId="4EFB2C03">
      <w:pPr>
        <w:ind w:firstLine="640"/>
        <w:jc w:val="left"/>
        <w:rPr>
          <w:rFonts w:hint="eastAsia" w:ascii="楷体_GB2312" w:hAnsi="Times New Roman" w:eastAsia="楷体_GB2312"/>
          <w:szCs w:val="32"/>
        </w:rPr>
      </w:pPr>
      <w:r>
        <w:rPr>
          <w:rFonts w:hint="eastAsia" w:ascii="楷体_GB2312" w:hAnsi="Times New Roman" w:eastAsia="楷体_GB2312"/>
          <w:szCs w:val="32"/>
        </w:rPr>
        <w:t>（十九）本制度从印发之日起执行。</w:t>
      </w:r>
    </w:p>
    <w:p w14:paraId="1C4D287F">
      <w:pPr>
        <w:pStyle w:val="3"/>
        <w:ind w:firstLine="640"/>
        <w:jc w:val="left"/>
        <w:rPr>
          <w:rFonts w:ascii="黑体" w:hAnsi="黑体" w:eastAsia="黑体"/>
          <w:b w:val="0"/>
          <w:bCs/>
          <w:sz w:val="32"/>
          <w:szCs w:val="21"/>
        </w:rPr>
      </w:pPr>
      <w:bookmarkStart w:id="7" w:name="_Toc16695"/>
      <w:r>
        <w:rPr>
          <w:rFonts w:ascii="黑体" w:hAnsi="黑体" w:eastAsia="黑体"/>
          <w:b w:val="0"/>
          <w:bCs/>
          <w:sz w:val="32"/>
          <w:szCs w:val="21"/>
        </w:rPr>
        <w:t>二、随州市青春化工工业园管理办公室</w:t>
      </w:r>
      <w:r>
        <w:rPr>
          <w:rFonts w:hint="eastAsia" w:ascii="黑体" w:hAnsi="黑体" w:eastAsia="黑体"/>
          <w:b w:val="0"/>
          <w:bCs/>
          <w:sz w:val="32"/>
          <w:szCs w:val="21"/>
        </w:rPr>
        <w:t>内设部室职责</w:t>
      </w:r>
      <w:bookmarkEnd w:id="7"/>
    </w:p>
    <w:p w14:paraId="259CC663">
      <w:pPr>
        <w:overflowPunct w:val="0"/>
        <w:autoSpaceDE w:val="0"/>
        <w:autoSpaceDN w:val="0"/>
        <w:ind w:firstLine="640"/>
        <w:rPr>
          <w:rFonts w:hint="eastAsia" w:cs="仿宋_GB2312"/>
          <w:color w:val="000000"/>
          <w:szCs w:val="32"/>
          <w:lang w:val="zh-CN" w:bidi="zh-CN"/>
        </w:rPr>
      </w:pPr>
      <w:r>
        <w:rPr>
          <w:rFonts w:hint="eastAsia" w:cs="仿宋_GB2312"/>
          <w:color w:val="000000"/>
          <w:szCs w:val="32"/>
          <w:lang w:val="zh-CN" w:bidi="zh-CN"/>
        </w:rPr>
        <w:t>随州市青春化工工业园管理办公室</w:t>
      </w:r>
      <w:r>
        <w:rPr>
          <w:rFonts w:hint="eastAsia" w:cs="仿宋_GB2312"/>
          <w:color w:val="000000"/>
          <w:szCs w:val="32"/>
          <w:lang w:bidi="zh-CN"/>
        </w:rPr>
        <w:t>内设</w:t>
      </w:r>
      <w:r>
        <w:rPr>
          <w:rFonts w:hint="eastAsia" w:cs="仿宋_GB2312"/>
          <w:color w:val="000000"/>
          <w:szCs w:val="32"/>
          <w:lang w:val="zh-CN" w:bidi="zh-CN"/>
        </w:rPr>
        <w:t>安全生产</w:t>
      </w:r>
      <w:r>
        <w:rPr>
          <w:rFonts w:hint="eastAsia" w:cs="仿宋_GB2312"/>
          <w:color w:val="000000"/>
          <w:szCs w:val="32"/>
          <w:lang w:bidi="zh-CN"/>
        </w:rPr>
        <w:t>部室</w:t>
      </w:r>
      <w:r>
        <w:rPr>
          <w:rFonts w:hint="eastAsia" w:cs="仿宋_GB2312"/>
          <w:color w:val="000000"/>
          <w:szCs w:val="32"/>
          <w:lang w:val="zh-CN" w:bidi="zh-CN"/>
        </w:rPr>
        <w:t>、环境保护</w:t>
      </w:r>
      <w:r>
        <w:rPr>
          <w:rFonts w:hint="eastAsia" w:cs="仿宋_GB2312"/>
          <w:color w:val="000000"/>
          <w:szCs w:val="32"/>
          <w:lang w:bidi="zh-CN"/>
        </w:rPr>
        <w:t>部室</w:t>
      </w:r>
      <w:r>
        <w:rPr>
          <w:rFonts w:hint="eastAsia" w:cs="仿宋_GB2312"/>
          <w:color w:val="000000"/>
          <w:szCs w:val="32"/>
          <w:lang w:val="zh-CN" w:bidi="zh-CN"/>
        </w:rPr>
        <w:t>、应急救援</w:t>
      </w:r>
      <w:r>
        <w:rPr>
          <w:rFonts w:hint="eastAsia" w:cs="仿宋_GB2312"/>
          <w:color w:val="000000"/>
          <w:szCs w:val="32"/>
          <w:lang w:bidi="zh-CN"/>
        </w:rPr>
        <w:t>部室</w:t>
      </w:r>
      <w:r>
        <w:rPr>
          <w:rFonts w:hint="eastAsia" w:cs="仿宋_GB2312"/>
          <w:color w:val="000000"/>
          <w:szCs w:val="32"/>
          <w:lang w:val="zh-CN" w:bidi="zh-CN"/>
        </w:rPr>
        <w:t>，具体承担安全生产、环境保护、应急救援等工作。</w:t>
      </w:r>
    </w:p>
    <w:p w14:paraId="2A973D73">
      <w:pPr>
        <w:pStyle w:val="4"/>
        <w:ind w:firstLine="643"/>
        <w:rPr>
          <w:rFonts w:hint="eastAsia"/>
          <w:lang w:val="zh-CN" w:bidi="zh-CN"/>
        </w:rPr>
      </w:pPr>
      <w:r>
        <w:rPr>
          <w:rFonts w:hint="eastAsia"/>
          <w:lang w:val="zh-CN" w:bidi="zh-CN"/>
        </w:rPr>
        <w:t>（一）安全生产</w:t>
      </w:r>
      <w:r>
        <w:rPr>
          <w:rFonts w:hint="eastAsia"/>
          <w:lang w:bidi="zh-CN"/>
        </w:rPr>
        <w:t>部室</w:t>
      </w:r>
      <w:r>
        <w:rPr>
          <w:rFonts w:hint="eastAsia"/>
          <w:lang w:val="zh-CN" w:bidi="zh-CN"/>
        </w:rPr>
        <w:t>工作职责</w:t>
      </w:r>
    </w:p>
    <w:p w14:paraId="421B22C8">
      <w:pPr>
        <w:overflowPunct w:val="0"/>
        <w:autoSpaceDE w:val="0"/>
        <w:autoSpaceDN w:val="0"/>
        <w:ind w:firstLine="640"/>
        <w:rPr>
          <w:rFonts w:hint="eastAsia" w:cs="仿宋_GB2312"/>
          <w:color w:val="000000"/>
          <w:szCs w:val="32"/>
          <w:lang w:val="zh-CN" w:bidi="zh-CN"/>
        </w:rPr>
      </w:pPr>
      <w:r>
        <w:rPr>
          <w:rFonts w:hint="eastAsia" w:cs="仿宋_GB2312"/>
          <w:color w:val="000000"/>
          <w:szCs w:val="32"/>
          <w:lang w:val="zh-CN" w:bidi="zh-CN"/>
        </w:rPr>
        <w:t>1.宣传贯彻国家安全生产法律、法规、规章、国家标准行业标准及安全生产方针政策；</w:t>
      </w:r>
    </w:p>
    <w:p w14:paraId="40496168">
      <w:pPr>
        <w:overflowPunct w:val="0"/>
        <w:autoSpaceDE w:val="0"/>
        <w:autoSpaceDN w:val="0"/>
        <w:ind w:firstLine="640"/>
        <w:rPr>
          <w:rFonts w:hint="eastAsia" w:cs="仿宋_GB2312"/>
          <w:color w:val="000000"/>
          <w:szCs w:val="32"/>
          <w:lang w:val="zh-CN" w:bidi="zh-CN"/>
        </w:rPr>
      </w:pPr>
      <w:r>
        <w:rPr>
          <w:rFonts w:hint="eastAsia" w:cs="仿宋_GB2312"/>
          <w:color w:val="000000"/>
          <w:szCs w:val="32"/>
          <w:lang w:val="zh-CN" w:bidi="zh-CN"/>
        </w:rPr>
        <w:t>2.了解园区企业安全生产情况及企业安全生产条件、安全管理机构、人员配置和管理情况；</w:t>
      </w:r>
    </w:p>
    <w:p w14:paraId="1748719F">
      <w:pPr>
        <w:overflowPunct w:val="0"/>
        <w:autoSpaceDE w:val="0"/>
        <w:autoSpaceDN w:val="0"/>
        <w:ind w:firstLine="640"/>
        <w:rPr>
          <w:rFonts w:hint="eastAsia" w:cs="仿宋_GB2312"/>
          <w:color w:val="000000"/>
          <w:szCs w:val="32"/>
          <w:lang w:val="zh-CN" w:bidi="zh-CN"/>
        </w:rPr>
      </w:pPr>
      <w:r>
        <w:rPr>
          <w:rFonts w:hint="eastAsia" w:cs="仿宋_GB2312"/>
          <w:color w:val="000000"/>
          <w:szCs w:val="32"/>
          <w:lang w:val="zh-CN" w:bidi="zh-CN"/>
        </w:rPr>
        <w:t>3.制定园区安全生产年度检查计划，依法开展企业安全生产情况检查（聘请安全生产专家），监督企业执行国家安全生产法律、法规、规章、国家标准、行业标准；</w:t>
      </w:r>
    </w:p>
    <w:p w14:paraId="3C2377D0">
      <w:pPr>
        <w:overflowPunct w:val="0"/>
        <w:autoSpaceDE w:val="0"/>
        <w:autoSpaceDN w:val="0"/>
        <w:ind w:firstLine="640"/>
        <w:rPr>
          <w:rFonts w:hint="eastAsia" w:cs="仿宋_GB2312"/>
          <w:color w:val="000000"/>
          <w:szCs w:val="32"/>
          <w:lang w:val="zh-CN" w:bidi="zh-CN"/>
        </w:rPr>
      </w:pPr>
      <w:r>
        <w:rPr>
          <w:rFonts w:hint="eastAsia" w:cs="仿宋_GB2312"/>
          <w:color w:val="000000"/>
          <w:szCs w:val="32"/>
          <w:lang w:val="zh-CN" w:bidi="zh-CN"/>
        </w:rPr>
        <w:t>4.在安全检查中，发现安全生产违法行为或事故隐患，予以纠正或者责令限期整改；重大问题及时报告并协助相关部门依法处理；</w:t>
      </w:r>
    </w:p>
    <w:p w14:paraId="62AFDE90">
      <w:pPr>
        <w:overflowPunct w:val="0"/>
        <w:autoSpaceDE w:val="0"/>
        <w:autoSpaceDN w:val="0"/>
        <w:ind w:firstLine="640"/>
        <w:rPr>
          <w:rFonts w:hint="eastAsia" w:cs="仿宋_GB2312"/>
          <w:color w:val="000000"/>
          <w:szCs w:val="32"/>
          <w:lang w:val="zh-CN" w:bidi="zh-CN"/>
        </w:rPr>
      </w:pPr>
      <w:r>
        <w:rPr>
          <w:rFonts w:hint="eastAsia" w:cs="仿宋_GB2312"/>
          <w:color w:val="000000"/>
          <w:szCs w:val="32"/>
          <w:lang w:val="zh-CN" w:bidi="zh-CN"/>
        </w:rPr>
        <w:t>5.报告、统计安全生产伤亡事故的情况，配合调查处理安全生产事故；组织、指挥和协调园区消防和应急管理工作；</w:t>
      </w:r>
    </w:p>
    <w:p w14:paraId="6638A095">
      <w:pPr>
        <w:overflowPunct w:val="0"/>
        <w:autoSpaceDE w:val="0"/>
        <w:autoSpaceDN w:val="0"/>
        <w:ind w:firstLine="640"/>
        <w:rPr>
          <w:rFonts w:hint="eastAsia" w:cs="仿宋_GB2312"/>
          <w:color w:val="000000"/>
          <w:szCs w:val="32"/>
          <w:lang w:val="zh-CN" w:bidi="zh-CN"/>
        </w:rPr>
      </w:pPr>
      <w:r>
        <w:rPr>
          <w:rFonts w:hint="eastAsia" w:cs="仿宋_GB2312"/>
          <w:color w:val="000000"/>
          <w:szCs w:val="32"/>
          <w:lang w:val="zh-CN" w:bidi="zh-CN"/>
        </w:rPr>
        <w:t>6.组织园区安全生产宣传教育工作，及时宣传贯彻国家、省、市有关安全生产的法律、法规;</w:t>
      </w:r>
    </w:p>
    <w:p w14:paraId="35B6E0EA">
      <w:pPr>
        <w:overflowPunct w:val="0"/>
        <w:autoSpaceDE w:val="0"/>
        <w:autoSpaceDN w:val="0"/>
        <w:ind w:firstLine="640"/>
        <w:rPr>
          <w:rFonts w:hint="eastAsia" w:cs="仿宋_GB2312"/>
          <w:color w:val="000000"/>
          <w:szCs w:val="32"/>
          <w:lang w:val="zh-CN" w:bidi="zh-CN"/>
        </w:rPr>
      </w:pPr>
      <w:r>
        <w:rPr>
          <w:rFonts w:hint="eastAsia" w:cs="仿宋_GB2312"/>
          <w:color w:val="000000"/>
          <w:szCs w:val="32"/>
          <w:lang w:val="zh-CN" w:bidi="zh-CN"/>
        </w:rPr>
        <w:t>7.督促生产经营单位主要经营管理者、安全管理人员、特种作业人员依法参加上级安全监管部门组织的安全知识、安全资格培训;</w:t>
      </w:r>
    </w:p>
    <w:p w14:paraId="12A790A7">
      <w:pPr>
        <w:overflowPunct w:val="0"/>
        <w:autoSpaceDE w:val="0"/>
        <w:autoSpaceDN w:val="0"/>
        <w:ind w:firstLine="640"/>
        <w:rPr>
          <w:rFonts w:hint="eastAsia" w:cs="仿宋_GB2312"/>
          <w:color w:val="000000"/>
          <w:szCs w:val="32"/>
          <w:lang w:val="zh-CN" w:bidi="zh-CN"/>
        </w:rPr>
      </w:pPr>
      <w:r>
        <w:rPr>
          <w:rFonts w:hint="eastAsia" w:cs="仿宋_GB2312"/>
          <w:color w:val="000000"/>
          <w:szCs w:val="32"/>
          <w:lang w:val="zh-CN" w:bidi="zh-CN"/>
        </w:rPr>
        <w:t>8.承担上级交办的其他工作。</w:t>
      </w:r>
    </w:p>
    <w:p w14:paraId="58527E49">
      <w:pPr>
        <w:pStyle w:val="4"/>
        <w:ind w:firstLine="643"/>
        <w:rPr>
          <w:rFonts w:hint="eastAsia"/>
          <w:lang w:val="zh-CN" w:bidi="zh-CN"/>
        </w:rPr>
      </w:pPr>
      <w:r>
        <w:rPr>
          <w:rFonts w:hint="eastAsia" w:ascii="Times New Roman" w:hAnsi="Times New Roman"/>
          <w:bCs/>
          <w:lang w:val="zh-CN"/>
        </w:rPr>
        <w:t>（二）</w:t>
      </w:r>
      <w:r>
        <w:rPr>
          <w:rFonts w:hint="eastAsia"/>
          <w:lang w:val="zh-CN" w:bidi="zh-CN"/>
        </w:rPr>
        <w:t>环境保护</w:t>
      </w:r>
      <w:r>
        <w:rPr>
          <w:rFonts w:hint="eastAsia"/>
          <w:lang w:bidi="zh-CN"/>
        </w:rPr>
        <w:t>部室</w:t>
      </w:r>
      <w:r>
        <w:rPr>
          <w:rFonts w:hint="eastAsia"/>
          <w:lang w:val="zh-CN" w:bidi="zh-CN"/>
        </w:rPr>
        <w:t>工作职责</w:t>
      </w:r>
    </w:p>
    <w:p w14:paraId="57836470">
      <w:pPr>
        <w:overflowPunct w:val="0"/>
        <w:autoSpaceDE w:val="0"/>
        <w:autoSpaceDN w:val="0"/>
        <w:ind w:firstLine="640"/>
        <w:rPr>
          <w:rFonts w:hint="eastAsia" w:cs="仿宋_GB2312"/>
          <w:color w:val="000000"/>
          <w:szCs w:val="32"/>
          <w:lang w:val="zh-CN" w:bidi="zh-CN"/>
        </w:rPr>
      </w:pPr>
      <w:r>
        <w:rPr>
          <w:rFonts w:hint="eastAsia" w:cs="仿宋_GB2312"/>
          <w:color w:val="000000"/>
          <w:szCs w:val="32"/>
          <w:lang w:val="zh-CN" w:bidi="zh-CN"/>
        </w:rPr>
        <w:t>1.宣传贯彻《环境保护法》《环境影响评价法》等相关法律法规;</w:t>
      </w:r>
    </w:p>
    <w:p w14:paraId="6534FC82">
      <w:pPr>
        <w:overflowPunct w:val="0"/>
        <w:autoSpaceDE w:val="0"/>
        <w:autoSpaceDN w:val="0"/>
        <w:ind w:firstLine="640"/>
        <w:rPr>
          <w:rFonts w:hint="eastAsia" w:cs="仿宋_GB2312"/>
          <w:color w:val="000000"/>
          <w:szCs w:val="32"/>
          <w:lang w:val="zh-CN" w:bidi="zh-CN"/>
        </w:rPr>
      </w:pPr>
      <w:r>
        <w:rPr>
          <w:rFonts w:hint="eastAsia" w:cs="仿宋_GB2312"/>
          <w:color w:val="000000"/>
          <w:szCs w:val="32"/>
          <w:lang w:val="zh-CN" w:bidi="zh-CN"/>
        </w:rPr>
        <w:t>2.负责园区环境保护监管、指导环境应急管理工作；</w:t>
      </w:r>
    </w:p>
    <w:p w14:paraId="2F719184">
      <w:pPr>
        <w:overflowPunct w:val="0"/>
        <w:autoSpaceDE w:val="0"/>
        <w:autoSpaceDN w:val="0"/>
        <w:ind w:firstLine="640"/>
        <w:rPr>
          <w:rFonts w:hint="eastAsia" w:cs="仿宋_GB2312"/>
          <w:color w:val="000000"/>
          <w:szCs w:val="32"/>
          <w:lang w:val="zh-CN" w:bidi="zh-CN"/>
        </w:rPr>
      </w:pPr>
      <w:r>
        <w:rPr>
          <w:rFonts w:hint="eastAsia" w:cs="仿宋_GB2312"/>
          <w:color w:val="000000"/>
          <w:szCs w:val="32"/>
          <w:lang w:val="zh-CN" w:bidi="zh-CN"/>
        </w:rPr>
        <w:t>3.建立完善入园企业环境保护应急预案评审与备案制度，加强化工园区环境事故预前风险防控,开展区域环境风险评价,严格环评制度；</w:t>
      </w:r>
    </w:p>
    <w:p w14:paraId="598D22BA">
      <w:pPr>
        <w:overflowPunct w:val="0"/>
        <w:autoSpaceDE w:val="0"/>
        <w:autoSpaceDN w:val="0"/>
        <w:ind w:firstLine="640"/>
        <w:rPr>
          <w:rFonts w:hint="eastAsia" w:cs="仿宋_GB2312"/>
          <w:color w:val="000000"/>
          <w:szCs w:val="32"/>
          <w:lang w:val="zh-CN" w:bidi="zh-CN"/>
        </w:rPr>
      </w:pPr>
      <w:r>
        <w:rPr>
          <w:rFonts w:hint="eastAsia" w:cs="仿宋_GB2312"/>
          <w:color w:val="000000"/>
          <w:szCs w:val="32"/>
          <w:lang w:val="zh-CN" w:bidi="zh-CN"/>
        </w:rPr>
        <w:t>4.负责园区开发建设规划环境影响跟踪评价工作；</w:t>
      </w:r>
    </w:p>
    <w:p w14:paraId="705CC2CE">
      <w:pPr>
        <w:overflowPunct w:val="0"/>
        <w:autoSpaceDE w:val="0"/>
        <w:autoSpaceDN w:val="0"/>
        <w:ind w:firstLine="640"/>
        <w:rPr>
          <w:rFonts w:hint="eastAsia" w:cs="仿宋_GB2312"/>
          <w:color w:val="000000"/>
          <w:szCs w:val="32"/>
          <w:lang w:val="zh-CN" w:bidi="zh-CN"/>
        </w:rPr>
      </w:pPr>
      <w:r>
        <w:rPr>
          <w:rFonts w:hint="eastAsia" w:cs="仿宋_GB2312"/>
          <w:color w:val="000000"/>
          <w:szCs w:val="32"/>
          <w:lang w:val="zh-CN" w:bidi="zh-CN"/>
        </w:rPr>
        <w:t>5.负责园区项目环境准入、环境影响评价及管理工作；</w:t>
      </w:r>
    </w:p>
    <w:p w14:paraId="6118F66D">
      <w:pPr>
        <w:overflowPunct w:val="0"/>
        <w:autoSpaceDE w:val="0"/>
        <w:autoSpaceDN w:val="0"/>
        <w:ind w:firstLine="640"/>
        <w:rPr>
          <w:rFonts w:hint="eastAsia" w:cs="仿宋_GB2312"/>
          <w:color w:val="000000"/>
          <w:szCs w:val="32"/>
          <w:lang w:val="zh-CN" w:bidi="zh-CN"/>
        </w:rPr>
      </w:pPr>
      <w:r>
        <w:rPr>
          <w:rFonts w:hint="eastAsia" w:cs="仿宋_GB2312"/>
          <w:color w:val="000000"/>
          <w:szCs w:val="32"/>
          <w:lang w:val="zh-CN" w:bidi="zh-CN"/>
        </w:rPr>
        <w:t>6.负责园区污染物排放总量控制；</w:t>
      </w:r>
    </w:p>
    <w:p w14:paraId="599E8970">
      <w:pPr>
        <w:overflowPunct w:val="0"/>
        <w:autoSpaceDE w:val="0"/>
        <w:autoSpaceDN w:val="0"/>
        <w:ind w:firstLine="640"/>
        <w:rPr>
          <w:rFonts w:hint="eastAsia" w:cs="仿宋_GB2312"/>
          <w:color w:val="000000"/>
          <w:szCs w:val="32"/>
          <w:lang w:val="zh-CN" w:bidi="zh-CN"/>
        </w:rPr>
      </w:pPr>
      <w:r>
        <w:rPr>
          <w:rFonts w:hint="eastAsia" w:cs="仿宋_GB2312"/>
          <w:color w:val="000000"/>
          <w:szCs w:val="32"/>
          <w:lang w:val="zh-CN" w:bidi="zh-CN"/>
        </w:rPr>
        <w:t>7.负责入园项目主体工程和污染治理配套设施“三同时”执行情况环境管理；</w:t>
      </w:r>
    </w:p>
    <w:p w14:paraId="4D6041F8">
      <w:pPr>
        <w:overflowPunct w:val="0"/>
        <w:autoSpaceDE w:val="0"/>
        <w:autoSpaceDN w:val="0"/>
        <w:ind w:firstLine="640"/>
        <w:rPr>
          <w:rFonts w:hint="eastAsia" w:cs="仿宋_GB2312"/>
          <w:color w:val="000000"/>
          <w:szCs w:val="32"/>
          <w:lang w:val="zh-CN" w:bidi="zh-CN"/>
        </w:rPr>
      </w:pPr>
      <w:r>
        <w:rPr>
          <w:rFonts w:hint="eastAsia" w:cs="仿宋_GB2312"/>
          <w:color w:val="000000"/>
          <w:szCs w:val="32"/>
          <w:lang w:val="zh-CN" w:bidi="zh-CN"/>
        </w:rPr>
        <w:t>8.承担上级交办的其他工作。</w:t>
      </w:r>
    </w:p>
    <w:p w14:paraId="0CC85950">
      <w:pPr>
        <w:pStyle w:val="4"/>
        <w:ind w:firstLine="643"/>
        <w:rPr>
          <w:rFonts w:hint="eastAsia"/>
          <w:lang w:val="zh-CN" w:bidi="zh-CN"/>
        </w:rPr>
      </w:pPr>
      <w:r>
        <w:rPr>
          <w:rFonts w:hint="eastAsia" w:ascii="Times New Roman" w:hAnsi="Times New Roman"/>
          <w:bCs/>
          <w:lang w:val="zh-CN"/>
        </w:rPr>
        <w:t>（三）</w:t>
      </w:r>
      <w:r>
        <w:rPr>
          <w:rFonts w:hint="eastAsia"/>
          <w:lang w:val="zh-CN" w:bidi="zh-CN"/>
        </w:rPr>
        <w:t>应急救援</w:t>
      </w:r>
      <w:r>
        <w:rPr>
          <w:rFonts w:hint="eastAsia"/>
          <w:lang w:bidi="zh-CN"/>
        </w:rPr>
        <w:t>部室</w:t>
      </w:r>
      <w:r>
        <w:rPr>
          <w:rFonts w:hint="eastAsia"/>
          <w:lang w:val="zh-CN" w:bidi="zh-CN"/>
        </w:rPr>
        <w:t>工作职责</w:t>
      </w:r>
    </w:p>
    <w:p w14:paraId="27250C6A">
      <w:pPr>
        <w:overflowPunct w:val="0"/>
        <w:autoSpaceDE w:val="0"/>
        <w:autoSpaceDN w:val="0"/>
        <w:ind w:firstLine="640"/>
        <w:rPr>
          <w:rFonts w:hint="eastAsia" w:cs="仿宋_GB2312"/>
          <w:color w:val="000000"/>
          <w:szCs w:val="32"/>
          <w:lang w:val="zh-CN" w:bidi="zh-CN"/>
        </w:rPr>
      </w:pPr>
      <w:r>
        <w:rPr>
          <w:rFonts w:hint="eastAsia" w:cs="仿宋_GB2312"/>
          <w:color w:val="000000"/>
          <w:szCs w:val="32"/>
          <w:lang w:val="zh-CN" w:bidi="zh-CN"/>
        </w:rPr>
        <w:t>1.负责园区内相关企业安全生产监管和安全应急管理工作；</w:t>
      </w:r>
    </w:p>
    <w:p w14:paraId="24CA8A8E">
      <w:pPr>
        <w:overflowPunct w:val="0"/>
        <w:autoSpaceDE w:val="0"/>
        <w:autoSpaceDN w:val="0"/>
        <w:ind w:firstLine="640"/>
        <w:rPr>
          <w:rFonts w:hint="eastAsia" w:cs="仿宋_GB2312"/>
          <w:color w:val="000000"/>
          <w:szCs w:val="32"/>
          <w:lang w:val="zh-CN" w:bidi="zh-CN"/>
        </w:rPr>
      </w:pPr>
      <w:r>
        <w:rPr>
          <w:rFonts w:hint="eastAsia" w:cs="仿宋_GB2312"/>
          <w:color w:val="000000"/>
          <w:szCs w:val="32"/>
          <w:lang w:val="zh-CN" w:bidi="zh-CN"/>
        </w:rPr>
        <w:t>2.依据《随州市危险化学品事故应急预案》，建立完善入园企业应急预案评审与备案制度，加强园区较大以上事故预前风险防控,开展区域风险评价,实施园区安全规划;</w:t>
      </w:r>
    </w:p>
    <w:p w14:paraId="61F182B2">
      <w:pPr>
        <w:overflowPunct w:val="0"/>
        <w:autoSpaceDE w:val="0"/>
        <w:autoSpaceDN w:val="0"/>
        <w:ind w:firstLine="640"/>
        <w:rPr>
          <w:rFonts w:hint="eastAsia" w:cs="仿宋_GB2312"/>
          <w:color w:val="000000"/>
          <w:szCs w:val="32"/>
          <w:lang w:val="zh-CN" w:bidi="zh-CN"/>
        </w:rPr>
      </w:pPr>
      <w:r>
        <w:rPr>
          <w:rFonts w:hint="eastAsia" w:cs="仿宋_GB2312"/>
          <w:color w:val="000000"/>
          <w:szCs w:val="32"/>
          <w:lang w:val="zh-CN" w:bidi="zh-CN"/>
        </w:rPr>
        <w:t>3.依托园区消防救援站消防队伍、园区企业危险化学品应急救援队,建立前者为主、后者为辅、主辅相成的园区应急救援队伍体系;</w:t>
      </w:r>
    </w:p>
    <w:p w14:paraId="1291CF64">
      <w:pPr>
        <w:overflowPunct w:val="0"/>
        <w:autoSpaceDE w:val="0"/>
        <w:autoSpaceDN w:val="0"/>
        <w:ind w:firstLine="640"/>
        <w:rPr>
          <w:rFonts w:hint="eastAsia" w:cs="仿宋_GB2312"/>
          <w:color w:val="000000"/>
          <w:szCs w:val="32"/>
          <w:lang w:val="zh-CN" w:bidi="zh-CN"/>
        </w:rPr>
      </w:pPr>
      <w:r>
        <w:rPr>
          <w:rFonts w:hint="eastAsia" w:cs="仿宋_GB2312"/>
          <w:color w:val="000000"/>
          <w:szCs w:val="32"/>
          <w:lang w:val="zh-CN" w:bidi="zh-CN"/>
        </w:rPr>
        <w:t>4.建立企业自救、互救和社会救援相结合的区域联防机制;</w:t>
      </w:r>
    </w:p>
    <w:p w14:paraId="15CFCEF7">
      <w:pPr>
        <w:overflowPunct w:val="0"/>
        <w:autoSpaceDE w:val="0"/>
        <w:autoSpaceDN w:val="0"/>
        <w:ind w:firstLine="640"/>
        <w:rPr>
          <w:rFonts w:hint="eastAsia" w:cs="仿宋_GB2312"/>
          <w:color w:val="000000"/>
          <w:szCs w:val="32"/>
          <w:lang w:val="zh-CN" w:bidi="zh-CN"/>
        </w:rPr>
      </w:pPr>
      <w:r>
        <w:rPr>
          <w:rFonts w:hint="eastAsia" w:cs="仿宋_GB2312"/>
          <w:color w:val="000000"/>
          <w:szCs w:val="32"/>
          <w:lang w:val="zh-CN" w:bidi="zh-CN"/>
        </w:rPr>
        <w:t>5.</w:t>
      </w:r>
      <w:r>
        <w:rPr>
          <w:rFonts w:hint="eastAsia" w:cs="仿宋_GB2312"/>
          <w:color w:val="000000"/>
          <w:szCs w:val="32"/>
          <w:lang w:bidi="zh-CN"/>
        </w:rPr>
        <w:t>统筹智慧监管平台运维管理</w:t>
      </w:r>
      <w:r>
        <w:rPr>
          <w:rFonts w:hint="eastAsia" w:cs="仿宋_GB2312"/>
          <w:color w:val="000000"/>
          <w:szCs w:val="32"/>
          <w:lang w:val="zh-CN" w:bidi="zh-CN"/>
        </w:rPr>
        <w:t>，牵头园区相关应急部门按照应急流程，分工协作，联合行动的园区应急协调指挥系统;</w:t>
      </w:r>
    </w:p>
    <w:p w14:paraId="047BEAF0">
      <w:pPr>
        <w:overflowPunct w:val="0"/>
        <w:autoSpaceDE w:val="0"/>
        <w:autoSpaceDN w:val="0"/>
        <w:ind w:firstLine="640"/>
        <w:rPr>
          <w:rFonts w:hint="eastAsia" w:cs="仿宋_GB2312"/>
          <w:color w:val="000000"/>
          <w:szCs w:val="32"/>
          <w:lang w:val="zh-CN" w:bidi="zh-CN"/>
        </w:rPr>
      </w:pPr>
      <w:r>
        <w:rPr>
          <w:rFonts w:hint="eastAsia" w:cs="仿宋_GB2312"/>
          <w:color w:val="000000"/>
          <w:szCs w:val="32"/>
          <w:lang w:val="zh-CN" w:bidi="zh-CN"/>
        </w:rPr>
        <w:t>6.结合园区实际情况，特别是重大危险源、应急资源与设施等变动情况进行应急救援演练,确保应急救援预案的实效性;</w:t>
      </w:r>
    </w:p>
    <w:p w14:paraId="3279CE5E">
      <w:pPr>
        <w:overflowPunct w:val="0"/>
        <w:autoSpaceDE w:val="0"/>
        <w:autoSpaceDN w:val="0"/>
        <w:ind w:firstLine="640"/>
        <w:rPr>
          <w:rFonts w:hint="eastAsia" w:cs="仿宋_GB2312"/>
          <w:color w:val="000000"/>
          <w:szCs w:val="32"/>
          <w:lang w:val="zh-CN" w:bidi="zh-CN"/>
        </w:rPr>
      </w:pPr>
      <w:r>
        <w:rPr>
          <w:rFonts w:hint="eastAsia" w:cs="仿宋_GB2312"/>
          <w:color w:val="000000"/>
          <w:szCs w:val="32"/>
          <w:lang w:val="zh-CN" w:bidi="zh-CN"/>
        </w:rPr>
        <w:t>7.承担上级交办的其他工作。</w:t>
      </w:r>
    </w:p>
    <w:p w14:paraId="78997622">
      <w:pPr>
        <w:overflowPunct w:val="0"/>
        <w:autoSpaceDE w:val="0"/>
        <w:autoSpaceDN w:val="0"/>
        <w:ind w:firstLine="643"/>
        <w:rPr>
          <w:rFonts w:hint="eastAsia" w:cs="仿宋_GB2312"/>
          <w:color w:val="000000"/>
          <w:szCs w:val="32"/>
          <w:lang w:val="zh-CN" w:bidi="zh-CN"/>
        </w:rPr>
      </w:pPr>
      <w:r>
        <w:rPr>
          <w:rFonts w:hint="eastAsia" w:ascii="Times New Roman" w:hAnsi="Times New Roman" w:eastAsia="楷体_GB2312"/>
          <w:b/>
          <w:bCs/>
          <w:color w:val="000000"/>
          <w:szCs w:val="32"/>
          <w:lang w:val="zh-CN"/>
        </w:rPr>
        <w:t>（四）</w:t>
      </w:r>
      <w:r>
        <w:rPr>
          <w:rFonts w:hint="eastAsia" w:cs="仿宋_GB2312"/>
          <w:color w:val="000000"/>
          <w:szCs w:val="32"/>
          <w:lang w:val="zh-CN" w:bidi="zh-CN"/>
        </w:rPr>
        <w:t>本规定由青春化工工业园管理办公室负责解释，自公布之日起正式施行。</w:t>
      </w:r>
    </w:p>
    <w:p w14:paraId="7AE12A4C">
      <w:pPr>
        <w:widowControl/>
        <w:spacing w:line="240" w:lineRule="auto"/>
        <w:ind w:firstLine="0" w:firstLineChars="0"/>
        <w:jc w:val="left"/>
        <w:rPr>
          <w:rFonts w:hint="eastAsia" w:cs="仿宋_GB2312"/>
          <w:color w:val="000000"/>
          <w:szCs w:val="32"/>
          <w:lang w:val="zh-CN" w:bidi="zh-CN"/>
        </w:rPr>
      </w:pPr>
    </w:p>
    <w:p w14:paraId="73EB4E0F">
      <w:pPr>
        <w:pStyle w:val="3"/>
        <w:ind w:firstLine="640"/>
        <w:jc w:val="left"/>
        <w:rPr>
          <w:rFonts w:hint="eastAsia" w:ascii="黑体" w:hAnsi="黑体" w:eastAsia="黑体"/>
          <w:b w:val="0"/>
          <w:bCs/>
          <w:sz w:val="32"/>
          <w:szCs w:val="21"/>
        </w:rPr>
      </w:pPr>
      <w:bookmarkStart w:id="8" w:name="_Toc2210"/>
      <w:r>
        <w:rPr>
          <w:rFonts w:hint="eastAsia" w:ascii="黑体" w:hAnsi="黑体" w:eastAsia="黑体"/>
          <w:b w:val="0"/>
          <w:bCs/>
          <w:sz w:val="32"/>
          <w:szCs w:val="21"/>
        </w:rPr>
        <w:t>三</w:t>
      </w:r>
      <w:r>
        <w:rPr>
          <w:rFonts w:ascii="黑体" w:hAnsi="黑体" w:eastAsia="黑体"/>
          <w:b w:val="0"/>
          <w:bCs/>
          <w:sz w:val="32"/>
          <w:szCs w:val="21"/>
        </w:rPr>
        <w:t>、</w:t>
      </w:r>
      <w:r>
        <w:rPr>
          <w:rFonts w:hint="eastAsia" w:ascii="黑体" w:hAnsi="黑体" w:eastAsia="黑体"/>
          <w:b w:val="0"/>
          <w:bCs/>
          <w:sz w:val="32"/>
          <w:szCs w:val="21"/>
        </w:rPr>
        <w:t>年度安全考核制度</w:t>
      </w:r>
      <w:bookmarkEnd w:id="8"/>
    </w:p>
    <w:p w14:paraId="679D4C21">
      <w:pPr>
        <w:ind w:firstLine="640"/>
        <w:rPr>
          <w:rFonts w:hint="eastAsia" w:ascii="楷体_GB2312" w:eastAsia="楷体_GB2312"/>
        </w:rPr>
      </w:pPr>
      <w:r>
        <w:rPr>
          <w:rFonts w:hint="eastAsia" w:ascii="楷体_GB2312" w:eastAsia="楷体_GB2312"/>
        </w:rPr>
        <w:t>（一）目的</w:t>
      </w:r>
    </w:p>
    <w:p w14:paraId="65493BAD">
      <w:pPr>
        <w:ind w:firstLine="640"/>
        <w:rPr>
          <w:rFonts w:hint="eastAsia" w:ascii="Times New Roman" w:hAnsi="Times New Roman"/>
        </w:rPr>
      </w:pPr>
      <w:r>
        <w:rPr>
          <w:rFonts w:hint="eastAsia" w:ascii="Times New Roman" w:hAnsi="Times New Roman"/>
        </w:rPr>
        <w:t>为严格落实安全生产责任，有效防范和遏制各类生产安全事故，促进园区安全生产形势持续稳定好转，按照“党政同责、一岗双责、齐抓共管、失职追责”要求，根据《中华人民共和国安全生产法》《湖北省安全生产条例》等法律法规和有关规定，制定本制度。</w:t>
      </w:r>
    </w:p>
    <w:p w14:paraId="34B329CC">
      <w:pPr>
        <w:ind w:firstLine="640"/>
        <w:rPr>
          <w:rFonts w:hint="eastAsia" w:ascii="楷体_GB2312" w:hAnsi="Times New Roman" w:eastAsia="楷体_GB2312"/>
        </w:rPr>
      </w:pPr>
      <w:r>
        <w:rPr>
          <w:rFonts w:hint="eastAsia" w:ascii="楷体_GB2312" w:hAnsi="Times New Roman" w:eastAsia="楷体_GB2312"/>
        </w:rPr>
        <w:t>（二）适用范围</w:t>
      </w:r>
    </w:p>
    <w:p w14:paraId="4F7E608A">
      <w:pPr>
        <w:ind w:firstLine="640"/>
        <w:rPr>
          <w:rFonts w:hint="eastAsia" w:ascii="Times New Roman" w:hAnsi="Times New Roman"/>
        </w:rPr>
      </w:pPr>
      <w:r>
        <w:rPr>
          <w:rFonts w:hint="eastAsia" w:ascii="Times New Roman" w:hAnsi="Times New Roman"/>
        </w:rPr>
        <w:t>适用于青春化工园区安全生产工作的年度考核。</w:t>
      </w:r>
    </w:p>
    <w:p w14:paraId="45FDDD50">
      <w:pPr>
        <w:ind w:firstLine="640"/>
        <w:rPr>
          <w:rFonts w:hint="eastAsia" w:ascii="楷体_GB2312" w:hAnsi="Times New Roman" w:eastAsia="楷体_GB2312"/>
        </w:rPr>
      </w:pPr>
      <w:r>
        <w:rPr>
          <w:rFonts w:hint="eastAsia" w:ascii="楷体_GB2312" w:hAnsi="Times New Roman" w:eastAsia="楷体_GB2312"/>
        </w:rPr>
        <w:t>（三）职责</w:t>
      </w:r>
    </w:p>
    <w:p w14:paraId="04D995DE">
      <w:pPr>
        <w:ind w:firstLine="640"/>
        <w:rPr>
          <w:rFonts w:hint="eastAsia" w:ascii="Times New Roman" w:hAnsi="Times New Roman"/>
        </w:rPr>
      </w:pPr>
      <w:r>
        <w:rPr>
          <w:rFonts w:hint="eastAsia" w:ascii="Times New Roman" w:hAnsi="Times New Roman"/>
        </w:rPr>
        <w:t>考核工作由区党群工作局实施。考核工作坚持客观公正、科学合理、公开透明、注重实效的原则，突出工作重点，注重工作过程，强化责任落实。</w:t>
      </w:r>
    </w:p>
    <w:p w14:paraId="60116380">
      <w:pPr>
        <w:ind w:firstLine="640"/>
        <w:rPr>
          <w:rFonts w:hint="eastAsia" w:ascii="楷体_GB2312" w:hAnsi="Times New Roman" w:eastAsia="楷体_GB2312"/>
        </w:rPr>
      </w:pPr>
      <w:r>
        <w:rPr>
          <w:rFonts w:hint="eastAsia" w:ascii="楷体_GB2312" w:hAnsi="Times New Roman" w:eastAsia="楷体_GB2312"/>
        </w:rPr>
        <w:t>（四）考核频次</w:t>
      </w:r>
    </w:p>
    <w:p w14:paraId="3590AAE1">
      <w:pPr>
        <w:ind w:firstLine="640"/>
        <w:rPr>
          <w:rFonts w:hint="eastAsia" w:ascii="Times New Roman" w:hAnsi="Times New Roman"/>
        </w:rPr>
      </w:pPr>
      <w:r>
        <w:rPr>
          <w:rFonts w:hint="eastAsia" w:ascii="Times New Roman" w:hAnsi="Times New Roman"/>
        </w:rPr>
        <w:t>年度考核：每年底，对各级组织全年的安全绩效进行总体考评。</w:t>
      </w:r>
    </w:p>
    <w:p w14:paraId="7CD91704">
      <w:pPr>
        <w:ind w:firstLine="640"/>
        <w:rPr>
          <w:rFonts w:hint="eastAsia" w:ascii="楷体_GB2312" w:hAnsi="Times New Roman" w:eastAsia="楷体_GB2312"/>
        </w:rPr>
      </w:pPr>
      <w:r>
        <w:rPr>
          <w:rFonts w:hint="eastAsia" w:ascii="楷体_GB2312" w:hAnsi="Times New Roman" w:eastAsia="楷体_GB2312"/>
        </w:rPr>
        <w:t>（五）考核内容</w:t>
      </w:r>
    </w:p>
    <w:p w14:paraId="56CF782C">
      <w:pPr>
        <w:ind w:firstLine="640"/>
        <w:rPr>
          <w:rFonts w:hint="eastAsia" w:ascii="Times New Roman" w:hAnsi="Times New Roman"/>
        </w:rPr>
      </w:pPr>
      <w:r>
        <w:rPr>
          <w:rFonts w:hint="eastAsia" w:ascii="Times New Roman" w:hAnsi="Times New Roman"/>
        </w:rPr>
        <w:t>1.安全生产事故控制指标：生产安全事故死亡人数。</w:t>
      </w:r>
    </w:p>
    <w:p w14:paraId="3345217E">
      <w:pPr>
        <w:ind w:firstLine="640"/>
        <w:rPr>
          <w:rFonts w:hint="eastAsia" w:ascii="Times New Roman" w:hAnsi="Times New Roman"/>
        </w:rPr>
      </w:pPr>
      <w:r>
        <w:rPr>
          <w:rFonts w:hint="eastAsia" w:ascii="Times New Roman" w:hAnsi="Times New Roman"/>
        </w:rPr>
        <w:t>2.重点工作任务指标：健全安全生产责任体系、推进依法治理、完善体制机制。</w:t>
      </w:r>
    </w:p>
    <w:p w14:paraId="2C31CDBC">
      <w:pPr>
        <w:ind w:firstLine="640"/>
        <w:rPr>
          <w:rFonts w:hint="eastAsia" w:ascii="Times New Roman" w:hAnsi="Times New Roman"/>
        </w:rPr>
      </w:pPr>
      <w:r>
        <w:rPr>
          <w:rFonts w:hint="eastAsia" w:ascii="Times New Roman" w:hAnsi="Times New Roman"/>
        </w:rPr>
        <w:t>3.事故预防过程控制指标：加强重点行业领域专项整治、建立和落实安全生产风险防控与隐患排查治理双重预防工作机制、深入推进企业安全生产标准化建设、大力实施公共安全保障行动和公共安全教育行动、深化安全生产领域改革。</w:t>
      </w:r>
    </w:p>
    <w:p w14:paraId="38B88373">
      <w:pPr>
        <w:ind w:firstLine="640"/>
        <w:rPr>
          <w:rFonts w:hint="eastAsia" w:ascii="Times New Roman" w:hAnsi="Times New Roman"/>
        </w:rPr>
      </w:pPr>
      <w:r>
        <w:rPr>
          <w:rFonts w:hint="eastAsia" w:ascii="Times New Roman" w:hAnsi="Times New Roman"/>
        </w:rPr>
        <w:t>4.基础性工作指标：加大安全生产投入、提高安全科技和信息化水平、加强安全宣传教育培训、强化职业卫生基础建设、健全群防群治工作机制、加快安全生产社会化服务体系建设、推进安全生产诚信体系建设等。</w:t>
      </w:r>
    </w:p>
    <w:p w14:paraId="0A27E0EC">
      <w:pPr>
        <w:ind w:firstLine="640"/>
        <w:rPr>
          <w:rFonts w:hint="eastAsia" w:ascii="Times New Roman" w:hAnsi="Times New Roman"/>
        </w:rPr>
      </w:pPr>
      <w:r>
        <w:rPr>
          <w:rFonts w:hint="eastAsia" w:ascii="楷体_GB2312" w:hAnsi="Times New Roman" w:eastAsia="楷体_GB2312"/>
        </w:rPr>
        <w:t>（六）</w:t>
      </w:r>
      <w:r>
        <w:rPr>
          <w:rFonts w:hint="eastAsia" w:ascii="Times New Roman" w:hAnsi="Times New Roman"/>
        </w:rPr>
        <w:t>年度安全考核结果分为优秀、良好、合格和不合格四个档次。</w:t>
      </w:r>
    </w:p>
    <w:p w14:paraId="728AF7A1">
      <w:pPr>
        <w:ind w:firstLine="640"/>
        <w:rPr>
          <w:rFonts w:hint="eastAsia" w:ascii="Times New Roman" w:hAnsi="Times New Roman"/>
        </w:rPr>
      </w:pPr>
      <w:r>
        <w:rPr>
          <w:rFonts w:hint="eastAsia" w:ascii="楷体_GB2312" w:hAnsi="Times New Roman" w:eastAsia="楷体_GB2312"/>
        </w:rPr>
        <w:t>（七）</w:t>
      </w:r>
      <w:r>
        <w:rPr>
          <w:rFonts w:hint="eastAsia" w:ascii="Times New Roman" w:hAnsi="Times New Roman"/>
        </w:rPr>
        <w:t>严格落实安全生产“一票否决”制度。</w:t>
      </w:r>
    </w:p>
    <w:p w14:paraId="27FD08A6">
      <w:pPr>
        <w:ind w:firstLine="640"/>
        <w:rPr>
          <w:rFonts w:hint="eastAsia" w:ascii="Times New Roman" w:hAnsi="Times New Roman"/>
        </w:rPr>
      </w:pPr>
      <w:r>
        <w:rPr>
          <w:rFonts w:hint="eastAsia" w:ascii="楷体_GB2312" w:hAnsi="Times New Roman" w:eastAsia="楷体_GB2312"/>
        </w:rPr>
        <w:t>（八）</w:t>
      </w:r>
      <w:r>
        <w:rPr>
          <w:rFonts w:hint="eastAsia" w:ascii="Times New Roman" w:hAnsi="Times New Roman"/>
        </w:rPr>
        <w:t>由党群工作局将考核得出的结果，交高新区管委会主要负责人审批并通报。</w:t>
      </w:r>
    </w:p>
    <w:p w14:paraId="0C521E3F">
      <w:pPr>
        <w:ind w:firstLine="640"/>
        <w:rPr>
          <w:rFonts w:hint="eastAsia" w:ascii="Times New Roman" w:hAnsi="Times New Roman"/>
        </w:rPr>
      </w:pPr>
      <w:r>
        <w:rPr>
          <w:rFonts w:hint="eastAsia" w:ascii="楷体_GB2312" w:hAnsi="Times New Roman" w:eastAsia="楷体_GB2312"/>
        </w:rPr>
        <w:t>（九）</w:t>
      </w:r>
      <w:r>
        <w:rPr>
          <w:rFonts w:hint="eastAsia" w:ascii="Times New Roman" w:hAnsi="Times New Roman"/>
        </w:rPr>
        <w:t>对在考核工作中弄虚作假、瞒报谎报的相关人员，党群工作局将视情况轻重给予责令整改、通报批评、降低考核等次等惩处，造成不良影响的依法依规追究有关人员责任。</w:t>
      </w:r>
    </w:p>
    <w:p w14:paraId="7CD5CD0A">
      <w:pPr>
        <w:ind w:firstLine="640"/>
        <w:rPr>
          <w:rFonts w:hint="eastAsia" w:hAnsi="Times New Roman"/>
        </w:rPr>
      </w:pPr>
      <w:r>
        <w:rPr>
          <w:rFonts w:hint="eastAsia" w:ascii="楷体_GB2312" w:hAnsi="Times New Roman" w:eastAsia="楷体_GB2312"/>
        </w:rPr>
        <w:t>（十）</w:t>
      </w:r>
      <w:r>
        <w:rPr>
          <w:rFonts w:hint="eastAsia" w:hAnsi="Times New Roman"/>
        </w:rPr>
        <w:t>本制度自发文之日起执行。</w:t>
      </w:r>
    </w:p>
    <w:p w14:paraId="292E2959">
      <w:pPr>
        <w:ind w:firstLine="0" w:firstLineChars="0"/>
        <w:rPr>
          <w:rFonts w:hint="eastAsia" w:ascii="Times New Roman" w:hAnsi="Times New Roman"/>
        </w:rPr>
      </w:pPr>
    </w:p>
    <w:p w14:paraId="4B34B47D">
      <w:pPr>
        <w:ind w:firstLine="640"/>
        <w:rPr>
          <w:rFonts w:hint="eastAsia" w:ascii="Times New Roman" w:hAnsi="Times New Roman"/>
        </w:rPr>
      </w:pPr>
      <w:r>
        <w:rPr>
          <w:rFonts w:hint="eastAsia" w:ascii="Times New Roman" w:hAnsi="Times New Roman"/>
        </w:rPr>
        <w:t>附件：年度安全考核记录汇总表</w:t>
      </w:r>
      <w:r>
        <w:rPr>
          <w:rFonts w:hint="eastAsia" w:ascii="Times New Roman" w:hAnsi="Times New Roman"/>
        </w:rPr>
        <w:br w:type="page"/>
      </w:r>
    </w:p>
    <w:p w14:paraId="0D121414">
      <w:pPr>
        <w:ind w:firstLine="800"/>
        <w:jc w:val="center"/>
        <w:rPr>
          <w:rFonts w:hint="eastAsia" w:ascii="方正小标宋简体" w:hAnsi="Times New Roman" w:eastAsia="方正小标宋简体"/>
          <w:bCs/>
          <w:sz w:val="40"/>
          <w:szCs w:val="28"/>
        </w:rPr>
      </w:pPr>
      <w:r>
        <w:rPr>
          <w:rFonts w:hint="eastAsia" w:ascii="方正小标宋简体" w:hAnsi="Times New Roman" w:eastAsia="方正小标宋简体"/>
          <w:bCs/>
          <w:sz w:val="40"/>
          <w:szCs w:val="28"/>
        </w:rPr>
        <w:t>年度绩效考核记录汇总表</w:t>
      </w:r>
    </w:p>
    <w:p w14:paraId="1F318F08">
      <w:pPr>
        <w:ind w:firstLine="640"/>
        <w:rPr>
          <w:rFonts w:hint="eastAsia" w:ascii="Times New Roman" w:hAnsi="Times New Roman"/>
          <w:bCs/>
        </w:rPr>
      </w:pPr>
    </w:p>
    <w:p w14:paraId="703703AA">
      <w:pPr>
        <w:ind w:firstLine="640"/>
        <w:rPr>
          <w:rFonts w:hint="eastAsia" w:ascii="Times New Roman" w:hAnsi="Times New Roman"/>
        </w:rPr>
      </w:pPr>
      <w:r>
        <w:rPr>
          <w:rFonts w:hint="eastAsia" w:ascii="Times New Roman" w:hAnsi="Times New Roman"/>
        </w:rPr>
        <w:t>考核日期：</w:t>
      </w:r>
      <w:r>
        <w:rPr>
          <w:rFonts w:hint="eastAsia" w:ascii="Times New Roman" w:hAnsi="Times New Roman"/>
          <w:u w:val="single"/>
        </w:rPr>
        <w:t xml:space="preserve">     </w:t>
      </w:r>
      <w:r>
        <w:rPr>
          <w:rFonts w:hint="eastAsia" w:ascii="Times New Roman" w:hAnsi="Times New Roman"/>
        </w:rPr>
        <w:t>年</w:t>
      </w:r>
      <w:r>
        <w:rPr>
          <w:rFonts w:hint="eastAsia" w:ascii="Times New Roman" w:hAnsi="Times New Roman"/>
          <w:u w:val="single"/>
        </w:rPr>
        <w:t xml:space="preserve">    </w:t>
      </w:r>
      <w:r>
        <w:rPr>
          <w:rFonts w:hint="eastAsia" w:ascii="Times New Roman" w:hAnsi="Times New Roman"/>
        </w:rPr>
        <w:t>月</w:t>
      </w:r>
      <w:r>
        <w:rPr>
          <w:rFonts w:hint="eastAsia" w:ascii="Times New Roman" w:hAnsi="Times New Roman"/>
          <w:u w:val="single"/>
        </w:rPr>
        <w:t xml:space="preserve">    </w:t>
      </w:r>
      <w:r>
        <w:rPr>
          <w:rFonts w:hint="eastAsia" w:ascii="Times New Roman" w:hAnsi="Times New Roman"/>
        </w:rPr>
        <w:t>日</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133"/>
        <w:gridCol w:w="1535"/>
        <w:gridCol w:w="1395"/>
        <w:gridCol w:w="1575"/>
        <w:gridCol w:w="1321"/>
      </w:tblGrid>
      <w:tr w14:paraId="1D4CD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pct"/>
            <w:tcBorders>
              <w:top w:val="single" w:color="auto" w:sz="4" w:space="0"/>
              <w:left w:val="single" w:color="auto" w:sz="4" w:space="0"/>
              <w:bottom w:val="single" w:color="auto" w:sz="4" w:space="0"/>
              <w:right w:val="single" w:color="auto" w:sz="4" w:space="0"/>
            </w:tcBorders>
            <w:vAlign w:val="center"/>
          </w:tcPr>
          <w:p w14:paraId="4A3664A7">
            <w:pPr>
              <w:ind w:firstLine="0" w:firstLineChars="0"/>
              <w:rPr>
                <w:rFonts w:hint="eastAsia" w:ascii="Times New Roman" w:hAnsi="Times New Roman"/>
              </w:rPr>
            </w:pPr>
            <w:r>
              <w:rPr>
                <w:rFonts w:hint="eastAsia" w:ascii="Times New Roman" w:hAnsi="Times New Roman"/>
              </w:rPr>
              <w:t>序号</w:t>
            </w:r>
          </w:p>
        </w:tc>
        <w:tc>
          <w:tcPr>
            <w:tcW w:w="1177" w:type="pct"/>
            <w:tcBorders>
              <w:top w:val="single" w:color="auto" w:sz="4" w:space="0"/>
              <w:left w:val="single" w:color="auto" w:sz="4" w:space="0"/>
              <w:bottom w:val="single" w:color="auto" w:sz="4" w:space="0"/>
              <w:right w:val="single" w:color="auto" w:sz="4" w:space="0"/>
            </w:tcBorders>
            <w:vAlign w:val="center"/>
          </w:tcPr>
          <w:p w14:paraId="6D3F8842">
            <w:pPr>
              <w:ind w:firstLine="0" w:firstLineChars="0"/>
              <w:rPr>
                <w:rFonts w:hint="eastAsia" w:ascii="Times New Roman" w:hAnsi="Times New Roman"/>
              </w:rPr>
            </w:pPr>
            <w:r>
              <w:rPr>
                <w:rFonts w:hint="eastAsia" w:ascii="Times New Roman" w:hAnsi="Times New Roman"/>
              </w:rPr>
              <w:t>所属部门</w:t>
            </w:r>
          </w:p>
        </w:tc>
        <w:tc>
          <w:tcPr>
            <w:tcW w:w="847" w:type="pct"/>
            <w:tcBorders>
              <w:top w:val="single" w:color="auto" w:sz="4" w:space="0"/>
              <w:left w:val="single" w:color="auto" w:sz="4" w:space="0"/>
              <w:bottom w:val="single" w:color="auto" w:sz="4" w:space="0"/>
              <w:right w:val="single" w:color="auto" w:sz="4" w:space="0"/>
            </w:tcBorders>
            <w:vAlign w:val="center"/>
          </w:tcPr>
          <w:p w14:paraId="33EECA30">
            <w:pPr>
              <w:ind w:firstLine="198" w:firstLineChars="62"/>
              <w:rPr>
                <w:rFonts w:hint="eastAsia" w:ascii="Times New Roman" w:hAnsi="Times New Roman"/>
              </w:rPr>
            </w:pPr>
            <w:r>
              <w:rPr>
                <w:rFonts w:hint="eastAsia" w:ascii="Times New Roman" w:hAnsi="Times New Roman"/>
              </w:rPr>
              <w:t>姓名</w:t>
            </w:r>
          </w:p>
        </w:tc>
        <w:tc>
          <w:tcPr>
            <w:tcW w:w="770" w:type="pct"/>
            <w:tcBorders>
              <w:top w:val="single" w:color="auto" w:sz="4" w:space="0"/>
              <w:left w:val="single" w:color="auto" w:sz="4" w:space="0"/>
              <w:bottom w:val="single" w:color="auto" w:sz="4" w:space="0"/>
              <w:right w:val="single" w:color="auto" w:sz="4" w:space="0"/>
            </w:tcBorders>
            <w:vAlign w:val="center"/>
          </w:tcPr>
          <w:p w14:paraId="30AF9ACE">
            <w:pPr>
              <w:ind w:firstLine="0" w:firstLineChars="0"/>
              <w:rPr>
                <w:rFonts w:hint="eastAsia" w:ascii="Times New Roman" w:hAnsi="Times New Roman"/>
              </w:rPr>
            </w:pPr>
            <w:r>
              <w:rPr>
                <w:rFonts w:hint="eastAsia" w:ascii="Times New Roman" w:hAnsi="Times New Roman"/>
              </w:rPr>
              <w:t>职务</w:t>
            </w:r>
          </w:p>
        </w:tc>
        <w:tc>
          <w:tcPr>
            <w:tcW w:w="869" w:type="pct"/>
            <w:tcBorders>
              <w:top w:val="single" w:color="auto" w:sz="4" w:space="0"/>
              <w:left w:val="single" w:color="auto" w:sz="4" w:space="0"/>
              <w:bottom w:val="single" w:color="auto" w:sz="4" w:space="0"/>
              <w:right w:val="single" w:color="auto" w:sz="4" w:space="0"/>
            </w:tcBorders>
            <w:vAlign w:val="center"/>
          </w:tcPr>
          <w:p w14:paraId="1AC88A99">
            <w:pPr>
              <w:ind w:firstLine="0" w:firstLineChars="0"/>
              <w:rPr>
                <w:rFonts w:hint="eastAsia" w:ascii="Times New Roman" w:hAnsi="Times New Roman"/>
              </w:rPr>
            </w:pPr>
            <w:r>
              <w:rPr>
                <w:rFonts w:hint="eastAsia" w:ascii="Times New Roman" w:hAnsi="Times New Roman"/>
              </w:rPr>
              <w:t>考核结果</w:t>
            </w:r>
          </w:p>
        </w:tc>
        <w:tc>
          <w:tcPr>
            <w:tcW w:w="729" w:type="pct"/>
            <w:tcBorders>
              <w:top w:val="single" w:color="auto" w:sz="4" w:space="0"/>
              <w:left w:val="single" w:color="auto" w:sz="4" w:space="0"/>
              <w:bottom w:val="single" w:color="auto" w:sz="4" w:space="0"/>
              <w:right w:val="single" w:color="auto" w:sz="4" w:space="0"/>
            </w:tcBorders>
            <w:vAlign w:val="center"/>
          </w:tcPr>
          <w:p w14:paraId="14D88617">
            <w:pPr>
              <w:ind w:firstLine="0" w:firstLineChars="0"/>
              <w:rPr>
                <w:rFonts w:hint="eastAsia" w:ascii="Times New Roman" w:hAnsi="Times New Roman"/>
              </w:rPr>
            </w:pPr>
            <w:r>
              <w:rPr>
                <w:rFonts w:hint="eastAsia" w:ascii="Times New Roman" w:hAnsi="Times New Roman"/>
              </w:rPr>
              <w:t>备注</w:t>
            </w:r>
          </w:p>
        </w:tc>
      </w:tr>
      <w:tr w14:paraId="726E3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pct"/>
            <w:tcBorders>
              <w:top w:val="single" w:color="auto" w:sz="4" w:space="0"/>
              <w:left w:val="single" w:color="auto" w:sz="4" w:space="0"/>
              <w:bottom w:val="single" w:color="auto" w:sz="4" w:space="0"/>
              <w:right w:val="single" w:color="auto" w:sz="4" w:space="0"/>
            </w:tcBorders>
            <w:vAlign w:val="center"/>
          </w:tcPr>
          <w:p w14:paraId="04D72116">
            <w:pPr>
              <w:ind w:firstLine="640"/>
              <w:rPr>
                <w:rFonts w:hint="eastAsia" w:ascii="Times New Roman" w:hAnsi="Times New Roman"/>
              </w:rPr>
            </w:pPr>
          </w:p>
        </w:tc>
        <w:tc>
          <w:tcPr>
            <w:tcW w:w="1177" w:type="pct"/>
            <w:tcBorders>
              <w:top w:val="single" w:color="auto" w:sz="4" w:space="0"/>
              <w:left w:val="single" w:color="auto" w:sz="4" w:space="0"/>
              <w:bottom w:val="single" w:color="auto" w:sz="4" w:space="0"/>
              <w:right w:val="single" w:color="auto" w:sz="4" w:space="0"/>
            </w:tcBorders>
            <w:vAlign w:val="center"/>
          </w:tcPr>
          <w:p w14:paraId="576028D9">
            <w:pPr>
              <w:ind w:firstLine="640"/>
              <w:rPr>
                <w:rFonts w:hint="eastAsia" w:ascii="Times New Roman" w:hAnsi="Times New Roman"/>
              </w:rPr>
            </w:pPr>
          </w:p>
        </w:tc>
        <w:tc>
          <w:tcPr>
            <w:tcW w:w="847" w:type="pct"/>
            <w:tcBorders>
              <w:top w:val="single" w:color="auto" w:sz="4" w:space="0"/>
              <w:left w:val="single" w:color="auto" w:sz="4" w:space="0"/>
              <w:bottom w:val="single" w:color="auto" w:sz="4" w:space="0"/>
              <w:right w:val="single" w:color="auto" w:sz="4" w:space="0"/>
            </w:tcBorders>
            <w:vAlign w:val="center"/>
          </w:tcPr>
          <w:p w14:paraId="3C166BC7">
            <w:pPr>
              <w:ind w:firstLine="640"/>
              <w:rPr>
                <w:rFonts w:hint="eastAsia" w:ascii="Times New Roman" w:hAnsi="Times New Roman"/>
              </w:rPr>
            </w:pPr>
          </w:p>
        </w:tc>
        <w:tc>
          <w:tcPr>
            <w:tcW w:w="770" w:type="pct"/>
            <w:tcBorders>
              <w:top w:val="single" w:color="auto" w:sz="4" w:space="0"/>
              <w:left w:val="single" w:color="auto" w:sz="4" w:space="0"/>
              <w:bottom w:val="single" w:color="auto" w:sz="4" w:space="0"/>
              <w:right w:val="single" w:color="auto" w:sz="4" w:space="0"/>
            </w:tcBorders>
            <w:vAlign w:val="center"/>
          </w:tcPr>
          <w:p w14:paraId="5DA0E562">
            <w:pPr>
              <w:ind w:firstLine="640"/>
              <w:rPr>
                <w:rFonts w:hint="eastAsia" w:ascii="Times New Roman" w:hAnsi="Times New Roman"/>
              </w:rPr>
            </w:pPr>
          </w:p>
        </w:tc>
        <w:tc>
          <w:tcPr>
            <w:tcW w:w="869" w:type="pct"/>
            <w:tcBorders>
              <w:top w:val="single" w:color="auto" w:sz="4" w:space="0"/>
              <w:left w:val="single" w:color="auto" w:sz="4" w:space="0"/>
              <w:bottom w:val="single" w:color="auto" w:sz="4" w:space="0"/>
              <w:right w:val="single" w:color="auto" w:sz="4" w:space="0"/>
            </w:tcBorders>
            <w:vAlign w:val="center"/>
          </w:tcPr>
          <w:p w14:paraId="2A20C037">
            <w:pPr>
              <w:ind w:firstLine="640"/>
              <w:rPr>
                <w:rFonts w:hint="eastAsia" w:ascii="Times New Roman" w:hAnsi="Times New Roman"/>
              </w:rPr>
            </w:pPr>
          </w:p>
        </w:tc>
        <w:tc>
          <w:tcPr>
            <w:tcW w:w="729" w:type="pct"/>
            <w:tcBorders>
              <w:top w:val="single" w:color="auto" w:sz="4" w:space="0"/>
              <w:left w:val="single" w:color="auto" w:sz="4" w:space="0"/>
              <w:bottom w:val="single" w:color="auto" w:sz="4" w:space="0"/>
              <w:right w:val="single" w:color="auto" w:sz="4" w:space="0"/>
            </w:tcBorders>
            <w:vAlign w:val="center"/>
          </w:tcPr>
          <w:p w14:paraId="271EBE90">
            <w:pPr>
              <w:ind w:firstLine="640"/>
              <w:rPr>
                <w:rFonts w:hint="eastAsia" w:ascii="Times New Roman" w:hAnsi="Times New Roman"/>
              </w:rPr>
            </w:pPr>
          </w:p>
        </w:tc>
      </w:tr>
      <w:tr w14:paraId="27CA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pct"/>
            <w:tcBorders>
              <w:top w:val="single" w:color="auto" w:sz="4" w:space="0"/>
              <w:left w:val="single" w:color="auto" w:sz="4" w:space="0"/>
              <w:bottom w:val="single" w:color="auto" w:sz="4" w:space="0"/>
              <w:right w:val="single" w:color="auto" w:sz="4" w:space="0"/>
            </w:tcBorders>
            <w:vAlign w:val="center"/>
          </w:tcPr>
          <w:p w14:paraId="62ABA751">
            <w:pPr>
              <w:ind w:firstLine="640"/>
              <w:rPr>
                <w:rFonts w:hint="eastAsia" w:ascii="Times New Roman" w:hAnsi="Times New Roman"/>
              </w:rPr>
            </w:pPr>
          </w:p>
        </w:tc>
        <w:tc>
          <w:tcPr>
            <w:tcW w:w="1177" w:type="pct"/>
            <w:tcBorders>
              <w:top w:val="single" w:color="auto" w:sz="4" w:space="0"/>
              <w:left w:val="single" w:color="auto" w:sz="4" w:space="0"/>
              <w:bottom w:val="single" w:color="auto" w:sz="4" w:space="0"/>
              <w:right w:val="single" w:color="auto" w:sz="4" w:space="0"/>
            </w:tcBorders>
            <w:vAlign w:val="center"/>
          </w:tcPr>
          <w:p w14:paraId="6AA4C077">
            <w:pPr>
              <w:ind w:firstLine="640"/>
              <w:rPr>
                <w:rFonts w:hint="eastAsia" w:ascii="Times New Roman" w:hAnsi="Times New Roman"/>
              </w:rPr>
            </w:pPr>
          </w:p>
        </w:tc>
        <w:tc>
          <w:tcPr>
            <w:tcW w:w="847" w:type="pct"/>
            <w:tcBorders>
              <w:top w:val="single" w:color="auto" w:sz="4" w:space="0"/>
              <w:left w:val="single" w:color="auto" w:sz="4" w:space="0"/>
              <w:bottom w:val="single" w:color="auto" w:sz="4" w:space="0"/>
              <w:right w:val="single" w:color="auto" w:sz="4" w:space="0"/>
            </w:tcBorders>
            <w:vAlign w:val="center"/>
          </w:tcPr>
          <w:p w14:paraId="29C87E55">
            <w:pPr>
              <w:ind w:firstLine="640"/>
              <w:rPr>
                <w:rFonts w:hint="eastAsia" w:ascii="Times New Roman" w:hAnsi="Times New Roman"/>
              </w:rPr>
            </w:pPr>
          </w:p>
        </w:tc>
        <w:tc>
          <w:tcPr>
            <w:tcW w:w="770" w:type="pct"/>
            <w:tcBorders>
              <w:top w:val="single" w:color="auto" w:sz="4" w:space="0"/>
              <w:left w:val="single" w:color="auto" w:sz="4" w:space="0"/>
              <w:bottom w:val="single" w:color="auto" w:sz="4" w:space="0"/>
              <w:right w:val="single" w:color="auto" w:sz="4" w:space="0"/>
            </w:tcBorders>
            <w:vAlign w:val="center"/>
          </w:tcPr>
          <w:p w14:paraId="55B6086F">
            <w:pPr>
              <w:ind w:firstLine="640"/>
              <w:rPr>
                <w:rFonts w:hint="eastAsia" w:ascii="Times New Roman" w:hAnsi="Times New Roman"/>
              </w:rPr>
            </w:pPr>
          </w:p>
        </w:tc>
        <w:tc>
          <w:tcPr>
            <w:tcW w:w="869" w:type="pct"/>
            <w:tcBorders>
              <w:top w:val="single" w:color="auto" w:sz="4" w:space="0"/>
              <w:left w:val="single" w:color="auto" w:sz="4" w:space="0"/>
              <w:bottom w:val="single" w:color="auto" w:sz="4" w:space="0"/>
              <w:right w:val="single" w:color="auto" w:sz="4" w:space="0"/>
            </w:tcBorders>
            <w:vAlign w:val="center"/>
          </w:tcPr>
          <w:p w14:paraId="642C9C12">
            <w:pPr>
              <w:ind w:firstLine="640"/>
              <w:rPr>
                <w:rFonts w:hint="eastAsia" w:ascii="Times New Roman" w:hAnsi="Times New Roman"/>
              </w:rPr>
            </w:pPr>
          </w:p>
        </w:tc>
        <w:tc>
          <w:tcPr>
            <w:tcW w:w="729" w:type="pct"/>
            <w:tcBorders>
              <w:top w:val="single" w:color="auto" w:sz="4" w:space="0"/>
              <w:left w:val="single" w:color="auto" w:sz="4" w:space="0"/>
              <w:bottom w:val="single" w:color="auto" w:sz="4" w:space="0"/>
              <w:right w:val="single" w:color="auto" w:sz="4" w:space="0"/>
            </w:tcBorders>
            <w:vAlign w:val="center"/>
          </w:tcPr>
          <w:p w14:paraId="3238FECB">
            <w:pPr>
              <w:ind w:firstLine="640"/>
              <w:rPr>
                <w:rFonts w:hint="eastAsia" w:ascii="Times New Roman" w:hAnsi="Times New Roman"/>
              </w:rPr>
            </w:pPr>
          </w:p>
        </w:tc>
      </w:tr>
      <w:tr w14:paraId="4C2EA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pct"/>
            <w:tcBorders>
              <w:top w:val="single" w:color="auto" w:sz="4" w:space="0"/>
              <w:left w:val="single" w:color="auto" w:sz="4" w:space="0"/>
              <w:bottom w:val="single" w:color="auto" w:sz="4" w:space="0"/>
              <w:right w:val="single" w:color="auto" w:sz="4" w:space="0"/>
            </w:tcBorders>
            <w:vAlign w:val="center"/>
          </w:tcPr>
          <w:p w14:paraId="5404EB64">
            <w:pPr>
              <w:ind w:firstLine="640"/>
              <w:rPr>
                <w:rFonts w:hint="eastAsia" w:ascii="Times New Roman" w:hAnsi="Times New Roman"/>
              </w:rPr>
            </w:pPr>
          </w:p>
        </w:tc>
        <w:tc>
          <w:tcPr>
            <w:tcW w:w="1177" w:type="pct"/>
            <w:tcBorders>
              <w:top w:val="single" w:color="auto" w:sz="4" w:space="0"/>
              <w:left w:val="single" w:color="auto" w:sz="4" w:space="0"/>
              <w:bottom w:val="single" w:color="auto" w:sz="4" w:space="0"/>
              <w:right w:val="single" w:color="auto" w:sz="4" w:space="0"/>
            </w:tcBorders>
            <w:vAlign w:val="center"/>
          </w:tcPr>
          <w:p w14:paraId="3B7F5892">
            <w:pPr>
              <w:ind w:firstLine="640"/>
              <w:rPr>
                <w:rFonts w:hint="eastAsia" w:ascii="Times New Roman" w:hAnsi="Times New Roman"/>
              </w:rPr>
            </w:pPr>
          </w:p>
        </w:tc>
        <w:tc>
          <w:tcPr>
            <w:tcW w:w="847" w:type="pct"/>
            <w:tcBorders>
              <w:top w:val="single" w:color="auto" w:sz="4" w:space="0"/>
              <w:left w:val="single" w:color="auto" w:sz="4" w:space="0"/>
              <w:bottom w:val="single" w:color="auto" w:sz="4" w:space="0"/>
              <w:right w:val="single" w:color="auto" w:sz="4" w:space="0"/>
            </w:tcBorders>
            <w:vAlign w:val="center"/>
          </w:tcPr>
          <w:p w14:paraId="3DD22643">
            <w:pPr>
              <w:ind w:firstLine="640"/>
              <w:rPr>
                <w:rFonts w:hint="eastAsia" w:ascii="Times New Roman" w:hAnsi="Times New Roman"/>
              </w:rPr>
            </w:pPr>
          </w:p>
        </w:tc>
        <w:tc>
          <w:tcPr>
            <w:tcW w:w="770" w:type="pct"/>
            <w:tcBorders>
              <w:top w:val="single" w:color="auto" w:sz="4" w:space="0"/>
              <w:left w:val="single" w:color="auto" w:sz="4" w:space="0"/>
              <w:bottom w:val="single" w:color="auto" w:sz="4" w:space="0"/>
              <w:right w:val="single" w:color="auto" w:sz="4" w:space="0"/>
            </w:tcBorders>
            <w:vAlign w:val="center"/>
          </w:tcPr>
          <w:p w14:paraId="4C72A7DB">
            <w:pPr>
              <w:ind w:firstLine="640"/>
              <w:rPr>
                <w:rFonts w:hint="eastAsia" w:ascii="Times New Roman" w:hAnsi="Times New Roman"/>
              </w:rPr>
            </w:pPr>
          </w:p>
        </w:tc>
        <w:tc>
          <w:tcPr>
            <w:tcW w:w="869" w:type="pct"/>
            <w:tcBorders>
              <w:top w:val="single" w:color="auto" w:sz="4" w:space="0"/>
              <w:left w:val="single" w:color="auto" w:sz="4" w:space="0"/>
              <w:bottom w:val="single" w:color="auto" w:sz="4" w:space="0"/>
              <w:right w:val="single" w:color="auto" w:sz="4" w:space="0"/>
            </w:tcBorders>
            <w:vAlign w:val="center"/>
          </w:tcPr>
          <w:p w14:paraId="367FB7CD">
            <w:pPr>
              <w:ind w:firstLine="640"/>
              <w:rPr>
                <w:rFonts w:hint="eastAsia" w:ascii="Times New Roman" w:hAnsi="Times New Roman"/>
              </w:rPr>
            </w:pPr>
          </w:p>
        </w:tc>
        <w:tc>
          <w:tcPr>
            <w:tcW w:w="729" w:type="pct"/>
            <w:tcBorders>
              <w:top w:val="single" w:color="auto" w:sz="4" w:space="0"/>
              <w:left w:val="single" w:color="auto" w:sz="4" w:space="0"/>
              <w:bottom w:val="single" w:color="auto" w:sz="4" w:space="0"/>
              <w:right w:val="single" w:color="auto" w:sz="4" w:space="0"/>
            </w:tcBorders>
            <w:vAlign w:val="center"/>
          </w:tcPr>
          <w:p w14:paraId="3466E603">
            <w:pPr>
              <w:ind w:firstLine="640"/>
              <w:rPr>
                <w:rFonts w:hint="eastAsia" w:ascii="Times New Roman" w:hAnsi="Times New Roman"/>
              </w:rPr>
            </w:pPr>
          </w:p>
        </w:tc>
      </w:tr>
      <w:tr w14:paraId="6AC8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pct"/>
            <w:tcBorders>
              <w:top w:val="single" w:color="auto" w:sz="4" w:space="0"/>
              <w:left w:val="single" w:color="auto" w:sz="4" w:space="0"/>
              <w:bottom w:val="single" w:color="auto" w:sz="4" w:space="0"/>
              <w:right w:val="single" w:color="auto" w:sz="4" w:space="0"/>
            </w:tcBorders>
            <w:vAlign w:val="center"/>
          </w:tcPr>
          <w:p w14:paraId="77F47665">
            <w:pPr>
              <w:ind w:firstLine="640"/>
              <w:rPr>
                <w:rFonts w:hint="eastAsia" w:ascii="Times New Roman" w:hAnsi="Times New Roman"/>
              </w:rPr>
            </w:pPr>
          </w:p>
        </w:tc>
        <w:tc>
          <w:tcPr>
            <w:tcW w:w="1177" w:type="pct"/>
            <w:tcBorders>
              <w:top w:val="single" w:color="auto" w:sz="4" w:space="0"/>
              <w:left w:val="single" w:color="auto" w:sz="4" w:space="0"/>
              <w:bottom w:val="single" w:color="auto" w:sz="4" w:space="0"/>
              <w:right w:val="single" w:color="auto" w:sz="4" w:space="0"/>
            </w:tcBorders>
            <w:vAlign w:val="center"/>
          </w:tcPr>
          <w:p w14:paraId="03B5B43F">
            <w:pPr>
              <w:ind w:firstLine="640"/>
              <w:rPr>
                <w:rFonts w:hint="eastAsia" w:ascii="Times New Roman" w:hAnsi="Times New Roman"/>
              </w:rPr>
            </w:pPr>
          </w:p>
        </w:tc>
        <w:tc>
          <w:tcPr>
            <w:tcW w:w="847" w:type="pct"/>
            <w:tcBorders>
              <w:top w:val="single" w:color="auto" w:sz="4" w:space="0"/>
              <w:left w:val="single" w:color="auto" w:sz="4" w:space="0"/>
              <w:bottom w:val="single" w:color="auto" w:sz="4" w:space="0"/>
              <w:right w:val="single" w:color="auto" w:sz="4" w:space="0"/>
            </w:tcBorders>
            <w:vAlign w:val="center"/>
          </w:tcPr>
          <w:p w14:paraId="499DFCD0">
            <w:pPr>
              <w:ind w:firstLine="640"/>
              <w:rPr>
                <w:rFonts w:hint="eastAsia" w:ascii="Times New Roman" w:hAnsi="Times New Roman"/>
              </w:rPr>
            </w:pPr>
          </w:p>
        </w:tc>
        <w:tc>
          <w:tcPr>
            <w:tcW w:w="770" w:type="pct"/>
            <w:tcBorders>
              <w:top w:val="single" w:color="auto" w:sz="4" w:space="0"/>
              <w:left w:val="single" w:color="auto" w:sz="4" w:space="0"/>
              <w:bottom w:val="single" w:color="auto" w:sz="4" w:space="0"/>
              <w:right w:val="single" w:color="auto" w:sz="4" w:space="0"/>
            </w:tcBorders>
            <w:vAlign w:val="center"/>
          </w:tcPr>
          <w:p w14:paraId="1AE2CF7D">
            <w:pPr>
              <w:ind w:firstLine="640"/>
              <w:rPr>
                <w:rFonts w:hint="eastAsia" w:ascii="Times New Roman" w:hAnsi="Times New Roman"/>
              </w:rPr>
            </w:pPr>
          </w:p>
        </w:tc>
        <w:tc>
          <w:tcPr>
            <w:tcW w:w="869" w:type="pct"/>
            <w:tcBorders>
              <w:top w:val="single" w:color="auto" w:sz="4" w:space="0"/>
              <w:left w:val="single" w:color="auto" w:sz="4" w:space="0"/>
              <w:bottom w:val="single" w:color="auto" w:sz="4" w:space="0"/>
              <w:right w:val="single" w:color="auto" w:sz="4" w:space="0"/>
            </w:tcBorders>
            <w:vAlign w:val="center"/>
          </w:tcPr>
          <w:p w14:paraId="51CDCCB0">
            <w:pPr>
              <w:ind w:firstLine="640"/>
              <w:rPr>
                <w:rFonts w:hint="eastAsia" w:ascii="Times New Roman" w:hAnsi="Times New Roman"/>
              </w:rPr>
            </w:pPr>
          </w:p>
        </w:tc>
        <w:tc>
          <w:tcPr>
            <w:tcW w:w="729" w:type="pct"/>
            <w:tcBorders>
              <w:top w:val="single" w:color="auto" w:sz="4" w:space="0"/>
              <w:left w:val="single" w:color="auto" w:sz="4" w:space="0"/>
              <w:bottom w:val="single" w:color="auto" w:sz="4" w:space="0"/>
              <w:right w:val="single" w:color="auto" w:sz="4" w:space="0"/>
            </w:tcBorders>
            <w:vAlign w:val="center"/>
          </w:tcPr>
          <w:p w14:paraId="464543B6">
            <w:pPr>
              <w:ind w:firstLine="640"/>
              <w:rPr>
                <w:rFonts w:hint="eastAsia" w:ascii="Times New Roman" w:hAnsi="Times New Roman"/>
              </w:rPr>
            </w:pPr>
          </w:p>
        </w:tc>
      </w:tr>
      <w:tr w14:paraId="010B2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pct"/>
            <w:tcBorders>
              <w:top w:val="single" w:color="auto" w:sz="4" w:space="0"/>
              <w:left w:val="single" w:color="auto" w:sz="4" w:space="0"/>
              <w:bottom w:val="single" w:color="auto" w:sz="4" w:space="0"/>
              <w:right w:val="single" w:color="auto" w:sz="4" w:space="0"/>
            </w:tcBorders>
            <w:vAlign w:val="center"/>
          </w:tcPr>
          <w:p w14:paraId="68D60401">
            <w:pPr>
              <w:ind w:firstLine="640"/>
              <w:rPr>
                <w:rFonts w:hint="eastAsia" w:ascii="Times New Roman" w:hAnsi="Times New Roman"/>
              </w:rPr>
            </w:pPr>
          </w:p>
        </w:tc>
        <w:tc>
          <w:tcPr>
            <w:tcW w:w="1177" w:type="pct"/>
            <w:tcBorders>
              <w:top w:val="single" w:color="auto" w:sz="4" w:space="0"/>
              <w:left w:val="single" w:color="auto" w:sz="4" w:space="0"/>
              <w:bottom w:val="single" w:color="auto" w:sz="4" w:space="0"/>
              <w:right w:val="single" w:color="auto" w:sz="4" w:space="0"/>
            </w:tcBorders>
            <w:vAlign w:val="center"/>
          </w:tcPr>
          <w:p w14:paraId="67A6D4B9">
            <w:pPr>
              <w:ind w:firstLine="640"/>
              <w:rPr>
                <w:rFonts w:hint="eastAsia" w:ascii="Times New Roman" w:hAnsi="Times New Roman"/>
              </w:rPr>
            </w:pPr>
          </w:p>
        </w:tc>
        <w:tc>
          <w:tcPr>
            <w:tcW w:w="847" w:type="pct"/>
            <w:tcBorders>
              <w:top w:val="single" w:color="auto" w:sz="4" w:space="0"/>
              <w:left w:val="single" w:color="auto" w:sz="4" w:space="0"/>
              <w:bottom w:val="single" w:color="auto" w:sz="4" w:space="0"/>
              <w:right w:val="single" w:color="auto" w:sz="4" w:space="0"/>
            </w:tcBorders>
            <w:vAlign w:val="center"/>
          </w:tcPr>
          <w:p w14:paraId="16977F77">
            <w:pPr>
              <w:ind w:firstLine="640"/>
              <w:rPr>
                <w:rFonts w:hint="eastAsia" w:ascii="Times New Roman" w:hAnsi="Times New Roman"/>
              </w:rPr>
            </w:pPr>
          </w:p>
        </w:tc>
        <w:tc>
          <w:tcPr>
            <w:tcW w:w="770" w:type="pct"/>
            <w:tcBorders>
              <w:top w:val="single" w:color="auto" w:sz="4" w:space="0"/>
              <w:left w:val="single" w:color="auto" w:sz="4" w:space="0"/>
              <w:bottom w:val="single" w:color="auto" w:sz="4" w:space="0"/>
              <w:right w:val="single" w:color="auto" w:sz="4" w:space="0"/>
            </w:tcBorders>
            <w:vAlign w:val="center"/>
          </w:tcPr>
          <w:p w14:paraId="3BD17527">
            <w:pPr>
              <w:ind w:firstLine="640"/>
              <w:rPr>
                <w:rFonts w:hint="eastAsia" w:ascii="Times New Roman" w:hAnsi="Times New Roman"/>
              </w:rPr>
            </w:pPr>
          </w:p>
        </w:tc>
        <w:tc>
          <w:tcPr>
            <w:tcW w:w="869" w:type="pct"/>
            <w:tcBorders>
              <w:top w:val="single" w:color="auto" w:sz="4" w:space="0"/>
              <w:left w:val="single" w:color="auto" w:sz="4" w:space="0"/>
              <w:bottom w:val="single" w:color="auto" w:sz="4" w:space="0"/>
              <w:right w:val="single" w:color="auto" w:sz="4" w:space="0"/>
            </w:tcBorders>
            <w:vAlign w:val="center"/>
          </w:tcPr>
          <w:p w14:paraId="292C2D03">
            <w:pPr>
              <w:ind w:firstLine="640"/>
              <w:rPr>
                <w:rFonts w:hint="eastAsia" w:ascii="Times New Roman" w:hAnsi="Times New Roman"/>
              </w:rPr>
            </w:pPr>
          </w:p>
        </w:tc>
        <w:tc>
          <w:tcPr>
            <w:tcW w:w="729" w:type="pct"/>
            <w:tcBorders>
              <w:top w:val="single" w:color="auto" w:sz="4" w:space="0"/>
              <w:left w:val="single" w:color="auto" w:sz="4" w:space="0"/>
              <w:bottom w:val="single" w:color="auto" w:sz="4" w:space="0"/>
              <w:right w:val="single" w:color="auto" w:sz="4" w:space="0"/>
            </w:tcBorders>
            <w:vAlign w:val="center"/>
          </w:tcPr>
          <w:p w14:paraId="5CA05B7F">
            <w:pPr>
              <w:ind w:firstLine="640"/>
              <w:rPr>
                <w:rFonts w:hint="eastAsia" w:ascii="Times New Roman" w:hAnsi="Times New Roman"/>
              </w:rPr>
            </w:pPr>
          </w:p>
        </w:tc>
      </w:tr>
      <w:tr w14:paraId="6A4C9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pct"/>
            <w:tcBorders>
              <w:top w:val="single" w:color="auto" w:sz="4" w:space="0"/>
              <w:left w:val="single" w:color="auto" w:sz="4" w:space="0"/>
              <w:bottom w:val="single" w:color="auto" w:sz="4" w:space="0"/>
              <w:right w:val="single" w:color="auto" w:sz="4" w:space="0"/>
            </w:tcBorders>
            <w:vAlign w:val="center"/>
          </w:tcPr>
          <w:p w14:paraId="79840B5C">
            <w:pPr>
              <w:ind w:firstLine="640"/>
              <w:rPr>
                <w:rFonts w:hint="eastAsia" w:ascii="Times New Roman" w:hAnsi="Times New Roman"/>
              </w:rPr>
            </w:pPr>
          </w:p>
        </w:tc>
        <w:tc>
          <w:tcPr>
            <w:tcW w:w="1177" w:type="pct"/>
            <w:tcBorders>
              <w:top w:val="single" w:color="auto" w:sz="4" w:space="0"/>
              <w:left w:val="single" w:color="auto" w:sz="4" w:space="0"/>
              <w:bottom w:val="single" w:color="auto" w:sz="4" w:space="0"/>
              <w:right w:val="single" w:color="auto" w:sz="4" w:space="0"/>
            </w:tcBorders>
            <w:vAlign w:val="center"/>
          </w:tcPr>
          <w:p w14:paraId="3B0AE9BD">
            <w:pPr>
              <w:ind w:firstLine="640"/>
              <w:rPr>
                <w:rFonts w:hint="eastAsia" w:ascii="Times New Roman" w:hAnsi="Times New Roman"/>
              </w:rPr>
            </w:pPr>
          </w:p>
        </w:tc>
        <w:tc>
          <w:tcPr>
            <w:tcW w:w="847" w:type="pct"/>
            <w:tcBorders>
              <w:top w:val="single" w:color="auto" w:sz="4" w:space="0"/>
              <w:left w:val="single" w:color="auto" w:sz="4" w:space="0"/>
              <w:bottom w:val="single" w:color="auto" w:sz="4" w:space="0"/>
              <w:right w:val="single" w:color="auto" w:sz="4" w:space="0"/>
            </w:tcBorders>
            <w:vAlign w:val="center"/>
          </w:tcPr>
          <w:p w14:paraId="389037FC">
            <w:pPr>
              <w:ind w:firstLine="640"/>
              <w:rPr>
                <w:rFonts w:hint="eastAsia" w:ascii="Times New Roman" w:hAnsi="Times New Roman"/>
              </w:rPr>
            </w:pPr>
          </w:p>
        </w:tc>
        <w:tc>
          <w:tcPr>
            <w:tcW w:w="770" w:type="pct"/>
            <w:tcBorders>
              <w:top w:val="single" w:color="auto" w:sz="4" w:space="0"/>
              <w:left w:val="single" w:color="auto" w:sz="4" w:space="0"/>
              <w:bottom w:val="single" w:color="auto" w:sz="4" w:space="0"/>
              <w:right w:val="single" w:color="auto" w:sz="4" w:space="0"/>
            </w:tcBorders>
            <w:vAlign w:val="center"/>
          </w:tcPr>
          <w:p w14:paraId="77F07A7B">
            <w:pPr>
              <w:ind w:firstLine="640"/>
              <w:rPr>
                <w:rFonts w:hint="eastAsia" w:ascii="Times New Roman" w:hAnsi="Times New Roman"/>
              </w:rPr>
            </w:pPr>
          </w:p>
        </w:tc>
        <w:tc>
          <w:tcPr>
            <w:tcW w:w="869" w:type="pct"/>
            <w:tcBorders>
              <w:top w:val="single" w:color="auto" w:sz="4" w:space="0"/>
              <w:left w:val="single" w:color="auto" w:sz="4" w:space="0"/>
              <w:bottom w:val="single" w:color="auto" w:sz="4" w:space="0"/>
              <w:right w:val="single" w:color="auto" w:sz="4" w:space="0"/>
            </w:tcBorders>
            <w:vAlign w:val="center"/>
          </w:tcPr>
          <w:p w14:paraId="7850D22B">
            <w:pPr>
              <w:ind w:firstLine="640"/>
              <w:rPr>
                <w:rFonts w:hint="eastAsia" w:ascii="Times New Roman" w:hAnsi="Times New Roman"/>
              </w:rPr>
            </w:pPr>
          </w:p>
        </w:tc>
        <w:tc>
          <w:tcPr>
            <w:tcW w:w="729" w:type="pct"/>
            <w:tcBorders>
              <w:top w:val="single" w:color="auto" w:sz="4" w:space="0"/>
              <w:left w:val="single" w:color="auto" w:sz="4" w:space="0"/>
              <w:bottom w:val="single" w:color="auto" w:sz="4" w:space="0"/>
              <w:right w:val="single" w:color="auto" w:sz="4" w:space="0"/>
            </w:tcBorders>
            <w:vAlign w:val="center"/>
          </w:tcPr>
          <w:p w14:paraId="34AA5C3F">
            <w:pPr>
              <w:ind w:firstLine="640"/>
              <w:rPr>
                <w:rFonts w:hint="eastAsia" w:ascii="Times New Roman" w:hAnsi="Times New Roman"/>
              </w:rPr>
            </w:pPr>
          </w:p>
        </w:tc>
      </w:tr>
      <w:tr w14:paraId="65E35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pct"/>
            <w:tcBorders>
              <w:top w:val="single" w:color="auto" w:sz="4" w:space="0"/>
              <w:left w:val="single" w:color="auto" w:sz="4" w:space="0"/>
              <w:bottom w:val="single" w:color="auto" w:sz="4" w:space="0"/>
              <w:right w:val="single" w:color="auto" w:sz="4" w:space="0"/>
            </w:tcBorders>
            <w:vAlign w:val="center"/>
          </w:tcPr>
          <w:p w14:paraId="6F114554">
            <w:pPr>
              <w:ind w:firstLine="640"/>
              <w:rPr>
                <w:rFonts w:hint="eastAsia" w:ascii="Times New Roman" w:hAnsi="Times New Roman"/>
              </w:rPr>
            </w:pPr>
          </w:p>
        </w:tc>
        <w:tc>
          <w:tcPr>
            <w:tcW w:w="1177" w:type="pct"/>
            <w:tcBorders>
              <w:top w:val="single" w:color="auto" w:sz="4" w:space="0"/>
              <w:left w:val="single" w:color="auto" w:sz="4" w:space="0"/>
              <w:bottom w:val="single" w:color="auto" w:sz="4" w:space="0"/>
              <w:right w:val="single" w:color="auto" w:sz="4" w:space="0"/>
            </w:tcBorders>
            <w:vAlign w:val="center"/>
          </w:tcPr>
          <w:p w14:paraId="19DD9FD5">
            <w:pPr>
              <w:ind w:firstLine="640"/>
              <w:rPr>
                <w:rFonts w:hint="eastAsia" w:ascii="Times New Roman" w:hAnsi="Times New Roman"/>
              </w:rPr>
            </w:pPr>
          </w:p>
        </w:tc>
        <w:tc>
          <w:tcPr>
            <w:tcW w:w="847" w:type="pct"/>
            <w:tcBorders>
              <w:top w:val="single" w:color="auto" w:sz="4" w:space="0"/>
              <w:left w:val="single" w:color="auto" w:sz="4" w:space="0"/>
              <w:bottom w:val="single" w:color="auto" w:sz="4" w:space="0"/>
              <w:right w:val="single" w:color="auto" w:sz="4" w:space="0"/>
            </w:tcBorders>
            <w:vAlign w:val="center"/>
          </w:tcPr>
          <w:p w14:paraId="2C795A3B">
            <w:pPr>
              <w:ind w:firstLine="640"/>
              <w:rPr>
                <w:rFonts w:hint="eastAsia" w:ascii="Times New Roman" w:hAnsi="Times New Roman"/>
              </w:rPr>
            </w:pPr>
          </w:p>
        </w:tc>
        <w:tc>
          <w:tcPr>
            <w:tcW w:w="770" w:type="pct"/>
            <w:tcBorders>
              <w:top w:val="single" w:color="auto" w:sz="4" w:space="0"/>
              <w:left w:val="single" w:color="auto" w:sz="4" w:space="0"/>
              <w:bottom w:val="single" w:color="auto" w:sz="4" w:space="0"/>
              <w:right w:val="single" w:color="auto" w:sz="4" w:space="0"/>
            </w:tcBorders>
            <w:vAlign w:val="center"/>
          </w:tcPr>
          <w:p w14:paraId="11143567">
            <w:pPr>
              <w:ind w:firstLine="640"/>
              <w:rPr>
                <w:rFonts w:hint="eastAsia" w:ascii="Times New Roman" w:hAnsi="Times New Roman"/>
              </w:rPr>
            </w:pPr>
          </w:p>
        </w:tc>
        <w:tc>
          <w:tcPr>
            <w:tcW w:w="869" w:type="pct"/>
            <w:tcBorders>
              <w:top w:val="single" w:color="auto" w:sz="4" w:space="0"/>
              <w:left w:val="single" w:color="auto" w:sz="4" w:space="0"/>
              <w:bottom w:val="single" w:color="auto" w:sz="4" w:space="0"/>
              <w:right w:val="single" w:color="auto" w:sz="4" w:space="0"/>
            </w:tcBorders>
            <w:vAlign w:val="center"/>
          </w:tcPr>
          <w:p w14:paraId="16235084">
            <w:pPr>
              <w:ind w:firstLine="640"/>
              <w:rPr>
                <w:rFonts w:hint="eastAsia" w:ascii="Times New Roman" w:hAnsi="Times New Roman"/>
              </w:rPr>
            </w:pPr>
          </w:p>
        </w:tc>
        <w:tc>
          <w:tcPr>
            <w:tcW w:w="729" w:type="pct"/>
            <w:tcBorders>
              <w:top w:val="single" w:color="auto" w:sz="4" w:space="0"/>
              <w:left w:val="single" w:color="auto" w:sz="4" w:space="0"/>
              <w:bottom w:val="single" w:color="auto" w:sz="4" w:space="0"/>
              <w:right w:val="single" w:color="auto" w:sz="4" w:space="0"/>
            </w:tcBorders>
            <w:vAlign w:val="center"/>
          </w:tcPr>
          <w:p w14:paraId="0FD02F1E">
            <w:pPr>
              <w:ind w:firstLine="640"/>
              <w:rPr>
                <w:rFonts w:hint="eastAsia" w:ascii="Times New Roman" w:hAnsi="Times New Roman"/>
              </w:rPr>
            </w:pPr>
          </w:p>
        </w:tc>
      </w:tr>
      <w:tr w14:paraId="091C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pct"/>
            <w:tcBorders>
              <w:top w:val="single" w:color="auto" w:sz="4" w:space="0"/>
              <w:left w:val="single" w:color="auto" w:sz="4" w:space="0"/>
              <w:bottom w:val="single" w:color="auto" w:sz="4" w:space="0"/>
              <w:right w:val="single" w:color="auto" w:sz="4" w:space="0"/>
            </w:tcBorders>
            <w:vAlign w:val="center"/>
          </w:tcPr>
          <w:p w14:paraId="5D76D060">
            <w:pPr>
              <w:ind w:firstLine="640"/>
              <w:rPr>
                <w:rFonts w:hint="eastAsia" w:ascii="Times New Roman" w:hAnsi="Times New Roman"/>
              </w:rPr>
            </w:pPr>
          </w:p>
        </w:tc>
        <w:tc>
          <w:tcPr>
            <w:tcW w:w="1177" w:type="pct"/>
            <w:tcBorders>
              <w:top w:val="single" w:color="auto" w:sz="4" w:space="0"/>
              <w:left w:val="single" w:color="auto" w:sz="4" w:space="0"/>
              <w:bottom w:val="single" w:color="auto" w:sz="4" w:space="0"/>
              <w:right w:val="single" w:color="auto" w:sz="4" w:space="0"/>
            </w:tcBorders>
            <w:vAlign w:val="center"/>
          </w:tcPr>
          <w:p w14:paraId="0CEA0C49">
            <w:pPr>
              <w:ind w:firstLine="640"/>
              <w:rPr>
                <w:rFonts w:hint="eastAsia" w:ascii="Times New Roman" w:hAnsi="Times New Roman"/>
              </w:rPr>
            </w:pPr>
          </w:p>
        </w:tc>
        <w:tc>
          <w:tcPr>
            <w:tcW w:w="847" w:type="pct"/>
            <w:tcBorders>
              <w:top w:val="single" w:color="auto" w:sz="4" w:space="0"/>
              <w:left w:val="single" w:color="auto" w:sz="4" w:space="0"/>
              <w:bottom w:val="single" w:color="auto" w:sz="4" w:space="0"/>
              <w:right w:val="single" w:color="auto" w:sz="4" w:space="0"/>
            </w:tcBorders>
            <w:vAlign w:val="center"/>
          </w:tcPr>
          <w:p w14:paraId="0109645F">
            <w:pPr>
              <w:ind w:firstLine="640"/>
              <w:rPr>
                <w:rFonts w:hint="eastAsia" w:ascii="Times New Roman" w:hAnsi="Times New Roman"/>
              </w:rPr>
            </w:pPr>
          </w:p>
        </w:tc>
        <w:tc>
          <w:tcPr>
            <w:tcW w:w="770" w:type="pct"/>
            <w:tcBorders>
              <w:top w:val="single" w:color="auto" w:sz="4" w:space="0"/>
              <w:left w:val="single" w:color="auto" w:sz="4" w:space="0"/>
              <w:bottom w:val="single" w:color="auto" w:sz="4" w:space="0"/>
              <w:right w:val="single" w:color="auto" w:sz="4" w:space="0"/>
            </w:tcBorders>
            <w:vAlign w:val="center"/>
          </w:tcPr>
          <w:p w14:paraId="21FD524E">
            <w:pPr>
              <w:ind w:firstLine="640"/>
              <w:rPr>
                <w:rFonts w:hint="eastAsia" w:ascii="Times New Roman" w:hAnsi="Times New Roman"/>
              </w:rPr>
            </w:pPr>
          </w:p>
        </w:tc>
        <w:tc>
          <w:tcPr>
            <w:tcW w:w="869" w:type="pct"/>
            <w:tcBorders>
              <w:top w:val="single" w:color="auto" w:sz="4" w:space="0"/>
              <w:left w:val="single" w:color="auto" w:sz="4" w:space="0"/>
              <w:bottom w:val="single" w:color="auto" w:sz="4" w:space="0"/>
              <w:right w:val="single" w:color="auto" w:sz="4" w:space="0"/>
            </w:tcBorders>
            <w:vAlign w:val="center"/>
          </w:tcPr>
          <w:p w14:paraId="5F1FAB2A">
            <w:pPr>
              <w:ind w:firstLine="640"/>
              <w:rPr>
                <w:rFonts w:hint="eastAsia" w:ascii="Times New Roman" w:hAnsi="Times New Roman"/>
              </w:rPr>
            </w:pPr>
          </w:p>
        </w:tc>
        <w:tc>
          <w:tcPr>
            <w:tcW w:w="729" w:type="pct"/>
            <w:tcBorders>
              <w:top w:val="single" w:color="auto" w:sz="4" w:space="0"/>
              <w:left w:val="single" w:color="auto" w:sz="4" w:space="0"/>
              <w:bottom w:val="single" w:color="auto" w:sz="4" w:space="0"/>
              <w:right w:val="single" w:color="auto" w:sz="4" w:space="0"/>
            </w:tcBorders>
            <w:vAlign w:val="center"/>
          </w:tcPr>
          <w:p w14:paraId="76014806">
            <w:pPr>
              <w:ind w:firstLine="640"/>
              <w:rPr>
                <w:rFonts w:hint="eastAsia" w:ascii="Times New Roman" w:hAnsi="Times New Roman"/>
              </w:rPr>
            </w:pPr>
          </w:p>
        </w:tc>
      </w:tr>
      <w:tr w14:paraId="31571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pct"/>
            <w:tcBorders>
              <w:top w:val="single" w:color="auto" w:sz="4" w:space="0"/>
              <w:left w:val="single" w:color="auto" w:sz="4" w:space="0"/>
              <w:bottom w:val="single" w:color="auto" w:sz="4" w:space="0"/>
              <w:right w:val="single" w:color="auto" w:sz="4" w:space="0"/>
            </w:tcBorders>
            <w:vAlign w:val="center"/>
          </w:tcPr>
          <w:p w14:paraId="2AD7F18F">
            <w:pPr>
              <w:ind w:firstLine="640"/>
              <w:rPr>
                <w:rFonts w:hint="eastAsia" w:ascii="Times New Roman" w:hAnsi="Times New Roman"/>
              </w:rPr>
            </w:pPr>
          </w:p>
        </w:tc>
        <w:tc>
          <w:tcPr>
            <w:tcW w:w="1177" w:type="pct"/>
            <w:tcBorders>
              <w:top w:val="single" w:color="auto" w:sz="4" w:space="0"/>
              <w:left w:val="single" w:color="auto" w:sz="4" w:space="0"/>
              <w:bottom w:val="single" w:color="auto" w:sz="4" w:space="0"/>
              <w:right w:val="single" w:color="auto" w:sz="4" w:space="0"/>
            </w:tcBorders>
            <w:vAlign w:val="center"/>
          </w:tcPr>
          <w:p w14:paraId="259B8E0C">
            <w:pPr>
              <w:ind w:firstLine="640"/>
              <w:rPr>
                <w:rFonts w:hint="eastAsia" w:ascii="Times New Roman" w:hAnsi="Times New Roman"/>
              </w:rPr>
            </w:pPr>
          </w:p>
        </w:tc>
        <w:tc>
          <w:tcPr>
            <w:tcW w:w="847" w:type="pct"/>
            <w:tcBorders>
              <w:top w:val="single" w:color="auto" w:sz="4" w:space="0"/>
              <w:left w:val="single" w:color="auto" w:sz="4" w:space="0"/>
              <w:bottom w:val="single" w:color="auto" w:sz="4" w:space="0"/>
              <w:right w:val="single" w:color="auto" w:sz="4" w:space="0"/>
            </w:tcBorders>
            <w:vAlign w:val="center"/>
          </w:tcPr>
          <w:p w14:paraId="73886B57">
            <w:pPr>
              <w:ind w:firstLine="640"/>
              <w:rPr>
                <w:rFonts w:hint="eastAsia" w:ascii="Times New Roman" w:hAnsi="Times New Roman"/>
              </w:rPr>
            </w:pPr>
          </w:p>
        </w:tc>
        <w:tc>
          <w:tcPr>
            <w:tcW w:w="770" w:type="pct"/>
            <w:tcBorders>
              <w:top w:val="single" w:color="auto" w:sz="4" w:space="0"/>
              <w:left w:val="single" w:color="auto" w:sz="4" w:space="0"/>
              <w:bottom w:val="single" w:color="auto" w:sz="4" w:space="0"/>
              <w:right w:val="single" w:color="auto" w:sz="4" w:space="0"/>
            </w:tcBorders>
            <w:vAlign w:val="center"/>
          </w:tcPr>
          <w:p w14:paraId="7B86A272">
            <w:pPr>
              <w:ind w:firstLine="640"/>
              <w:rPr>
                <w:rFonts w:hint="eastAsia" w:ascii="Times New Roman" w:hAnsi="Times New Roman"/>
              </w:rPr>
            </w:pPr>
          </w:p>
        </w:tc>
        <w:tc>
          <w:tcPr>
            <w:tcW w:w="869" w:type="pct"/>
            <w:tcBorders>
              <w:top w:val="single" w:color="auto" w:sz="4" w:space="0"/>
              <w:left w:val="single" w:color="auto" w:sz="4" w:space="0"/>
              <w:bottom w:val="single" w:color="auto" w:sz="4" w:space="0"/>
              <w:right w:val="single" w:color="auto" w:sz="4" w:space="0"/>
            </w:tcBorders>
            <w:vAlign w:val="center"/>
          </w:tcPr>
          <w:p w14:paraId="2B4A7D60">
            <w:pPr>
              <w:ind w:firstLine="640"/>
              <w:rPr>
                <w:rFonts w:hint="eastAsia" w:ascii="Times New Roman" w:hAnsi="Times New Roman"/>
              </w:rPr>
            </w:pPr>
          </w:p>
        </w:tc>
        <w:tc>
          <w:tcPr>
            <w:tcW w:w="729" w:type="pct"/>
            <w:tcBorders>
              <w:top w:val="single" w:color="auto" w:sz="4" w:space="0"/>
              <w:left w:val="single" w:color="auto" w:sz="4" w:space="0"/>
              <w:bottom w:val="single" w:color="auto" w:sz="4" w:space="0"/>
              <w:right w:val="single" w:color="auto" w:sz="4" w:space="0"/>
            </w:tcBorders>
            <w:vAlign w:val="center"/>
          </w:tcPr>
          <w:p w14:paraId="62E64D1C">
            <w:pPr>
              <w:ind w:firstLine="640"/>
              <w:rPr>
                <w:rFonts w:hint="eastAsia" w:ascii="Times New Roman" w:hAnsi="Times New Roman"/>
              </w:rPr>
            </w:pPr>
          </w:p>
        </w:tc>
      </w:tr>
      <w:tr w14:paraId="1CDB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pct"/>
            <w:tcBorders>
              <w:top w:val="single" w:color="auto" w:sz="4" w:space="0"/>
              <w:left w:val="single" w:color="auto" w:sz="4" w:space="0"/>
              <w:bottom w:val="single" w:color="auto" w:sz="4" w:space="0"/>
              <w:right w:val="single" w:color="auto" w:sz="4" w:space="0"/>
            </w:tcBorders>
            <w:vAlign w:val="center"/>
          </w:tcPr>
          <w:p w14:paraId="74D6D1CA">
            <w:pPr>
              <w:ind w:firstLine="640"/>
              <w:rPr>
                <w:rFonts w:hint="eastAsia" w:ascii="Times New Roman" w:hAnsi="Times New Roman"/>
              </w:rPr>
            </w:pPr>
          </w:p>
        </w:tc>
        <w:tc>
          <w:tcPr>
            <w:tcW w:w="1177" w:type="pct"/>
            <w:tcBorders>
              <w:top w:val="single" w:color="auto" w:sz="4" w:space="0"/>
              <w:left w:val="single" w:color="auto" w:sz="4" w:space="0"/>
              <w:bottom w:val="single" w:color="auto" w:sz="4" w:space="0"/>
              <w:right w:val="single" w:color="auto" w:sz="4" w:space="0"/>
            </w:tcBorders>
            <w:vAlign w:val="center"/>
          </w:tcPr>
          <w:p w14:paraId="43A7130B">
            <w:pPr>
              <w:ind w:firstLine="640"/>
              <w:rPr>
                <w:rFonts w:hint="eastAsia" w:ascii="Times New Roman" w:hAnsi="Times New Roman"/>
              </w:rPr>
            </w:pPr>
          </w:p>
        </w:tc>
        <w:tc>
          <w:tcPr>
            <w:tcW w:w="847" w:type="pct"/>
            <w:tcBorders>
              <w:top w:val="single" w:color="auto" w:sz="4" w:space="0"/>
              <w:left w:val="single" w:color="auto" w:sz="4" w:space="0"/>
              <w:bottom w:val="single" w:color="auto" w:sz="4" w:space="0"/>
              <w:right w:val="single" w:color="auto" w:sz="4" w:space="0"/>
            </w:tcBorders>
            <w:vAlign w:val="center"/>
          </w:tcPr>
          <w:p w14:paraId="601BB1AB">
            <w:pPr>
              <w:ind w:firstLine="640"/>
              <w:rPr>
                <w:rFonts w:hint="eastAsia" w:ascii="Times New Roman" w:hAnsi="Times New Roman"/>
              </w:rPr>
            </w:pPr>
          </w:p>
        </w:tc>
        <w:tc>
          <w:tcPr>
            <w:tcW w:w="770" w:type="pct"/>
            <w:tcBorders>
              <w:top w:val="single" w:color="auto" w:sz="4" w:space="0"/>
              <w:left w:val="single" w:color="auto" w:sz="4" w:space="0"/>
              <w:bottom w:val="single" w:color="auto" w:sz="4" w:space="0"/>
              <w:right w:val="single" w:color="auto" w:sz="4" w:space="0"/>
            </w:tcBorders>
            <w:vAlign w:val="center"/>
          </w:tcPr>
          <w:p w14:paraId="01026C89">
            <w:pPr>
              <w:ind w:firstLine="640"/>
              <w:rPr>
                <w:rFonts w:hint="eastAsia" w:ascii="Times New Roman" w:hAnsi="Times New Roman"/>
              </w:rPr>
            </w:pPr>
          </w:p>
        </w:tc>
        <w:tc>
          <w:tcPr>
            <w:tcW w:w="869" w:type="pct"/>
            <w:tcBorders>
              <w:top w:val="single" w:color="auto" w:sz="4" w:space="0"/>
              <w:left w:val="single" w:color="auto" w:sz="4" w:space="0"/>
              <w:bottom w:val="single" w:color="auto" w:sz="4" w:space="0"/>
              <w:right w:val="single" w:color="auto" w:sz="4" w:space="0"/>
            </w:tcBorders>
            <w:vAlign w:val="center"/>
          </w:tcPr>
          <w:p w14:paraId="414EC552">
            <w:pPr>
              <w:ind w:firstLine="640"/>
              <w:rPr>
                <w:rFonts w:hint="eastAsia" w:ascii="Times New Roman" w:hAnsi="Times New Roman"/>
              </w:rPr>
            </w:pPr>
          </w:p>
        </w:tc>
        <w:tc>
          <w:tcPr>
            <w:tcW w:w="729" w:type="pct"/>
            <w:tcBorders>
              <w:top w:val="single" w:color="auto" w:sz="4" w:space="0"/>
              <w:left w:val="single" w:color="auto" w:sz="4" w:space="0"/>
              <w:bottom w:val="single" w:color="auto" w:sz="4" w:space="0"/>
              <w:right w:val="single" w:color="auto" w:sz="4" w:space="0"/>
            </w:tcBorders>
            <w:vAlign w:val="center"/>
          </w:tcPr>
          <w:p w14:paraId="3E032A63">
            <w:pPr>
              <w:ind w:firstLine="640"/>
              <w:rPr>
                <w:rFonts w:hint="eastAsia" w:ascii="Times New Roman" w:hAnsi="Times New Roman"/>
              </w:rPr>
            </w:pPr>
          </w:p>
        </w:tc>
      </w:tr>
      <w:tr w14:paraId="32EB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pct"/>
            <w:tcBorders>
              <w:top w:val="single" w:color="auto" w:sz="4" w:space="0"/>
              <w:left w:val="single" w:color="auto" w:sz="4" w:space="0"/>
              <w:bottom w:val="single" w:color="auto" w:sz="4" w:space="0"/>
              <w:right w:val="single" w:color="auto" w:sz="4" w:space="0"/>
            </w:tcBorders>
            <w:vAlign w:val="center"/>
          </w:tcPr>
          <w:p w14:paraId="50D36297">
            <w:pPr>
              <w:ind w:firstLine="640"/>
              <w:rPr>
                <w:rFonts w:hint="eastAsia" w:ascii="Times New Roman" w:hAnsi="Times New Roman"/>
              </w:rPr>
            </w:pPr>
          </w:p>
        </w:tc>
        <w:tc>
          <w:tcPr>
            <w:tcW w:w="1177" w:type="pct"/>
            <w:tcBorders>
              <w:top w:val="single" w:color="auto" w:sz="4" w:space="0"/>
              <w:left w:val="single" w:color="auto" w:sz="4" w:space="0"/>
              <w:bottom w:val="single" w:color="auto" w:sz="4" w:space="0"/>
              <w:right w:val="single" w:color="auto" w:sz="4" w:space="0"/>
            </w:tcBorders>
            <w:vAlign w:val="center"/>
          </w:tcPr>
          <w:p w14:paraId="6D4C62C6">
            <w:pPr>
              <w:ind w:firstLine="640"/>
              <w:rPr>
                <w:rFonts w:hint="eastAsia" w:ascii="Times New Roman" w:hAnsi="Times New Roman"/>
              </w:rPr>
            </w:pPr>
          </w:p>
        </w:tc>
        <w:tc>
          <w:tcPr>
            <w:tcW w:w="847" w:type="pct"/>
            <w:tcBorders>
              <w:top w:val="single" w:color="auto" w:sz="4" w:space="0"/>
              <w:left w:val="single" w:color="auto" w:sz="4" w:space="0"/>
              <w:bottom w:val="single" w:color="auto" w:sz="4" w:space="0"/>
              <w:right w:val="single" w:color="auto" w:sz="4" w:space="0"/>
            </w:tcBorders>
            <w:vAlign w:val="center"/>
          </w:tcPr>
          <w:p w14:paraId="375886F5">
            <w:pPr>
              <w:ind w:firstLine="640"/>
              <w:rPr>
                <w:rFonts w:hint="eastAsia" w:ascii="Times New Roman" w:hAnsi="Times New Roman"/>
              </w:rPr>
            </w:pPr>
          </w:p>
        </w:tc>
        <w:tc>
          <w:tcPr>
            <w:tcW w:w="770" w:type="pct"/>
            <w:tcBorders>
              <w:top w:val="single" w:color="auto" w:sz="4" w:space="0"/>
              <w:left w:val="single" w:color="auto" w:sz="4" w:space="0"/>
              <w:bottom w:val="single" w:color="auto" w:sz="4" w:space="0"/>
              <w:right w:val="single" w:color="auto" w:sz="4" w:space="0"/>
            </w:tcBorders>
            <w:vAlign w:val="center"/>
          </w:tcPr>
          <w:p w14:paraId="7F4BC86A">
            <w:pPr>
              <w:ind w:firstLine="640"/>
              <w:rPr>
                <w:rFonts w:hint="eastAsia" w:ascii="Times New Roman" w:hAnsi="Times New Roman"/>
              </w:rPr>
            </w:pPr>
          </w:p>
        </w:tc>
        <w:tc>
          <w:tcPr>
            <w:tcW w:w="869" w:type="pct"/>
            <w:tcBorders>
              <w:top w:val="single" w:color="auto" w:sz="4" w:space="0"/>
              <w:left w:val="single" w:color="auto" w:sz="4" w:space="0"/>
              <w:bottom w:val="single" w:color="auto" w:sz="4" w:space="0"/>
              <w:right w:val="single" w:color="auto" w:sz="4" w:space="0"/>
            </w:tcBorders>
            <w:vAlign w:val="center"/>
          </w:tcPr>
          <w:p w14:paraId="46374AAD">
            <w:pPr>
              <w:ind w:firstLine="640"/>
              <w:rPr>
                <w:rFonts w:hint="eastAsia" w:ascii="Times New Roman" w:hAnsi="Times New Roman"/>
              </w:rPr>
            </w:pPr>
          </w:p>
        </w:tc>
        <w:tc>
          <w:tcPr>
            <w:tcW w:w="729" w:type="pct"/>
            <w:tcBorders>
              <w:top w:val="single" w:color="auto" w:sz="4" w:space="0"/>
              <w:left w:val="single" w:color="auto" w:sz="4" w:space="0"/>
              <w:bottom w:val="single" w:color="auto" w:sz="4" w:space="0"/>
              <w:right w:val="single" w:color="auto" w:sz="4" w:space="0"/>
            </w:tcBorders>
            <w:vAlign w:val="center"/>
          </w:tcPr>
          <w:p w14:paraId="7D07D2FE">
            <w:pPr>
              <w:ind w:firstLine="640"/>
              <w:rPr>
                <w:rFonts w:hint="eastAsia" w:ascii="Times New Roman" w:hAnsi="Times New Roman"/>
              </w:rPr>
            </w:pPr>
          </w:p>
        </w:tc>
      </w:tr>
      <w:tr w14:paraId="0F9A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pct"/>
            <w:tcBorders>
              <w:top w:val="single" w:color="auto" w:sz="4" w:space="0"/>
              <w:left w:val="single" w:color="auto" w:sz="4" w:space="0"/>
              <w:bottom w:val="single" w:color="auto" w:sz="4" w:space="0"/>
              <w:right w:val="single" w:color="auto" w:sz="4" w:space="0"/>
            </w:tcBorders>
            <w:vAlign w:val="center"/>
          </w:tcPr>
          <w:p w14:paraId="3C76C929">
            <w:pPr>
              <w:ind w:firstLine="640"/>
              <w:rPr>
                <w:rFonts w:hint="eastAsia" w:ascii="Times New Roman" w:hAnsi="Times New Roman"/>
              </w:rPr>
            </w:pPr>
          </w:p>
        </w:tc>
        <w:tc>
          <w:tcPr>
            <w:tcW w:w="1177" w:type="pct"/>
            <w:tcBorders>
              <w:top w:val="single" w:color="auto" w:sz="4" w:space="0"/>
              <w:left w:val="single" w:color="auto" w:sz="4" w:space="0"/>
              <w:bottom w:val="single" w:color="auto" w:sz="4" w:space="0"/>
              <w:right w:val="single" w:color="auto" w:sz="4" w:space="0"/>
            </w:tcBorders>
            <w:vAlign w:val="center"/>
          </w:tcPr>
          <w:p w14:paraId="289A1EAB">
            <w:pPr>
              <w:ind w:firstLine="640"/>
              <w:rPr>
                <w:rFonts w:hint="eastAsia" w:ascii="Times New Roman" w:hAnsi="Times New Roman"/>
              </w:rPr>
            </w:pPr>
          </w:p>
        </w:tc>
        <w:tc>
          <w:tcPr>
            <w:tcW w:w="847" w:type="pct"/>
            <w:tcBorders>
              <w:top w:val="single" w:color="auto" w:sz="4" w:space="0"/>
              <w:left w:val="single" w:color="auto" w:sz="4" w:space="0"/>
              <w:bottom w:val="single" w:color="auto" w:sz="4" w:space="0"/>
              <w:right w:val="single" w:color="auto" w:sz="4" w:space="0"/>
            </w:tcBorders>
            <w:vAlign w:val="center"/>
          </w:tcPr>
          <w:p w14:paraId="7F0E57B7">
            <w:pPr>
              <w:ind w:firstLine="640"/>
              <w:rPr>
                <w:rFonts w:hint="eastAsia" w:ascii="Times New Roman" w:hAnsi="Times New Roman"/>
              </w:rPr>
            </w:pPr>
          </w:p>
        </w:tc>
        <w:tc>
          <w:tcPr>
            <w:tcW w:w="770" w:type="pct"/>
            <w:tcBorders>
              <w:top w:val="single" w:color="auto" w:sz="4" w:space="0"/>
              <w:left w:val="single" w:color="auto" w:sz="4" w:space="0"/>
              <w:bottom w:val="single" w:color="auto" w:sz="4" w:space="0"/>
              <w:right w:val="single" w:color="auto" w:sz="4" w:space="0"/>
            </w:tcBorders>
            <w:vAlign w:val="center"/>
          </w:tcPr>
          <w:p w14:paraId="0FA89447">
            <w:pPr>
              <w:ind w:firstLine="640"/>
              <w:rPr>
                <w:rFonts w:hint="eastAsia" w:ascii="Times New Roman" w:hAnsi="Times New Roman"/>
              </w:rPr>
            </w:pPr>
          </w:p>
        </w:tc>
        <w:tc>
          <w:tcPr>
            <w:tcW w:w="869" w:type="pct"/>
            <w:tcBorders>
              <w:top w:val="single" w:color="auto" w:sz="4" w:space="0"/>
              <w:left w:val="single" w:color="auto" w:sz="4" w:space="0"/>
              <w:bottom w:val="single" w:color="auto" w:sz="4" w:space="0"/>
              <w:right w:val="single" w:color="auto" w:sz="4" w:space="0"/>
            </w:tcBorders>
            <w:vAlign w:val="center"/>
          </w:tcPr>
          <w:p w14:paraId="34504928">
            <w:pPr>
              <w:ind w:firstLine="640"/>
              <w:rPr>
                <w:rFonts w:hint="eastAsia" w:ascii="Times New Roman" w:hAnsi="Times New Roman"/>
              </w:rPr>
            </w:pPr>
          </w:p>
        </w:tc>
        <w:tc>
          <w:tcPr>
            <w:tcW w:w="729" w:type="pct"/>
            <w:tcBorders>
              <w:top w:val="single" w:color="auto" w:sz="4" w:space="0"/>
              <w:left w:val="single" w:color="auto" w:sz="4" w:space="0"/>
              <w:bottom w:val="single" w:color="auto" w:sz="4" w:space="0"/>
              <w:right w:val="single" w:color="auto" w:sz="4" w:space="0"/>
            </w:tcBorders>
            <w:vAlign w:val="center"/>
          </w:tcPr>
          <w:p w14:paraId="55FE1710">
            <w:pPr>
              <w:ind w:firstLine="640"/>
              <w:rPr>
                <w:rFonts w:hint="eastAsia" w:ascii="Times New Roman" w:hAnsi="Times New Roman"/>
              </w:rPr>
            </w:pPr>
          </w:p>
        </w:tc>
      </w:tr>
    </w:tbl>
    <w:p w14:paraId="769955DD">
      <w:pPr>
        <w:ind w:firstLine="0" w:firstLineChars="0"/>
        <w:jc w:val="left"/>
        <w:rPr>
          <w:rFonts w:hint="eastAsia" w:ascii="Times New Roman" w:hAnsi="Times New Roman"/>
          <w:u w:val="single"/>
        </w:rPr>
      </w:pPr>
      <w:r>
        <w:rPr>
          <w:rFonts w:hint="eastAsia" w:ascii="Times New Roman" w:hAnsi="Times New Roman"/>
        </w:rPr>
        <w:t>填表人：</w:t>
      </w:r>
      <w:r>
        <w:rPr>
          <w:rFonts w:hint="eastAsia" w:ascii="Times New Roman" w:hAnsi="Times New Roman"/>
          <w:u w:val="single"/>
        </w:rPr>
        <w:t xml:space="preserve">            </w:t>
      </w:r>
      <w:r>
        <w:rPr>
          <w:rFonts w:hint="eastAsia" w:ascii="Times New Roman" w:hAnsi="Times New Roman"/>
        </w:rPr>
        <w:t xml:space="preserve">              审批人：</w:t>
      </w:r>
      <w:r>
        <w:rPr>
          <w:rFonts w:hint="eastAsia" w:ascii="Times New Roman" w:hAnsi="Times New Roman"/>
          <w:u w:val="single"/>
        </w:rPr>
        <w:t xml:space="preserve">            </w:t>
      </w:r>
    </w:p>
    <w:p w14:paraId="2358B5C1">
      <w:pPr>
        <w:ind w:firstLine="640"/>
        <w:rPr>
          <w:rFonts w:ascii="Times New Roman" w:hAnsi="Times New Roman"/>
        </w:rPr>
      </w:pPr>
    </w:p>
    <w:p w14:paraId="4DA0D0A8">
      <w:pPr>
        <w:ind w:firstLine="640"/>
        <w:rPr>
          <w:rFonts w:hint="eastAsia" w:ascii="Times New Roman" w:hAnsi="Times New Roman"/>
        </w:rPr>
        <w:sectPr>
          <w:headerReference r:id="rId12" w:type="default"/>
          <w:footerReference r:id="rId13" w:type="default"/>
          <w:pgSz w:w="11906" w:h="16838"/>
          <w:pgMar w:top="2098" w:right="1531" w:bottom="1984" w:left="1531" w:header="851" w:footer="1417" w:gutter="0"/>
          <w:cols w:space="720" w:num="1"/>
          <w:docGrid w:type="lines" w:linePitch="439" w:charSpace="0"/>
        </w:sectPr>
      </w:pPr>
    </w:p>
    <w:p w14:paraId="633138B8">
      <w:pPr>
        <w:pStyle w:val="3"/>
        <w:ind w:firstLine="640"/>
        <w:jc w:val="left"/>
        <w:rPr>
          <w:rFonts w:ascii="黑体" w:hAnsi="黑体" w:eastAsia="黑体"/>
          <w:b w:val="0"/>
          <w:bCs/>
          <w:sz w:val="32"/>
          <w:szCs w:val="21"/>
        </w:rPr>
      </w:pPr>
      <w:bookmarkStart w:id="9" w:name="_Toc3615"/>
      <w:r>
        <w:rPr>
          <w:rFonts w:hint="eastAsia" w:ascii="黑体" w:hAnsi="黑体" w:eastAsia="黑体"/>
          <w:b w:val="0"/>
          <w:bCs/>
          <w:sz w:val="32"/>
          <w:szCs w:val="21"/>
        </w:rPr>
        <w:t>四</w:t>
      </w:r>
      <w:r>
        <w:rPr>
          <w:rFonts w:ascii="黑体" w:hAnsi="黑体" w:eastAsia="黑体"/>
          <w:b w:val="0"/>
          <w:bCs/>
          <w:sz w:val="32"/>
          <w:szCs w:val="21"/>
        </w:rPr>
        <w:t>、领导带班值班制度</w:t>
      </w:r>
      <w:bookmarkEnd w:id="9"/>
    </w:p>
    <w:p w14:paraId="3FF9CB32">
      <w:pPr>
        <w:ind w:firstLine="640"/>
        <w:rPr>
          <w:rFonts w:ascii="Times New Roman" w:hAnsi="Times New Roman"/>
          <w:color w:val="000000"/>
          <w:szCs w:val="32"/>
        </w:rPr>
      </w:pPr>
      <w:r>
        <w:rPr>
          <w:rFonts w:ascii="Times New Roman" w:hAnsi="Times New Roman"/>
          <w:color w:val="000000"/>
          <w:szCs w:val="32"/>
        </w:rPr>
        <w:t>为进一步加强和规范化青春化工工业园管理办公室值班工作，实现值班工作制度化、标准化、规范化、信息化，同时，提高应急管理水平和突发事件的应急处置成效，根据根据《市人民政府办公室关于印发随州市政府系统值班工作规范（试行）的通知》（随政办发〔2022〕21号）、《突发事件应对法》等文件制定本制度。</w:t>
      </w:r>
    </w:p>
    <w:p w14:paraId="776D5812">
      <w:pPr>
        <w:pStyle w:val="4"/>
        <w:ind w:firstLine="643"/>
      </w:pPr>
      <w:r>
        <w:rPr>
          <w:rFonts w:hint="eastAsia"/>
        </w:rPr>
        <w:t>（一）值班要求</w:t>
      </w:r>
    </w:p>
    <w:p w14:paraId="2ADA2F43">
      <w:pPr>
        <w:ind w:firstLine="640"/>
        <w:rPr>
          <w:rFonts w:hint="eastAsia" w:hAnsi="Times New Roman"/>
          <w:color w:val="000000"/>
          <w:szCs w:val="32"/>
        </w:rPr>
      </w:pPr>
      <w:r>
        <w:rPr>
          <w:rFonts w:hint="eastAsia" w:hAnsi="Times New Roman"/>
          <w:color w:val="000000"/>
          <w:szCs w:val="32"/>
        </w:rPr>
        <w:t>1.应急救援部室统筹安排化工园区办值班工作，建立健全工作机制，细化完善工作流程，明确专门人员，保障必要经费，为值班工作创造条件。</w:t>
      </w:r>
    </w:p>
    <w:p w14:paraId="5115F058">
      <w:pPr>
        <w:ind w:firstLine="643"/>
        <w:rPr>
          <w:rFonts w:hint="eastAsia" w:hAnsi="Times New Roman"/>
          <w:color w:val="000000"/>
          <w:szCs w:val="32"/>
        </w:rPr>
      </w:pPr>
      <w:r>
        <w:rPr>
          <w:rFonts w:hint="eastAsia" w:hAnsi="Times New Roman"/>
          <w:b/>
          <w:bCs/>
          <w:color w:val="000000"/>
          <w:szCs w:val="32"/>
        </w:rPr>
        <w:t>2.</w:t>
      </w:r>
      <w:r>
        <w:rPr>
          <w:rFonts w:hint="eastAsia" w:hAnsi="Times New Roman"/>
          <w:color w:val="000000"/>
          <w:szCs w:val="32"/>
        </w:rPr>
        <w:t>落实三级带班值班要求。主要负责同志在属地值守，保持联络畅通。当天带班领导8：00-20：00在岗带班。值班员必须24小时在岗值班。</w:t>
      </w:r>
    </w:p>
    <w:p w14:paraId="31D85155">
      <w:pPr>
        <w:ind w:firstLine="640"/>
        <w:rPr>
          <w:rFonts w:hint="eastAsia" w:hAnsi="Times New Roman"/>
          <w:color w:val="000000"/>
          <w:szCs w:val="32"/>
        </w:rPr>
      </w:pPr>
      <w:r>
        <w:rPr>
          <w:rFonts w:hint="eastAsia" w:hAnsi="Times New Roman"/>
          <w:color w:val="000000"/>
          <w:szCs w:val="32"/>
        </w:rPr>
        <w:t>3.如遇重特大突发事件、特殊敏感时期等，实行双人24小时在岗值班。</w:t>
      </w:r>
    </w:p>
    <w:p w14:paraId="49AE5812">
      <w:pPr>
        <w:ind w:firstLine="640"/>
        <w:rPr>
          <w:rFonts w:hint="eastAsia" w:hAnsi="Times New Roman"/>
          <w:color w:val="000000"/>
          <w:szCs w:val="32"/>
        </w:rPr>
      </w:pPr>
      <w:r>
        <w:rPr>
          <w:rFonts w:hint="eastAsia" w:hAnsi="Times New Roman"/>
          <w:color w:val="000000"/>
          <w:szCs w:val="32"/>
        </w:rPr>
        <w:t>4.带班、值班人员遇临时紧急任务无法承担带班、值班工作的，应及时按程序请示后调班，严禁擅离职守或在未做好工作衔接的情况下换岗。</w:t>
      </w:r>
    </w:p>
    <w:p w14:paraId="4E07F4BF">
      <w:pPr>
        <w:pStyle w:val="4"/>
        <w:ind w:firstLine="643"/>
        <w:rPr>
          <w:rFonts w:hint="eastAsia"/>
        </w:rPr>
      </w:pPr>
      <w:r>
        <w:rPr>
          <w:rFonts w:hint="eastAsia"/>
        </w:rPr>
        <w:t>（二）带班领导及职责</w:t>
      </w:r>
    </w:p>
    <w:p w14:paraId="10B5912A">
      <w:pPr>
        <w:ind w:firstLine="640"/>
        <w:rPr>
          <w:rFonts w:ascii="Times New Roman" w:hAnsi="Times New Roman"/>
          <w:color w:val="000000"/>
          <w:szCs w:val="32"/>
        </w:rPr>
      </w:pPr>
      <w:r>
        <w:rPr>
          <w:rFonts w:hint="eastAsia" w:ascii="Times New Roman" w:hAnsi="Times New Roman"/>
          <w:color w:val="000000"/>
          <w:szCs w:val="32"/>
        </w:rPr>
        <w:t>带班领导</w:t>
      </w:r>
      <w:r>
        <w:rPr>
          <w:rFonts w:ascii="Times New Roman" w:hAnsi="Times New Roman"/>
          <w:color w:val="000000"/>
          <w:szCs w:val="32"/>
        </w:rPr>
        <w:t>为园区办副主任及安全生产部室、环境保护部室、应急救援部室负责人，对带班期间值班工作负领导责任，主要职责包括：</w:t>
      </w:r>
    </w:p>
    <w:p w14:paraId="3C66DE6B">
      <w:pPr>
        <w:ind w:firstLine="640"/>
        <w:rPr>
          <w:rFonts w:hint="eastAsia" w:hAnsi="Times New Roman"/>
          <w:color w:val="000000"/>
          <w:szCs w:val="32"/>
        </w:rPr>
      </w:pPr>
      <w:r>
        <w:rPr>
          <w:rFonts w:hint="eastAsia" w:hAnsi="Times New Roman"/>
          <w:color w:val="000000"/>
          <w:szCs w:val="32"/>
        </w:rPr>
        <w:t>1.关注带班期间社会动态和重要敏感信息，了解化工园区重大工作进展情况；</w:t>
      </w:r>
    </w:p>
    <w:p w14:paraId="12E13988">
      <w:pPr>
        <w:ind w:firstLine="640"/>
        <w:rPr>
          <w:rFonts w:hint="eastAsia" w:hAnsi="Times New Roman"/>
          <w:color w:val="000000"/>
          <w:szCs w:val="32"/>
        </w:rPr>
      </w:pPr>
      <w:r>
        <w:rPr>
          <w:rFonts w:hint="eastAsia" w:hAnsi="Times New Roman"/>
          <w:color w:val="000000"/>
          <w:szCs w:val="32"/>
        </w:rPr>
        <w:t>2.负责审核值班信息，接受值班员有关情况报告或请示，指导值班员开展值班工作；</w:t>
      </w:r>
    </w:p>
    <w:p w14:paraId="240FA734">
      <w:pPr>
        <w:ind w:firstLine="640"/>
        <w:rPr>
          <w:rFonts w:hint="eastAsia" w:hAnsi="Times New Roman"/>
          <w:color w:val="000000"/>
          <w:szCs w:val="32"/>
        </w:rPr>
      </w:pPr>
      <w:r>
        <w:rPr>
          <w:rFonts w:hint="eastAsia" w:hAnsi="Times New Roman"/>
          <w:color w:val="000000"/>
          <w:szCs w:val="32"/>
        </w:rPr>
        <w:t>3.接受上级值班调度和检查，准确报告有关情况；</w:t>
      </w:r>
    </w:p>
    <w:p w14:paraId="42D04EDC">
      <w:pPr>
        <w:ind w:firstLine="640"/>
        <w:rPr>
          <w:rFonts w:hint="eastAsia" w:hAnsi="Times New Roman"/>
          <w:color w:val="000000"/>
          <w:szCs w:val="32"/>
        </w:rPr>
      </w:pPr>
      <w:r>
        <w:rPr>
          <w:rFonts w:hint="eastAsia" w:hAnsi="Times New Roman"/>
          <w:color w:val="000000"/>
          <w:szCs w:val="32"/>
        </w:rPr>
        <w:t>4.组织检查督导本单位值班工作；</w:t>
      </w:r>
    </w:p>
    <w:p w14:paraId="74049709">
      <w:pPr>
        <w:ind w:firstLine="640"/>
        <w:rPr>
          <w:rFonts w:ascii="Times New Roman" w:hAnsi="Times New Roman"/>
          <w:color w:val="000000"/>
          <w:szCs w:val="32"/>
        </w:rPr>
      </w:pPr>
      <w:r>
        <w:rPr>
          <w:rFonts w:hint="eastAsia" w:hAnsi="Times New Roman"/>
          <w:color w:val="000000"/>
          <w:szCs w:val="32"/>
        </w:rPr>
        <w:t>5.完成上</w:t>
      </w:r>
      <w:r>
        <w:rPr>
          <w:rFonts w:ascii="Times New Roman" w:hAnsi="Times New Roman"/>
          <w:color w:val="000000"/>
          <w:szCs w:val="32"/>
        </w:rPr>
        <w:t>级领导机关和领导交办的其他任务。</w:t>
      </w:r>
    </w:p>
    <w:p w14:paraId="1100B463">
      <w:pPr>
        <w:pStyle w:val="4"/>
        <w:ind w:firstLine="643"/>
      </w:pPr>
      <w:r>
        <w:rPr>
          <w:rFonts w:hint="eastAsia"/>
        </w:rPr>
        <w:t>（三）</w:t>
      </w:r>
      <w:r>
        <w:t>值班员</w:t>
      </w:r>
      <w:r>
        <w:rPr>
          <w:rFonts w:hint="eastAsia"/>
        </w:rPr>
        <w:t>及职责</w:t>
      </w:r>
    </w:p>
    <w:p w14:paraId="709DD0A6">
      <w:pPr>
        <w:ind w:firstLine="640"/>
        <w:rPr>
          <w:rFonts w:ascii="Times New Roman" w:hAnsi="Times New Roman"/>
          <w:color w:val="000000"/>
          <w:szCs w:val="32"/>
        </w:rPr>
      </w:pPr>
      <w:r>
        <w:rPr>
          <w:rFonts w:hint="eastAsia" w:ascii="Times New Roman" w:hAnsi="Times New Roman"/>
          <w:color w:val="000000"/>
          <w:szCs w:val="32"/>
        </w:rPr>
        <w:t>值班员包括</w:t>
      </w:r>
      <w:r>
        <w:rPr>
          <w:rFonts w:ascii="Times New Roman" w:hAnsi="Times New Roman"/>
          <w:color w:val="000000"/>
          <w:szCs w:val="32"/>
        </w:rPr>
        <w:t>安全生产部室、环境保护部室、应急救援部室工作人员，对当日值班工作负直接责任，主要职责包括：</w:t>
      </w:r>
    </w:p>
    <w:p w14:paraId="6A118A8C">
      <w:pPr>
        <w:ind w:firstLine="640"/>
        <w:rPr>
          <w:rFonts w:hint="eastAsia" w:hAnsi="Times New Roman"/>
          <w:color w:val="000000"/>
          <w:szCs w:val="32"/>
        </w:rPr>
      </w:pPr>
      <w:r>
        <w:rPr>
          <w:rFonts w:hint="eastAsia" w:hAnsi="Times New Roman"/>
          <w:color w:val="000000"/>
          <w:szCs w:val="32"/>
        </w:rPr>
        <w:t>1.熟知岗位职责，熟悉常用电话号码、相关值班工作规定和重要紧急情况报送要求，熟练操作值班设施设备；</w:t>
      </w:r>
    </w:p>
    <w:p w14:paraId="037FD1FB">
      <w:pPr>
        <w:ind w:firstLine="640"/>
        <w:rPr>
          <w:rFonts w:hint="eastAsia" w:hAnsi="Times New Roman"/>
          <w:color w:val="000000"/>
          <w:szCs w:val="32"/>
        </w:rPr>
      </w:pPr>
      <w:r>
        <w:rPr>
          <w:rFonts w:hint="eastAsia" w:hAnsi="Times New Roman"/>
          <w:color w:val="000000"/>
          <w:szCs w:val="32"/>
        </w:rPr>
        <w:t>2.认真做好交接班工作，值班期间在岗履职尽责；</w:t>
      </w:r>
    </w:p>
    <w:p w14:paraId="44C71CBC">
      <w:pPr>
        <w:ind w:firstLine="640"/>
        <w:rPr>
          <w:rFonts w:hint="eastAsia" w:hAnsi="Times New Roman"/>
          <w:color w:val="000000"/>
          <w:szCs w:val="32"/>
        </w:rPr>
      </w:pPr>
      <w:r>
        <w:rPr>
          <w:rFonts w:hint="eastAsia" w:hAnsi="Times New Roman"/>
          <w:color w:val="000000"/>
          <w:szCs w:val="32"/>
        </w:rPr>
        <w:t>3.及时接听值班电话、处理来文、收集汇总所获信息并科学研判，及时向带班领导和上级值班室报告，根据要求妥善处置；</w:t>
      </w:r>
    </w:p>
    <w:p w14:paraId="2774D98B">
      <w:pPr>
        <w:ind w:firstLine="640"/>
        <w:rPr>
          <w:rFonts w:hint="eastAsia" w:hAnsi="Times New Roman"/>
          <w:color w:val="000000"/>
          <w:szCs w:val="32"/>
        </w:rPr>
      </w:pPr>
      <w:r>
        <w:rPr>
          <w:rFonts w:hint="eastAsia" w:hAnsi="Times New Roman"/>
          <w:color w:val="000000"/>
          <w:szCs w:val="32"/>
        </w:rPr>
        <w:t>4.迅速传达领导批示，及时督促并反馈领导批示和交办事项的落实情况；</w:t>
      </w:r>
    </w:p>
    <w:p w14:paraId="3B9EE977">
      <w:pPr>
        <w:ind w:firstLine="640"/>
        <w:rPr>
          <w:rFonts w:hint="eastAsia" w:hAnsi="Times New Roman"/>
          <w:color w:val="000000"/>
          <w:szCs w:val="32"/>
        </w:rPr>
      </w:pPr>
      <w:r>
        <w:rPr>
          <w:rFonts w:hint="eastAsia" w:hAnsi="Times New Roman"/>
          <w:color w:val="000000"/>
          <w:szCs w:val="32"/>
        </w:rPr>
        <w:t>5.搜集值班期间社会动态和重要敏感信息，准确掌握本单位本系统重要工作进展情况；</w:t>
      </w:r>
    </w:p>
    <w:p w14:paraId="4DA6D7CE">
      <w:pPr>
        <w:ind w:firstLine="640"/>
        <w:rPr>
          <w:rFonts w:hint="eastAsia" w:hAnsi="Times New Roman"/>
          <w:color w:val="000000"/>
          <w:szCs w:val="32"/>
        </w:rPr>
      </w:pPr>
      <w:r>
        <w:rPr>
          <w:rFonts w:hint="eastAsia" w:hAnsi="Times New Roman"/>
          <w:color w:val="000000"/>
          <w:szCs w:val="32"/>
        </w:rPr>
        <w:t>6.接受上级值班调度和检查，主动报告当班情况并积极完成上级交办的任务，及时将受检情况向带班领导报告；</w:t>
      </w:r>
    </w:p>
    <w:p w14:paraId="3AF2FDA3">
      <w:pPr>
        <w:ind w:firstLine="640"/>
        <w:rPr>
          <w:rFonts w:hint="eastAsia" w:hAnsi="Times New Roman"/>
          <w:color w:val="000000"/>
          <w:szCs w:val="32"/>
        </w:rPr>
      </w:pPr>
      <w:r>
        <w:rPr>
          <w:rFonts w:hint="eastAsia" w:hAnsi="Times New Roman"/>
          <w:color w:val="000000"/>
          <w:szCs w:val="32"/>
        </w:rPr>
        <w:t>7.认真完整填写值班日志，做好值班相关资料的收集、整理、归类和存档；</w:t>
      </w:r>
    </w:p>
    <w:p w14:paraId="0975C47A">
      <w:pPr>
        <w:ind w:firstLine="640"/>
        <w:rPr>
          <w:rFonts w:hint="eastAsia" w:hAnsi="Times New Roman"/>
          <w:color w:val="000000"/>
          <w:szCs w:val="32"/>
        </w:rPr>
      </w:pPr>
      <w:r>
        <w:rPr>
          <w:rFonts w:hint="eastAsia" w:hAnsi="Times New Roman"/>
          <w:color w:val="000000"/>
          <w:szCs w:val="32"/>
        </w:rPr>
        <w:t>9.完成上级领导机关和领导交办的其他任务。</w:t>
      </w:r>
    </w:p>
    <w:p w14:paraId="6566F570">
      <w:pPr>
        <w:pStyle w:val="4"/>
        <w:ind w:firstLine="643"/>
        <w:rPr>
          <w:rFonts w:hint="eastAsia"/>
        </w:rPr>
      </w:pPr>
      <w:r>
        <w:rPr>
          <w:rFonts w:hint="eastAsia"/>
        </w:rPr>
        <w:t>（四）</w:t>
      </w:r>
      <w:r>
        <w:t>值班记录</w:t>
      </w:r>
    </w:p>
    <w:p w14:paraId="04373DE5">
      <w:pPr>
        <w:ind w:firstLine="640"/>
        <w:rPr>
          <w:rFonts w:ascii="Times New Roman" w:hAnsi="Times New Roman"/>
          <w:color w:val="000000"/>
          <w:szCs w:val="32"/>
        </w:rPr>
      </w:pPr>
      <w:r>
        <w:rPr>
          <w:rFonts w:ascii="Times New Roman" w:hAnsi="Times New Roman"/>
          <w:color w:val="000000"/>
          <w:szCs w:val="32"/>
        </w:rPr>
        <w:t>全面准确记录值班期间重要事项和处理情况，按时间顺序完整填写值班日志，记录内容应客观真实、要素齐全、详略得当，记录时间具体到分钟。内容主要包括：值班时间、带班领导、值班员、值班情况（来文来电办理、重要紧急情况处置以及其他需要记载的事项等）等。</w:t>
      </w:r>
    </w:p>
    <w:p w14:paraId="1019FC19">
      <w:pPr>
        <w:pStyle w:val="4"/>
        <w:ind w:firstLine="643"/>
        <w:rPr>
          <w:rFonts w:hint="eastAsia"/>
        </w:rPr>
      </w:pPr>
      <w:r>
        <w:rPr>
          <w:rFonts w:hint="eastAsia"/>
        </w:rPr>
        <w:t>（五）</w:t>
      </w:r>
      <w:r>
        <w:t>信息报告</w:t>
      </w:r>
    </w:p>
    <w:p w14:paraId="0B46BF22">
      <w:pPr>
        <w:ind w:firstLine="640"/>
        <w:rPr>
          <w:rFonts w:hint="eastAsia" w:hAnsi="Times New Roman"/>
          <w:color w:val="000000"/>
          <w:szCs w:val="32"/>
        </w:rPr>
      </w:pPr>
      <w:r>
        <w:rPr>
          <w:rFonts w:hint="eastAsia" w:hAnsi="Times New Roman"/>
          <w:color w:val="000000"/>
          <w:szCs w:val="32"/>
        </w:rPr>
        <w:t>1.牢固树立首报意识，不断拓宽信息获取渠道，创新信息报送方式，切实提升信息报告质效。</w:t>
      </w:r>
    </w:p>
    <w:p w14:paraId="155659BE">
      <w:pPr>
        <w:ind w:firstLine="640"/>
        <w:rPr>
          <w:rFonts w:hint="eastAsia" w:hAnsi="Times New Roman"/>
          <w:color w:val="000000"/>
          <w:szCs w:val="32"/>
        </w:rPr>
      </w:pPr>
      <w:r>
        <w:rPr>
          <w:rFonts w:hint="eastAsia" w:hAnsi="Times New Roman"/>
          <w:color w:val="000000"/>
          <w:szCs w:val="32"/>
        </w:rPr>
        <w:t>2.值班员应认真受理值班电话，接打电话做到态度热情、语言规范、表述精准，重要来电要详细做好电话记录并及时办理。</w:t>
      </w:r>
    </w:p>
    <w:p w14:paraId="36EAA1A6">
      <w:pPr>
        <w:ind w:firstLine="640"/>
        <w:rPr>
          <w:rFonts w:hint="eastAsia" w:hAnsi="Times New Roman"/>
          <w:color w:val="000000"/>
          <w:szCs w:val="32"/>
        </w:rPr>
      </w:pPr>
      <w:r>
        <w:rPr>
          <w:rFonts w:hint="eastAsia" w:hAnsi="Times New Roman"/>
          <w:color w:val="000000"/>
          <w:szCs w:val="32"/>
        </w:rPr>
        <w:t>3.值班电话响铃3声之内接听，严禁呼叫转移、设置彩铃或用于处理与值班工作无关的事务。</w:t>
      </w:r>
    </w:p>
    <w:p w14:paraId="3D4BAB45">
      <w:pPr>
        <w:ind w:firstLine="640"/>
        <w:rPr>
          <w:rFonts w:hint="eastAsia" w:hAnsi="Times New Roman"/>
          <w:color w:val="000000"/>
          <w:szCs w:val="32"/>
        </w:rPr>
      </w:pPr>
      <w:r>
        <w:rPr>
          <w:rFonts w:hint="eastAsia" w:hAnsi="Times New Roman"/>
          <w:color w:val="000000"/>
          <w:szCs w:val="32"/>
        </w:rPr>
        <w:t>4.接报重要紧急情况后，要按照“快报事实、慎报原因”的原则，立即向上级报告，不得迟报、谎报、瞒报、漏报。重大突发事件信息应在事发后45分钟内报告高新区党工委、管委会值班人员，特别重大的突发事件，应在事发后第一时间报告。涉密信息报送按照保密规定执行。</w:t>
      </w:r>
    </w:p>
    <w:p w14:paraId="1934EB21">
      <w:pPr>
        <w:pStyle w:val="4"/>
        <w:ind w:firstLine="643"/>
        <w:rPr>
          <w:rFonts w:hint="eastAsia"/>
        </w:rPr>
      </w:pPr>
      <w:r>
        <w:rPr>
          <w:rFonts w:hint="eastAsia"/>
        </w:rPr>
        <w:t>（六）</w:t>
      </w:r>
      <w:r>
        <w:t>突发事件处置现场调度</w:t>
      </w:r>
    </w:p>
    <w:p w14:paraId="04CEBDF5">
      <w:pPr>
        <w:ind w:firstLine="640"/>
        <w:rPr>
          <w:rFonts w:ascii="Times New Roman" w:hAnsi="Times New Roman"/>
          <w:color w:val="000000"/>
          <w:szCs w:val="32"/>
        </w:rPr>
      </w:pPr>
      <w:r>
        <w:rPr>
          <w:rFonts w:ascii="Times New Roman" w:hAnsi="Times New Roman"/>
          <w:color w:val="000000"/>
          <w:szCs w:val="32"/>
        </w:rPr>
        <w:t>遇有较大及以上突发事件或重要紧急情况，要迅速启动直达一线的调度核实机制，与现场保持密切沟通联络，随时掌握、及时报告现场情况。第一时间指定一名在事发现场指挥处置的负责同志为联络员，接受上级值班室信息调度，及时接听电话，如实全面报告情况。</w:t>
      </w:r>
    </w:p>
    <w:p w14:paraId="14D9E9EF">
      <w:pPr>
        <w:pStyle w:val="4"/>
        <w:ind w:firstLine="643"/>
        <w:rPr>
          <w:rFonts w:hint="eastAsia"/>
        </w:rPr>
      </w:pPr>
      <w:r>
        <w:rPr>
          <w:rFonts w:hint="eastAsia"/>
        </w:rPr>
        <w:t>（七）</w:t>
      </w:r>
      <w:r>
        <w:t>交接班</w:t>
      </w:r>
    </w:p>
    <w:p w14:paraId="6D3E264E">
      <w:pPr>
        <w:ind w:firstLine="640"/>
        <w:rPr>
          <w:rFonts w:ascii="Times New Roman" w:hAnsi="Times New Roman"/>
          <w:color w:val="000000"/>
          <w:szCs w:val="32"/>
        </w:rPr>
      </w:pPr>
      <w:r>
        <w:rPr>
          <w:rFonts w:ascii="Times New Roman" w:hAnsi="Times New Roman"/>
          <w:color w:val="000000"/>
          <w:szCs w:val="32"/>
        </w:rPr>
        <w:t>交接班应在值班场所进行，交办人员要交清当班重要事项，移交需继续办理事项。接班人员要迅速掌握值班情况，接续办理未完成事项。</w:t>
      </w:r>
    </w:p>
    <w:p w14:paraId="306EC5A5">
      <w:pPr>
        <w:pStyle w:val="4"/>
        <w:ind w:firstLine="643"/>
        <w:rPr>
          <w:rFonts w:hint="eastAsia"/>
        </w:rPr>
      </w:pPr>
      <w:r>
        <w:rPr>
          <w:rFonts w:hint="eastAsia"/>
          <w:bCs/>
        </w:rPr>
        <w:t>（八）</w:t>
      </w:r>
      <w:r>
        <w:t>节假日值班报备</w:t>
      </w:r>
    </w:p>
    <w:p w14:paraId="25FBEEDA">
      <w:pPr>
        <w:ind w:firstLine="640"/>
        <w:rPr>
          <w:rFonts w:ascii="Times New Roman" w:hAnsi="Times New Roman"/>
          <w:color w:val="000000"/>
          <w:szCs w:val="32"/>
        </w:rPr>
      </w:pPr>
      <w:r>
        <w:rPr>
          <w:rFonts w:ascii="Times New Roman" w:hAnsi="Times New Roman"/>
          <w:color w:val="000000"/>
          <w:szCs w:val="32"/>
        </w:rPr>
        <w:t>提前3个工作日报上级值班室备案。确因特殊情况临时调整带班、值班人员的，应及时补充报告。</w:t>
      </w:r>
    </w:p>
    <w:p w14:paraId="4F29D3CE">
      <w:pPr>
        <w:pStyle w:val="4"/>
        <w:ind w:firstLine="643"/>
        <w:rPr>
          <w:rFonts w:hint="eastAsia"/>
        </w:rPr>
      </w:pPr>
      <w:r>
        <w:rPr>
          <w:rFonts w:hint="eastAsia"/>
          <w:bCs/>
        </w:rPr>
        <w:t>（九）</w:t>
      </w:r>
      <w:r>
        <w:t>保密要求</w:t>
      </w:r>
    </w:p>
    <w:p w14:paraId="203ABC46">
      <w:pPr>
        <w:ind w:firstLine="640"/>
        <w:rPr>
          <w:rFonts w:ascii="Times New Roman" w:hAnsi="Times New Roman"/>
          <w:color w:val="000000"/>
          <w:szCs w:val="32"/>
        </w:rPr>
      </w:pPr>
      <w:r>
        <w:rPr>
          <w:rFonts w:ascii="Times New Roman" w:hAnsi="Times New Roman"/>
          <w:color w:val="000000"/>
          <w:szCs w:val="32"/>
        </w:rPr>
        <w:t>严格执行保密规定，严禁向无关人员透露涉密信息和工作秘密，严禁使用非保密设备处理涉密事项，严禁通过互联网传递涉密信息，严禁未经批准将涉密文件、信息、设备等带出值班场所。未经允许，不得让无关人员进入值班场所或使用值班设施、设备。</w:t>
      </w:r>
    </w:p>
    <w:p w14:paraId="40D0E903">
      <w:pPr>
        <w:pStyle w:val="4"/>
        <w:ind w:firstLine="643"/>
        <w:rPr>
          <w:rFonts w:hint="eastAsia"/>
        </w:rPr>
      </w:pPr>
      <w:r>
        <w:rPr>
          <w:rFonts w:hint="eastAsia"/>
          <w:bCs/>
        </w:rPr>
        <w:t>（十）</w:t>
      </w:r>
      <w:r>
        <w:t>生活保障</w:t>
      </w:r>
    </w:p>
    <w:p w14:paraId="0B924692">
      <w:pPr>
        <w:ind w:firstLine="640"/>
        <w:rPr>
          <w:rFonts w:ascii="Times New Roman" w:hAnsi="Times New Roman"/>
          <w:color w:val="000000"/>
          <w:szCs w:val="32"/>
        </w:rPr>
      </w:pPr>
      <w:r>
        <w:rPr>
          <w:rFonts w:ascii="Times New Roman" w:hAnsi="Times New Roman"/>
          <w:color w:val="000000"/>
          <w:szCs w:val="32"/>
        </w:rPr>
        <w:t>解决好值班期间休息、就餐等实际困难，配备必要的值班食品。</w:t>
      </w:r>
    </w:p>
    <w:p w14:paraId="29A0AB69">
      <w:pPr>
        <w:pStyle w:val="4"/>
        <w:ind w:firstLine="643"/>
        <w:rPr>
          <w:rFonts w:hint="eastAsia"/>
        </w:rPr>
      </w:pPr>
      <w:r>
        <w:rPr>
          <w:rFonts w:hint="eastAsia"/>
          <w:bCs/>
        </w:rPr>
        <w:t>（十一）</w:t>
      </w:r>
      <w:r>
        <w:t>值班场所</w:t>
      </w:r>
    </w:p>
    <w:p w14:paraId="0BCD351D">
      <w:pPr>
        <w:ind w:firstLine="640"/>
        <w:rPr>
          <w:rFonts w:ascii="Times New Roman" w:hAnsi="Times New Roman"/>
          <w:color w:val="000000"/>
          <w:szCs w:val="32"/>
        </w:rPr>
      </w:pPr>
      <w:r>
        <w:rPr>
          <w:rFonts w:ascii="Times New Roman" w:hAnsi="Times New Roman"/>
          <w:color w:val="000000"/>
          <w:szCs w:val="32"/>
        </w:rPr>
        <w:t>化工园</w:t>
      </w:r>
      <w:r>
        <w:rPr>
          <w:rFonts w:hint="eastAsia" w:ascii="Times New Roman" w:hAnsi="Times New Roman"/>
          <w:color w:val="000000"/>
          <w:szCs w:val="32"/>
        </w:rPr>
        <w:t>区</w:t>
      </w:r>
      <w:r>
        <w:rPr>
          <w:rFonts w:ascii="Times New Roman" w:hAnsi="Times New Roman"/>
          <w:color w:val="000000"/>
          <w:szCs w:val="32"/>
        </w:rPr>
        <w:t>值班场所设置在综合指挥中心611办公室，值班电话：0722-4518103。</w:t>
      </w:r>
    </w:p>
    <w:p w14:paraId="022FFF28">
      <w:pPr>
        <w:ind w:firstLine="198" w:firstLineChars="62"/>
        <w:rPr>
          <w:rFonts w:hint="eastAsia" w:ascii="Times New Roman" w:hAnsi="Times New Roman"/>
        </w:rPr>
      </w:pPr>
    </w:p>
    <w:p w14:paraId="4B5E0906">
      <w:pPr>
        <w:ind w:firstLine="640"/>
        <w:rPr>
          <w:rFonts w:ascii="Times New Roman" w:hAnsi="Times New Roman"/>
        </w:rPr>
      </w:pPr>
    </w:p>
    <w:p w14:paraId="457AC2D3">
      <w:pPr>
        <w:ind w:firstLine="640"/>
        <w:rPr>
          <w:rFonts w:ascii="Times New Roman" w:hAnsi="Times New Roman"/>
        </w:rPr>
        <w:sectPr>
          <w:pgSz w:w="11906" w:h="16838"/>
          <w:pgMar w:top="2098" w:right="1531" w:bottom="1984" w:left="1531" w:header="851" w:footer="1417" w:gutter="0"/>
          <w:cols w:space="720" w:num="1"/>
          <w:docGrid w:type="lines" w:linePitch="439" w:charSpace="0"/>
        </w:sectPr>
      </w:pPr>
    </w:p>
    <w:p w14:paraId="18155618">
      <w:pPr>
        <w:pStyle w:val="2"/>
        <w:spacing w:before="0" w:after="0" w:line="600" w:lineRule="exact"/>
        <w:rPr>
          <w:rFonts w:ascii="Times New Roman" w:hAnsi="Times New Roman"/>
        </w:rPr>
      </w:pPr>
      <w:bookmarkStart w:id="10" w:name="_Toc23896"/>
      <w:r>
        <w:rPr>
          <w:rFonts w:ascii="Times New Roman" w:hAnsi="Times New Roman"/>
        </w:rPr>
        <w:t xml:space="preserve">第二章 </w:t>
      </w:r>
      <w:r>
        <w:rPr>
          <w:rFonts w:hint="eastAsia" w:ascii="Times New Roman" w:hAnsi="Times New Roman"/>
        </w:rPr>
        <w:t xml:space="preserve"> </w:t>
      </w:r>
      <w:r>
        <w:rPr>
          <w:rFonts w:ascii="Times New Roman" w:hAnsi="Times New Roman"/>
        </w:rPr>
        <w:t>安全规划及布局</w:t>
      </w:r>
      <w:bookmarkEnd w:id="10"/>
    </w:p>
    <w:p w14:paraId="460C5D9A">
      <w:pPr>
        <w:ind w:firstLine="640"/>
        <w:rPr>
          <w:rFonts w:hint="eastAsia"/>
        </w:rPr>
      </w:pPr>
    </w:p>
    <w:p w14:paraId="737D3D64">
      <w:pPr>
        <w:pStyle w:val="3"/>
        <w:spacing w:line="600" w:lineRule="exact"/>
        <w:ind w:firstLine="640"/>
        <w:jc w:val="left"/>
        <w:rPr>
          <w:rFonts w:ascii="黑体" w:hAnsi="黑体" w:eastAsia="黑体"/>
          <w:b w:val="0"/>
          <w:bCs/>
          <w:sz w:val="32"/>
          <w:szCs w:val="21"/>
        </w:rPr>
      </w:pPr>
      <w:bookmarkStart w:id="11" w:name="_Toc14286"/>
      <w:r>
        <w:rPr>
          <w:rFonts w:hint="eastAsia" w:ascii="黑体" w:hAnsi="黑体" w:eastAsia="黑体"/>
          <w:b w:val="0"/>
          <w:bCs/>
          <w:sz w:val="32"/>
          <w:szCs w:val="21"/>
        </w:rPr>
        <w:t>五</w:t>
      </w:r>
      <w:r>
        <w:rPr>
          <w:rFonts w:ascii="黑体" w:hAnsi="黑体" w:eastAsia="黑体"/>
          <w:b w:val="0"/>
          <w:bCs/>
          <w:sz w:val="32"/>
          <w:szCs w:val="21"/>
        </w:rPr>
        <w:t>、设立和选址要求</w:t>
      </w:r>
      <w:bookmarkEnd w:id="11"/>
    </w:p>
    <w:p w14:paraId="77BA563C">
      <w:pPr>
        <w:ind w:firstLine="640"/>
        <w:rPr>
          <w:rFonts w:ascii="Times New Roman" w:hAnsi="Times New Roman"/>
        </w:rPr>
      </w:pPr>
      <w:r>
        <w:rPr>
          <w:rFonts w:ascii="Times New Roman" w:hAnsi="Times New Roman"/>
        </w:rPr>
        <w:t>化工园区应符合国家、区域、省和随州市产业布局规划要求，符合随州市“三区三线”划定方案，符合随州市国土空间规划的专门用于危险化学品生产、储存的区域。“四至”范围明确，与省政府认定的范围一致。“四至”范围发生变动的，应及时修订相关规划。</w:t>
      </w:r>
    </w:p>
    <w:p w14:paraId="75E9625B">
      <w:pPr>
        <w:pStyle w:val="4"/>
        <w:ind w:firstLine="643"/>
      </w:pPr>
      <w:r>
        <w:t>（</w:t>
      </w:r>
      <w:r>
        <w:rPr>
          <w:rFonts w:hint="eastAsia"/>
        </w:rPr>
        <w:t>一</w:t>
      </w:r>
      <w:r>
        <w:t>）通用要求</w:t>
      </w:r>
    </w:p>
    <w:p w14:paraId="133E478C">
      <w:pPr>
        <w:ind w:firstLine="640"/>
        <w:rPr>
          <w:rFonts w:hint="eastAsia" w:hAnsi="Times New Roman"/>
        </w:rPr>
      </w:pPr>
      <w:r>
        <w:rPr>
          <w:rFonts w:hint="eastAsia" w:hAnsi="Times New Roman"/>
        </w:rPr>
        <w:t>1.园区选址应技术可行，社会效益、经济效益和环境效益良好。当有多个园址可供选择时，应经过经济、技术论证比较后择优确定。</w:t>
      </w:r>
    </w:p>
    <w:p w14:paraId="0E221882">
      <w:pPr>
        <w:ind w:firstLine="640"/>
        <w:rPr>
          <w:rFonts w:hint="eastAsia" w:hAnsi="Times New Roman"/>
        </w:rPr>
      </w:pPr>
      <w:r>
        <w:rPr>
          <w:rFonts w:hint="eastAsia" w:hAnsi="Times New Roman"/>
        </w:rPr>
        <w:t>2.用地规模应根据园区产业定位和发展战略的要求确定，并应与产业发展规模相匹配，兼顾后期发展，适当预留弹性用地。</w:t>
      </w:r>
    </w:p>
    <w:p w14:paraId="076815E6">
      <w:pPr>
        <w:ind w:firstLine="640"/>
        <w:rPr>
          <w:rFonts w:hint="eastAsia" w:hAnsi="Times New Roman"/>
        </w:rPr>
      </w:pPr>
      <w:r>
        <w:rPr>
          <w:rFonts w:hint="eastAsia" w:hAnsi="Times New Roman"/>
        </w:rPr>
        <w:t>3.应编制选址报告，作为园区设立的评估依据。</w:t>
      </w:r>
    </w:p>
    <w:p w14:paraId="23F9BFA4">
      <w:pPr>
        <w:pStyle w:val="4"/>
        <w:ind w:firstLine="643"/>
      </w:pPr>
      <w:r>
        <w:t>（</w:t>
      </w:r>
      <w:r>
        <w:rPr>
          <w:rFonts w:hint="eastAsia"/>
        </w:rPr>
        <w:t>二</w:t>
      </w:r>
      <w:r>
        <w:t>）园区选址要求</w:t>
      </w:r>
    </w:p>
    <w:p w14:paraId="69A71508">
      <w:pPr>
        <w:ind w:firstLine="640"/>
        <w:rPr>
          <w:rFonts w:hint="eastAsia" w:hAnsi="Times New Roman"/>
        </w:rPr>
      </w:pPr>
      <w:r>
        <w:rPr>
          <w:rFonts w:hint="eastAsia" w:hAnsi="Times New Roman"/>
        </w:rPr>
        <w:t>1.应进行安全评估和环境影响分析，应满足园区建设和生产的安全要求，满足周围城市建成区、人口密集区、重要设施等敏感目标之间的外部安全防护距离要求和环境质量要求，并应设置周边土地规划安全控制线。</w:t>
      </w:r>
    </w:p>
    <w:p w14:paraId="00962309">
      <w:pPr>
        <w:ind w:firstLine="640"/>
        <w:rPr>
          <w:rFonts w:hint="eastAsia" w:hAnsi="Times New Roman"/>
        </w:rPr>
      </w:pPr>
      <w:r>
        <w:rPr>
          <w:rFonts w:hint="eastAsia" w:hAnsi="Times New Roman"/>
        </w:rPr>
        <w:t>注:土地规划安全控制线是为预防和减缓化工园区危险化学品潜在安全事故（火灾、爆炸，泄漏等）对化工园区外防护目标的影响，用于限制化工园区周边土地开发利用的控制线。</w:t>
      </w:r>
    </w:p>
    <w:p w14:paraId="7C444CD4">
      <w:pPr>
        <w:ind w:firstLine="640"/>
        <w:rPr>
          <w:rFonts w:hint="eastAsia" w:hAnsi="Times New Roman"/>
        </w:rPr>
      </w:pPr>
      <w:r>
        <w:rPr>
          <w:rFonts w:hint="eastAsia" w:hAnsi="Times New Roman"/>
        </w:rPr>
        <w:t>2.宜考虑原料来源和产品流向，满足园区生产大宗货物物流和对外交通运输方面的要求。</w:t>
      </w:r>
    </w:p>
    <w:p w14:paraId="4EF19CC9">
      <w:pPr>
        <w:ind w:firstLine="640"/>
        <w:rPr>
          <w:rFonts w:hint="eastAsia" w:hAnsi="Times New Roman"/>
        </w:rPr>
      </w:pPr>
      <w:r>
        <w:rPr>
          <w:rFonts w:hint="eastAsia" w:hAnsi="Times New Roman"/>
        </w:rPr>
        <w:t>3.宜优先选择具有良好地形、地质、水文、气象等条件的地区，占地面积较大的化工园区应避开自然地形条件复杂、场地自然坡度大的地区或地段，当不可避免时，应开展技术经济评估。</w:t>
      </w:r>
    </w:p>
    <w:p w14:paraId="0D7BFB2F">
      <w:pPr>
        <w:ind w:firstLine="640"/>
        <w:rPr>
          <w:rFonts w:hint="eastAsia" w:hAnsi="Times New Roman"/>
        </w:rPr>
      </w:pPr>
      <w:r>
        <w:rPr>
          <w:rFonts w:hint="eastAsia" w:hAnsi="Times New Roman"/>
        </w:rPr>
        <w:t>4.不宜选择在受洪水，潮水或内涝威胁的地带，当不可避免时，应规划可靠的防洪、排涝设施。</w:t>
      </w:r>
    </w:p>
    <w:p w14:paraId="3DC906BF">
      <w:pPr>
        <w:ind w:firstLine="640"/>
        <w:rPr>
          <w:rFonts w:hint="eastAsia" w:hAnsi="Times New Roman"/>
        </w:rPr>
      </w:pPr>
      <w:r>
        <w:rPr>
          <w:rFonts w:hint="eastAsia" w:hAnsi="Times New Roman"/>
        </w:rPr>
        <w:t>5.应选择废气扩散，废水排放，废渣堆放和噪声对周边环境影响较小的地区。</w:t>
      </w:r>
    </w:p>
    <w:p w14:paraId="548A96B4">
      <w:pPr>
        <w:ind w:firstLine="640"/>
        <w:rPr>
          <w:rFonts w:hint="eastAsia" w:hAnsi="Times New Roman"/>
        </w:rPr>
      </w:pPr>
      <w:r>
        <w:rPr>
          <w:rFonts w:hint="eastAsia" w:hAnsi="Times New Roman"/>
        </w:rPr>
        <w:t>6.园区应具备良好的大气扩散条件。在主导风向明显的地区，新建化工园区应选址于城市建成区，人口密集区，重要设施等敏感目标的主导风向下风向，当不可避免时，应在规划环境影响评价阶段对环境空气质量进行重点评估论证。</w:t>
      </w:r>
    </w:p>
    <w:p w14:paraId="279F5690">
      <w:pPr>
        <w:ind w:firstLine="640"/>
        <w:rPr>
          <w:rFonts w:hint="eastAsia" w:hAnsi="Times New Roman"/>
        </w:rPr>
      </w:pPr>
      <w:r>
        <w:rPr>
          <w:rFonts w:hint="eastAsia" w:hAnsi="Times New Roman"/>
        </w:rPr>
        <w:t>7.应具备可靠的水源和电源，石油化工园区和煤化工园区宜进行水资源论证。</w:t>
      </w:r>
    </w:p>
    <w:p w14:paraId="547F7C16">
      <w:pPr>
        <w:ind w:firstLine="640"/>
        <w:rPr>
          <w:rFonts w:ascii="Times New Roman" w:hAnsi="Times New Roman"/>
        </w:rPr>
      </w:pPr>
      <w:r>
        <w:rPr>
          <w:rFonts w:hint="eastAsia" w:hAnsi="Times New Roman"/>
        </w:rPr>
        <w:t>9.宜统筹</w:t>
      </w:r>
      <w:r>
        <w:rPr>
          <w:rFonts w:ascii="Times New Roman" w:hAnsi="Times New Roman"/>
        </w:rPr>
        <w:t>考虑水源、排污口，废渣填埋场、道路，铁路等生产协作条件和生活依托条件。化工园区运输条件应满足工厂建设期间大型设备运输的需要。</w:t>
      </w:r>
    </w:p>
    <w:p w14:paraId="458F3CE4">
      <w:pPr>
        <w:pStyle w:val="4"/>
        <w:ind w:firstLine="643"/>
      </w:pPr>
      <w:r>
        <w:t>（</w:t>
      </w:r>
      <w:r>
        <w:rPr>
          <w:rFonts w:hint="eastAsia"/>
        </w:rPr>
        <w:t>三</w:t>
      </w:r>
      <w:r>
        <w:t>）不宜作为园区选址的区域</w:t>
      </w:r>
    </w:p>
    <w:p w14:paraId="43C7306E">
      <w:pPr>
        <w:ind w:firstLine="640"/>
        <w:rPr>
          <w:rFonts w:hint="eastAsia" w:hAnsi="Times New Roman"/>
        </w:rPr>
      </w:pPr>
      <w:r>
        <w:rPr>
          <w:rFonts w:hint="eastAsia" w:hAnsi="Times New Roman"/>
        </w:rPr>
        <w:t>1.发震断层和抗震设防烈度为9度及以上的地区。</w:t>
      </w:r>
    </w:p>
    <w:p w14:paraId="62B5E94A">
      <w:pPr>
        <w:ind w:firstLine="640"/>
        <w:rPr>
          <w:rFonts w:hint="eastAsia" w:hAnsi="Times New Roman"/>
        </w:rPr>
      </w:pPr>
      <w:r>
        <w:rPr>
          <w:rFonts w:hint="eastAsia" w:hAnsi="Times New Roman"/>
        </w:rPr>
        <w:t>2.山体崩塌、滑坡、泥石流、流沙、地面严重沉降或塌陷等地质灾害易发区和重点防治区。</w:t>
      </w:r>
    </w:p>
    <w:p w14:paraId="2517EC8C">
      <w:pPr>
        <w:ind w:firstLine="640"/>
        <w:rPr>
          <w:rFonts w:hint="eastAsia" w:hAnsi="Times New Roman"/>
        </w:rPr>
      </w:pPr>
      <w:r>
        <w:rPr>
          <w:rFonts w:hint="eastAsia" w:hAnsi="Times New Roman"/>
        </w:rPr>
        <w:t>3.生态保护红线、永久基本农田、自然保护区，风景名胜区和历史文物古迹保护区，生活饮用水源保护区，国家划定的森林、农业保护及发展规划区。</w:t>
      </w:r>
    </w:p>
    <w:p w14:paraId="59E8A7EB">
      <w:pPr>
        <w:ind w:firstLine="640"/>
        <w:rPr>
          <w:rFonts w:hint="eastAsia" w:hAnsi="Times New Roman"/>
        </w:rPr>
      </w:pPr>
      <w:r>
        <w:rPr>
          <w:rFonts w:hint="eastAsia" w:hAnsi="Times New Roman"/>
        </w:rPr>
        <w:t>4.具有开采价值的矿藏区或矿产资源储备区，采矿塌落（错动）区。</w:t>
      </w:r>
    </w:p>
    <w:p w14:paraId="2FD8CD58">
      <w:pPr>
        <w:ind w:firstLine="640"/>
        <w:rPr>
          <w:rFonts w:hint="eastAsia" w:hAnsi="Times New Roman"/>
        </w:rPr>
      </w:pPr>
      <w:r>
        <w:rPr>
          <w:rFonts w:hint="eastAsia" w:hAnsi="Times New Roman"/>
        </w:rPr>
        <w:t>5.蓄滞洪区。</w:t>
      </w:r>
    </w:p>
    <w:p w14:paraId="73406561">
      <w:pPr>
        <w:ind w:firstLine="640"/>
        <w:rPr>
          <w:rFonts w:hint="eastAsia" w:hAnsi="Times New Roman"/>
        </w:rPr>
      </w:pPr>
      <w:r>
        <w:rPr>
          <w:rFonts w:hint="eastAsia" w:hAnsi="Times New Roman"/>
        </w:rPr>
        <w:t>6.危及到机场净空保护区的区域。</w:t>
      </w:r>
    </w:p>
    <w:p w14:paraId="35940A2F">
      <w:pPr>
        <w:ind w:firstLine="640"/>
        <w:rPr>
          <w:rFonts w:hint="eastAsia" w:hAnsi="Times New Roman"/>
        </w:rPr>
      </w:pPr>
      <w:r>
        <w:rPr>
          <w:rFonts w:hint="eastAsia" w:hAnsi="Times New Roman"/>
        </w:rPr>
        <w:t>7.对飞机起降、电台通信、电视转播、雷达导航和重要的天文、气象、地震观测以及军事设施等有影响的地区。</w:t>
      </w:r>
    </w:p>
    <w:p w14:paraId="741D9E4B">
      <w:pPr>
        <w:ind w:firstLine="640"/>
        <w:rPr>
          <w:rFonts w:hint="eastAsia" w:hAnsi="Times New Roman"/>
        </w:rPr>
      </w:pPr>
      <w:r>
        <w:rPr>
          <w:rFonts w:hint="eastAsia" w:hAnsi="Times New Roman"/>
        </w:rPr>
        <w:t>8.严重的自重湿陷性黄土地段、厚度大的新近堆积黄土地段和高压缩性的饱和黄土地段等工程地质条件恶劣地段。</w:t>
      </w:r>
    </w:p>
    <w:p w14:paraId="620B6B89">
      <w:pPr>
        <w:ind w:firstLine="640"/>
        <w:rPr>
          <w:rFonts w:ascii="Times New Roman" w:hAnsi="Times New Roman"/>
        </w:rPr>
      </w:pPr>
      <w:r>
        <w:rPr>
          <w:rFonts w:hint="eastAsia" w:hAnsi="Times New Roman"/>
        </w:rPr>
        <w:t>9.国家规定</w:t>
      </w:r>
      <w:r>
        <w:rPr>
          <w:rFonts w:ascii="Times New Roman" w:hAnsi="Times New Roman"/>
        </w:rPr>
        <w:t>的不应进行化工园区选址建设的其他区域。</w:t>
      </w:r>
    </w:p>
    <w:p w14:paraId="3F58AE70">
      <w:pPr>
        <w:ind w:firstLine="640"/>
        <w:rPr>
          <w:rFonts w:ascii="Times New Roman" w:hAnsi="Times New Roman"/>
        </w:rPr>
      </w:pPr>
    </w:p>
    <w:p w14:paraId="3BE9D67D">
      <w:pPr>
        <w:pStyle w:val="3"/>
        <w:ind w:firstLine="720"/>
        <w:jc w:val="left"/>
        <w:rPr>
          <w:rFonts w:ascii="黑体" w:hAnsi="黑体" w:eastAsia="黑体"/>
          <w:b w:val="0"/>
          <w:bCs/>
        </w:rPr>
      </w:pPr>
      <w:bookmarkStart w:id="12" w:name="_Toc23163"/>
      <w:r>
        <w:rPr>
          <w:rFonts w:hint="eastAsia" w:ascii="黑体" w:hAnsi="黑体" w:eastAsia="黑体"/>
          <w:b w:val="0"/>
          <w:bCs/>
        </w:rPr>
        <w:t>六</w:t>
      </w:r>
      <w:r>
        <w:rPr>
          <w:rFonts w:ascii="黑体" w:hAnsi="黑体" w:eastAsia="黑体"/>
          <w:b w:val="0"/>
          <w:bCs/>
        </w:rPr>
        <w:t>、总体规划、产业规划编制要求</w:t>
      </w:r>
      <w:bookmarkEnd w:id="12"/>
    </w:p>
    <w:p w14:paraId="236D3D48">
      <w:pPr>
        <w:pStyle w:val="4"/>
        <w:ind w:firstLine="643"/>
      </w:pPr>
      <w:r>
        <w:t>（</w:t>
      </w:r>
      <w:r>
        <w:rPr>
          <w:rFonts w:hint="eastAsia"/>
        </w:rPr>
        <w:t>一</w:t>
      </w:r>
      <w:r>
        <w:t>）总体规划</w:t>
      </w:r>
    </w:p>
    <w:p w14:paraId="303A69DB">
      <w:pPr>
        <w:ind w:firstLine="640"/>
        <w:rPr>
          <w:rFonts w:hint="eastAsia" w:hAnsi="Times New Roman"/>
        </w:rPr>
      </w:pPr>
      <w:r>
        <w:rPr>
          <w:rFonts w:hint="eastAsia" w:hAnsi="Times New Roman"/>
        </w:rPr>
        <w:t>1.化工园区总体规划应提出规划战略、发展目标及重要指标。</w:t>
      </w:r>
    </w:p>
    <w:p w14:paraId="12DCC623">
      <w:pPr>
        <w:ind w:firstLine="640"/>
        <w:rPr>
          <w:rFonts w:hint="eastAsia" w:hAnsi="Times New Roman"/>
        </w:rPr>
      </w:pPr>
      <w:r>
        <w:rPr>
          <w:rFonts w:hint="eastAsia" w:hAnsi="Times New Roman"/>
        </w:rPr>
        <w:t>2.化工园区总体规划应明确国土空间开发保护格局，划定化工园区开发边界，划定用地分区，制定空间管制规划，进行国土空间要素统筹配置，明确建设项目安排。</w:t>
      </w:r>
    </w:p>
    <w:p w14:paraId="6C90B0B9">
      <w:pPr>
        <w:ind w:firstLine="640"/>
        <w:rPr>
          <w:rFonts w:hint="eastAsia" w:hAnsi="Times New Roman"/>
        </w:rPr>
      </w:pPr>
      <w:r>
        <w:rPr>
          <w:rFonts w:hint="eastAsia" w:hAnsi="Times New Roman"/>
        </w:rPr>
        <w:t>3.化工园区总体规划应制定近期规划及行动计划，提出规划实施政策措施。</w:t>
      </w:r>
    </w:p>
    <w:p w14:paraId="1150CD58">
      <w:pPr>
        <w:ind w:firstLine="640"/>
        <w:rPr>
          <w:rFonts w:hint="eastAsia" w:hAnsi="Times New Roman"/>
        </w:rPr>
      </w:pPr>
      <w:r>
        <w:rPr>
          <w:rFonts w:hint="eastAsia" w:hAnsi="Times New Roman"/>
        </w:rPr>
        <w:t>4.化工园区总体规划应遵循底线约束、绿色低碳，同步推进、统筹协同，因地制宜、分类指导，多方参与、科学决策的编制原则。</w:t>
      </w:r>
    </w:p>
    <w:p w14:paraId="0132F7B9">
      <w:pPr>
        <w:ind w:firstLine="640"/>
        <w:rPr>
          <w:rFonts w:hint="eastAsia" w:hAnsi="Times New Roman"/>
        </w:rPr>
      </w:pPr>
      <w:r>
        <w:rPr>
          <w:rFonts w:hint="eastAsia" w:hAnsi="Times New Roman"/>
        </w:rPr>
        <w:t>5.化工园区总体规划应收集基础测绘、土地、水域、林草、地质、矿产、生态、环境、灾害、人口、经济、社会、文化、基础设施、公用工程、航运岸线等方面的基础数据和资料，以及相关部门规划成果、管理数据等。</w:t>
      </w:r>
    </w:p>
    <w:p w14:paraId="4A98BC4C">
      <w:pPr>
        <w:ind w:firstLine="640"/>
        <w:rPr>
          <w:rFonts w:hint="eastAsia" w:hAnsi="Times New Roman"/>
        </w:rPr>
      </w:pPr>
      <w:r>
        <w:rPr>
          <w:rFonts w:hint="eastAsia" w:hAnsi="Times New Roman"/>
        </w:rPr>
        <w:t>6.化工园区总体规划应以全国国土调查成果为基础，综合考虑园区用地与空间规划管理需要，按照《城市用地分类与规划建设用地标准》GB50137-2011的有关要求，形成现状用地底图。</w:t>
      </w:r>
    </w:p>
    <w:p w14:paraId="401F362C">
      <w:pPr>
        <w:ind w:firstLine="640"/>
        <w:rPr>
          <w:rFonts w:hint="eastAsia" w:hAnsi="Times New Roman"/>
        </w:rPr>
      </w:pPr>
      <w:r>
        <w:rPr>
          <w:rFonts w:hint="eastAsia" w:hAnsi="Times New Roman"/>
        </w:rPr>
        <w:t>7.化工园区总体规划应在资源环境承载能力和国土空间开发适宜性评价基础上，结合地方实际，重点深化评价结论。</w:t>
      </w:r>
    </w:p>
    <w:p w14:paraId="73F0E494">
      <w:pPr>
        <w:ind w:firstLine="640"/>
        <w:rPr>
          <w:rFonts w:ascii="Times New Roman" w:hAnsi="Times New Roman"/>
        </w:rPr>
      </w:pPr>
      <w:r>
        <w:rPr>
          <w:rFonts w:hint="eastAsia" w:hAnsi="Times New Roman"/>
        </w:rPr>
        <w:t>8.化工园</w:t>
      </w:r>
      <w:r>
        <w:rPr>
          <w:rFonts w:ascii="Times New Roman" w:hAnsi="Times New Roman"/>
        </w:rPr>
        <w:t>区总体规划应结合现状用地底图，分析国土空间开发利用的趋势变化、结构布局、程度效益，总结国土空间开发利用的特点和问题，提出优化完善建议。</w:t>
      </w:r>
    </w:p>
    <w:p w14:paraId="53536EE4">
      <w:pPr>
        <w:ind w:firstLine="640"/>
        <w:rPr>
          <w:rFonts w:hint="eastAsia" w:hAnsi="Times New Roman"/>
        </w:rPr>
      </w:pPr>
      <w:r>
        <w:rPr>
          <w:rFonts w:hint="eastAsia" w:hAnsi="Times New Roman"/>
        </w:rPr>
        <w:t>9.化工园区总体规划应全面评估园区及园区所在地现行国土空间规划的实施情况，总结成效、分析问题，明确本次规划的重点，提出国土空间开发保护格局优化的建议。</w:t>
      </w:r>
    </w:p>
    <w:p w14:paraId="06538D1D">
      <w:pPr>
        <w:ind w:firstLine="640"/>
        <w:rPr>
          <w:rFonts w:hint="eastAsia" w:hAnsi="Times New Roman"/>
        </w:rPr>
      </w:pPr>
      <w:r>
        <w:rPr>
          <w:rFonts w:hint="eastAsia" w:hAnsi="Times New Roman"/>
        </w:rPr>
        <w:t>10.化工园区总体规划应科学评判国土安全、气候安全、生态环境安全、水安全、能源安全、生产安全等对园区带来的潜在风险和隐患，提出规划应对措施。</w:t>
      </w:r>
    </w:p>
    <w:p w14:paraId="1EC59D2D">
      <w:pPr>
        <w:ind w:firstLine="640"/>
        <w:rPr>
          <w:rFonts w:hint="eastAsia" w:hAnsi="Times New Roman"/>
        </w:rPr>
      </w:pPr>
      <w:r>
        <w:rPr>
          <w:rFonts w:hint="eastAsia" w:hAnsi="Times New Roman"/>
        </w:rPr>
        <w:t>11.化工园区总体规划应结合实际，开展以下重大问题研究。主要包括：国土空间开发保护战略、产业总体布局、自然资源保护利用、土地资源节约集约利用、水资源合理利用与配置、生态保护修复、安全生产应急、消防救援响应、环境保护治理、公用工程配套、区域协调发展等。</w:t>
      </w:r>
    </w:p>
    <w:p w14:paraId="09CA7262">
      <w:pPr>
        <w:ind w:firstLine="640"/>
        <w:rPr>
          <w:rFonts w:hint="eastAsia" w:hAnsi="Times New Roman"/>
        </w:rPr>
      </w:pPr>
      <w:r>
        <w:rPr>
          <w:rFonts w:hint="eastAsia" w:hAnsi="Times New Roman"/>
        </w:rPr>
        <w:t>12.化工园区总体规划期限一般为二十年，同时可以对园区远景发展的空间布局提出设想。</w:t>
      </w:r>
    </w:p>
    <w:p w14:paraId="5FAB429F">
      <w:pPr>
        <w:ind w:firstLine="640"/>
        <w:rPr>
          <w:rFonts w:hint="eastAsia" w:hAnsi="Times New Roman"/>
        </w:rPr>
      </w:pPr>
      <w:r>
        <w:rPr>
          <w:rFonts w:hint="eastAsia" w:hAnsi="Times New Roman"/>
        </w:rPr>
        <w:t>13.《随州市青春化工工业园总体规划》的编制单位需要具备城乡规划编制单位资质联合具备石化化工咨询资质单位联系编制。</w:t>
      </w:r>
    </w:p>
    <w:p w14:paraId="7B0493EA">
      <w:pPr>
        <w:ind w:firstLine="640"/>
        <w:rPr>
          <w:rFonts w:hint="eastAsia" w:hAnsi="Times New Roman"/>
        </w:rPr>
      </w:pPr>
      <w:r>
        <w:rPr>
          <w:rFonts w:hint="eastAsia" w:hAnsi="Times New Roman"/>
        </w:rPr>
        <w:t>14.化工园区总体规划应当包括下列内容：</w:t>
      </w:r>
    </w:p>
    <w:p w14:paraId="27884503">
      <w:pPr>
        <w:ind w:firstLine="640"/>
        <w:rPr>
          <w:rFonts w:hint="eastAsia" w:hAnsi="Times New Roman"/>
        </w:rPr>
      </w:pPr>
      <w:r>
        <w:rPr>
          <w:rFonts w:hint="eastAsia" w:hAnsi="Times New Roman"/>
        </w:rPr>
        <w:t>（1）分析确定园区定位和发展目标；</w:t>
      </w:r>
    </w:p>
    <w:p w14:paraId="52DEACAD">
      <w:pPr>
        <w:ind w:firstLine="640"/>
        <w:rPr>
          <w:rFonts w:hint="eastAsia" w:hAnsi="Times New Roman"/>
        </w:rPr>
      </w:pPr>
      <w:r>
        <w:rPr>
          <w:rFonts w:hint="eastAsia" w:hAnsi="Times New Roman"/>
        </w:rPr>
        <w:t>（2）预测园区人口规模；</w:t>
      </w:r>
    </w:p>
    <w:p w14:paraId="0B59EB01">
      <w:pPr>
        <w:ind w:firstLine="640"/>
        <w:rPr>
          <w:rFonts w:hint="eastAsia" w:hAnsi="Times New Roman"/>
        </w:rPr>
      </w:pPr>
      <w:r>
        <w:rPr>
          <w:rFonts w:hint="eastAsia" w:hAnsi="Times New Roman"/>
        </w:rPr>
        <w:t>（3）划定禁建区、限建区、适建区和已建区，并制定空间管制措施；</w:t>
      </w:r>
    </w:p>
    <w:p w14:paraId="41F48F90">
      <w:pPr>
        <w:ind w:firstLine="640"/>
        <w:rPr>
          <w:rFonts w:hint="eastAsia" w:hAnsi="Times New Roman"/>
        </w:rPr>
      </w:pPr>
      <w:r>
        <w:rPr>
          <w:rFonts w:hint="eastAsia" w:hAnsi="Times New Roman"/>
        </w:rPr>
        <w:t>（4）确定与园区相关的村镇发展与控制的原则和措施；确定需要发展、限制发展和不再保留的村庄，提出园区与周边村、镇安全控制要求；</w:t>
      </w:r>
    </w:p>
    <w:p w14:paraId="490232EE">
      <w:pPr>
        <w:ind w:firstLine="640"/>
        <w:rPr>
          <w:rFonts w:hint="eastAsia" w:hAnsi="Times New Roman"/>
        </w:rPr>
      </w:pPr>
      <w:r>
        <w:rPr>
          <w:rFonts w:hint="eastAsia" w:hAnsi="Times New Roman"/>
        </w:rPr>
        <w:t>（5）安排建设用地、农业用地、生态用地和其它用地；</w:t>
      </w:r>
    </w:p>
    <w:p w14:paraId="1220D581">
      <w:pPr>
        <w:ind w:firstLine="640"/>
        <w:rPr>
          <w:rFonts w:hint="eastAsia" w:hAnsi="Times New Roman"/>
        </w:rPr>
      </w:pPr>
      <w:r>
        <w:rPr>
          <w:rFonts w:hint="eastAsia" w:hAnsi="Times New Roman"/>
        </w:rPr>
        <w:t>（6）研究园区开发边界，确定建设用地规模，划定建设用地范围；</w:t>
      </w:r>
    </w:p>
    <w:p w14:paraId="49C332A7">
      <w:pPr>
        <w:ind w:firstLine="640"/>
        <w:rPr>
          <w:rFonts w:hint="eastAsia" w:hAnsi="Times New Roman"/>
        </w:rPr>
      </w:pPr>
      <w:r>
        <w:rPr>
          <w:rFonts w:hint="eastAsia" w:hAnsi="Times New Roman"/>
        </w:rPr>
        <w:t>（7）提出公用工程和基础设施发展目标和总体布局，明确公用工程和基础设施保护范围（黄线）；</w:t>
      </w:r>
    </w:p>
    <w:p w14:paraId="15CB1267">
      <w:pPr>
        <w:ind w:firstLine="640"/>
        <w:rPr>
          <w:rFonts w:hint="eastAsia" w:hAnsi="Times New Roman"/>
        </w:rPr>
      </w:pPr>
      <w:r>
        <w:rPr>
          <w:rFonts w:hint="eastAsia" w:hAnsi="Times New Roman"/>
        </w:rPr>
        <w:t>（8）确定物流交通发展战略和布局，落实物流优先政策，确定主要对外交通设施和主要物流交通设施布局；</w:t>
      </w:r>
    </w:p>
    <w:p w14:paraId="27D78C52">
      <w:pPr>
        <w:ind w:firstLine="640"/>
        <w:rPr>
          <w:rFonts w:hint="eastAsia" w:hAnsi="Times New Roman"/>
        </w:rPr>
      </w:pPr>
      <w:r>
        <w:rPr>
          <w:rFonts w:hint="eastAsia" w:hAnsi="Times New Roman"/>
        </w:rPr>
        <w:t>（9）确定绿地系统的发展目标及总体布局，划定各种功能绿地的保护范围（绿线），划定河湖水面的保护范围（蓝线），确定岸线使用原则；</w:t>
      </w:r>
    </w:p>
    <w:p w14:paraId="2858CFDD">
      <w:pPr>
        <w:ind w:firstLine="640"/>
        <w:rPr>
          <w:rFonts w:hint="eastAsia" w:hAnsi="Times New Roman"/>
        </w:rPr>
      </w:pPr>
      <w:r>
        <w:rPr>
          <w:rFonts w:hint="eastAsia" w:hAnsi="Times New Roman"/>
        </w:rPr>
        <w:t>（10）确定安全应急发展目标及总体布局，提出安全布局、安全功能分区、公用设施安全保障、安全设施等要求；</w:t>
      </w:r>
    </w:p>
    <w:p w14:paraId="4D24D044">
      <w:pPr>
        <w:ind w:firstLine="640"/>
        <w:rPr>
          <w:rFonts w:hint="eastAsia" w:hAnsi="Times New Roman"/>
        </w:rPr>
      </w:pPr>
      <w:r>
        <w:rPr>
          <w:rFonts w:hint="eastAsia" w:hAnsi="Times New Roman"/>
        </w:rPr>
        <w:t>（11）确定消防救援发展目标及总体布局，提出消防安全布局，消防站、消防供水、消防通信、消防车道、消防装备等消防设施布局；</w:t>
      </w:r>
    </w:p>
    <w:p w14:paraId="10E419B5">
      <w:pPr>
        <w:ind w:firstLine="640"/>
        <w:rPr>
          <w:rFonts w:hint="eastAsia" w:hAnsi="Times New Roman"/>
        </w:rPr>
      </w:pPr>
      <w:r>
        <w:rPr>
          <w:rFonts w:hint="eastAsia" w:hAnsi="Times New Roman"/>
        </w:rPr>
        <w:t>（12）确定生态环境保护目标与实施措施，提出污染控制、环境治理、环境保护、碳中和、碳达峰等实施建议；</w:t>
      </w:r>
    </w:p>
    <w:p w14:paraId="59DA7209">
      <w:pPr>
        <w:ind w:firstLine="640"/>
        <w:rPr>
          <w:rFonts w:hint="eastAsia" w:hAnsi="Times New Roman"/>
        </w:rPr>
      </w:pPr>
      <w:r>
        <w:rPr>
          <w:rFonts w:hint="eastAsia" w:hAnsi="Times New Roman"/>
        </w:rPr>
        <w:t>（13）确定综合防灾与安全保障体系，提出防洪、防潮、人防、抗震、地质灾害防护等规划原则和建设方针；</w:t>
      </w:r>
    </w:p>
    <w:p w14:paraId="35983B6B">
      <w:pPr>
        <w:ind w:firstLine="640"/>
        <w:rPr>
          <w:rFonts w:hint="eastAsia" w:hAnsi="Times New Roman"/>
        </w:rPr>
      </w:pPr>
      <w:r>
        <w:rPr>
          <w:rFonts w:hint="eastAsia" w:hAnsi="Times New Roman"/>
        </w:rPr>
        <w:t>（14）确定空间发展时序，提出规划实施步骤、措施和政策建议。</w:t>
      </w:r>
    </w:p>
    <w:p w14:paraId="75913278">
      <w:pPr>
        <w:ind w:firstLine="640"/>
        <w:rPr>
          <w:rFonts w:ascii="Times New Roman" w:hAnsi="Times New Roman"/>
        </w:rPr>
      </w:pPr>
      <w:r>
        <w:rPr>
          <w:rFonts w:hint="eastAsia" w:hAnsi="Times New Roman"/>
        </w:rPr>
        <w:t>15.化工园</w:t>
      </w:r>
      <w:r>
        <w:rPr>
          <w:rFonts w:ascii="Times New Roman" w:hAnsi="Times New Roman"/>
        </w:rPr>
        <w:t>区总体规划的强制性内容包括：</w:t>
      </w:r>
    </w:p>
    <w:p w14:paraId="57C6876A">
      <w:pPr>
        <w:ind w:firstLine="640"/>
        <w:rPr>
          <w:rFonts w:hint="eastAsia" w:hAnsi="Times New Roman"/>
        </w:rPr>
      </w:pPr>
      <w:r>
        <w:rPr>
          <w:rFonts w:hint="eastAsia" w:hAnsi="Times New Roman"/>
        </w:rPr>
        <w:t>（1）园区规划区范围；</w:t>
      </w:r>
    </w:p>
    <w:p w14:paraId="015646D9">
      <w:pPr>
        <w:ind w:firstLine="640"/>
        <w:rPr>
          <w:rFonts w:hint="eastAsia" w:hAnsi="Times New Roman"/>
        </w:rPr>
      </w:pPr>
      <w:r>
        <w:rPr>
          <w:rFonts w:hint="eastAsia" w:hAnsi="Times New Roman"/>
        </w:rPr>
        <w:t>（2）园区内应当控制开发的地域，包括：基本农田保护区，湿地、水源保护区等生态敏感区，地下矿产资源分布地区；</w:t>
      </w:r>
    </w:p>
    <w:p w14:paraId="78A535D4">
      <w:pPr>
        <w:ind w:firstLine="640"/>
        <w:rPr>
          <w:rFonts w:hint="eastAsia" w:hAnsi="Times New Roman"/>
        </w:rPr>
      </w:pPr>
      <w:r>
        <w:rPr>
          <w:rFonts w:hint="eastAsia" w:hAnsi="Times New Roman"/>
        </w:rPr>
        <w:t>（3）城市建设用地，包括：规划期限内园区城市建设用地的发展规模，各类绿地、公用工程、基础设施等具体布局；</w:t>
      </w:r>
    </w:p>
    <w:p w14:paraId="0C1420CE">
      <w:pPr>
        <w:ind w:firstLine="640"/>
        <w:rPr>
          <w:rFonts w:hint="eastAsia" w:hAnsi="Times New Roman"/>
        </w:rPr>
      </w:pPr>
      <w:r>
        <w:rPr>
          <w:rFonts w:hint="eastAsia" w:hAnsi="Times New Roman"/>
        </w:rPr>
        <w:t>（4）基础设施和公用工程设施，包括：园区干道系统网络、物流交通网络、物流交通设施布局，其他重大基础设施布局，及给水、雨水、污水、电力、电信、供热、燃气、工业气体、公共管廊、危险化学品废弃物处理等公用工程设施的布局；</w:t>
      </w:r>
    </w:p>
    <w:p w14:paraId="7CB17CF4">
      <w:pPr>
        <w:ind w:firstLine="640"/>
        <w:rPr>
          <w:rFonts w:hint="eastAsia" w:hAnsi="Times New Roman"/>
        </w:rPr>
      </w:pPr>
      <w:r>
        <w:rPr>
          <w:rFonts w:hint="eastAsia" w:hAnsi="Times New Roman"/>
        </w:rPr>
        <w:t>（5）生态环境保护，包括：污染控制要求，环境治理措施，环境保护目标等；</w:t>
      </w:r>
    </w:p>
    <w:p w14:paraId="1E9C349F">
      <w:pPr>
        <w:ind w:firstLine="640"/>
        <w:rPr>
          <w:rFonts w:hint="eastAsia" w:hAnsi="Times New Roman"/>
        </w:rPr>
      </w:pPr>
      <w:r>
        <w:rPr>
          <w:rFonts w:hint="eastAsia" w:hAnsi="Times New Roman"/>
        </w:rPr>
        <w:t>（6）防灾工程，包括：防洪防潮标准、防洪堤走向，抗震与消防救援，人防设施布局，地质灾害防护规定；</w:t>
      </w:r>
    </w:p>
    <w:p w14:paraId="79813B6A">
      <w:pPr>
        <w:ind w:firstLine="640"/>
        <w:rPr>
          <w:rFonts w:hint="eastAsia" w:hAnsi="Times New Roman"/>
        </w:rPr>
      </w:pPr>
      <w:r>
        <w:rPr>
          <w:rFonts w:hint="eastAsia" w:hAnsi="Times New Roman"/>
        </w:rPr>
        <w:t>（7）安全应急，包括：园区选址安全、园区土地使用安全规划控制线、园区安全功能分区、公用设施安全保障、园区安全设施和园区应急救援体系等；</w:t>
      </w:r>
    </w:p>
    <w:p w14:paraId="2B229F3A">
      <w:pPr>
        <w:ind w:firstLine="640"/>
        <w:rPr>
          <w:rFonts w:hint="eastAsia" w:hAnsi="Times New Roman"/>
        </w:rPr>
      </w:pPr>
      <w:r>
        <w:rPr>
          <w:rFonts w:hint="eastAsia" w:hAnsi="Times New Roman"/>
        </w:rPr>
        <w:t>（8）消防救援，包括：园区火灾风险评估分析，消防安全布局，消防站、消防供水、消防车道等消防设施布局。</w:t>
      </w:r>
    </w:p>
    <w:p w14:paraId="5C7ADA71">
      <w:pPr>
        <w:ind w:firstLine="640"/>
        <w:rPr>
          <w:rFonts w:ascii="Times New Roman" w:hAnsi="Times New Roman"/>
        </w:rPr>
      </w:pPr>
      <w:r>
        <w:rPr>
          <w:rFonts w:hint="eastAsia" w:hAnsi="Times New Roman"/>
        </w:rPr>
        <w:t>16.化工园区总体规划的成果应当包括规划文本、图纸及附件（说明书、</w:t>
      </w:r>
      <w:r>
        <w:rPr>
          <w:rFonts w:ascii="Times New Roman" w:hAnsi="Times New Roman"/>
        </w:rPr>
        <w:t>研究报告和基础资料汇编等）。在规划文本中应当明确表述规划的强制性内容。</w:t>
      </w:r>
    </w:p>
    <w:p w14:paraId="009F0593">
      <w:pPr>
        <w:pStyle w:val="4"/>
        <w:ind w:firstLine="643"/>
      </w:pPr>
      <w:r>
        <w:t>（</w:t>
      </w:r>
      <w:r>
        <w:rPr>
          <w:rFonts w:hint="eastAsia"/>
        </w:rPr>
        <w:t>二</w:t>
      </w:r>
      <w:r>
        <w:t>）产业规划</w:t>
      </w:r>
    </w:p>
    <w:p w14:paraId="748CFF26">
      <w:pPr>
        <w:ind w:firstLine="640"/>
        <w:rPr>
          <w:rFonts w:hint="eastAsia" w:hAnsi="Times New Roman"/>
        </w:rPr>
      </w:pPr>
      <w:r>
        <w:rPr>
          <w:rFonts w:hint="eastAsia" w:hAnsi="Times New Roman"/>
        </w:rPr>
        <w:t>1.化工园区产业规划应符合上位规划，协调相关规划。</w:t>
      </w:r>
    </w:p>
    <w:p w14:paraId="67E8BC07">
      <w:pPr>
        <w:ind w:firstLine="640"/>
        <w:rPr>
          <w:rFonts w:hint="eastAsia" w:hAnsi="Times New Roman"/>
        </w:rPr>
      </w:pPr>
      <w:r>
        <w:rPr>
          <w:rFonts w:hint="eastAsia" w:hAnsi="Times New Roman"/>
        </w:rPr>
        <w:t>2.化工园区产业规划应符合化工行业产业政策要求。</w:t>
      </w:r>
    </w:p>
    <w:p w14:paraId="314938F1">
      <w:pPr>
        <w:ind w:firstLine="640"/>
        <w:rPr>
          <w:rFonts w:hint="eastAsia" w:hAnsi="Times New Roman"/>
        </w:rPr>
      </w:pPr>
      <w:r>
        <w:rPr>
          <w:rFonts w:hint="eastAsia" w:hAnsi="Times New Roman"/>
        </w:rPr>
        <w:t>3.化工园区产业规划是化工园区总体规划、控制性详细规划和相关专项规划的基础。</w:t>
      </w:r>
    </w:p>
    <w:p w14:paraId="0C73908A">
      <w:pPr>
        <w:ind w:firstLine="640"/>
        <w:rPr>
          <w:rFonts w:hint="eastAsia" w:hAnsi="Times New Roman"/>
        </w:rPr>
      </w:pPr>
      <w:r>
        <w:rPr>
          <w:rFonts w:hint="eastAsia" w:hAnsi="Times New Roman"/>
        </w:rPr>
        <w:t>4.化工园区产业规划应编制工作技术路线，明确规划目的、指导思想、规划原则、规划思路、规划目标等。</w:t>
      </w:r>
    </w:p>
    <w:p w14:paraId="3DC630E6">
      <w:pPr>
        <w:ind w:firstLine="640"/>
        <w:rPr>
          <w:rFonts w:hint="eastAsia" w:hAnsi="Times New Roman"/>
        </w:rPr>
      </w:pPr>
      <w:r>
        <w:rPr>
          <w:rFonts w:hint="eastAsia" w:hAnsi="Times New Roman"/>
        </w:rPr>
        <w:t>5.化工园区产业规划应遵循安全可控、绿色低碳，统一规划、滚动发展，资源整合、集成发展，市场导向、特色发展，整体布局、链群发展，创新驱动、转型发展的编制原则。</w:t>
      </w:r>
    </w:p>
    <w:p w14:paraId="2CF2713D">
      <w:pPr>
        <w:ind w:firstLine="640"/>
        <w:rPr>
          <w:rFonts w:hint="eastAsia" w:hAnsi="Times New Roman"/>
        </w:rPr>
      </w:pPr>
      <w:r>
        <w:rPr>
          <w:rFonts w:hint="eastAsia" w:hAnsi="Times New Roman"/>
        </w:rPr>
        <w:t>6.化工园区产业规划应结合区域实际情况，因地制宜，差异化发展，避免重复建设。</w:t>
      </w:r>
    </w:p>
    <w:p w14:paraId="14F61FDF">
      <w:pPr>
        <w:ind w:firstLine="640"/>
        <w:rPr>
          <w:rFonts w:hint="eastAsia" w:hAnsi="Times New Roman"/>
        </w:rPr>
      </w:pPr>
      <w:r>
        <w:rPr>
          <w:rFonts w:hint="eastAsia" w:hAnsi="Times New Roman"/>
        </w:rPr>
        <w:t>7.化工园区产业规划应坚持高端化、绿色化、循环化、低碳化和集约化的发展方向。规模目标合理，发展定位准确。</w:t>
      </w:r>
    </w:p>
    <w:p w14:paraId="6CE6F4C1">
      <w:pPr>
        <w:ind w:firstLine="640"/>
        <w:rPr>
          <w:rFonts w:ascii="Times New Roman" w:hAnsi="Times New Roman"/>
        </w:rPr>
      </w:pPr>
      <w:r>
        <w:rPr>
          <w:rFonts w:hint="eastAsia" w:hAnsi="Times New Roman"/>
        </w:rPr>
        <w:t>8.化</w:t>
      </w:r>
      <w:r>
        <w:rPr>
          <w:rFonts w:ascii="Times New Roman" w:hAnsi="Times New Roman"/>
        </w:rPr>
        <w:t>工园区产业规划应研究国内外石化及相关产业的发展现状及趋势、国家经济政策和产业政策、所在区域经济及石化产业发展现状及趋势、所在地域和园区相关文件，分析园区区位特点、自然资源、环境和安全容量、能耗指标、物流交通、基础设施及公用工程配套和化工产业发展现状等。</w:t>
      </w:r>
    </w:p>
    <w:p w14:paraId="63AF6F4A">
      <w:pPr>
        <w:ind w:firstLine="640"/>
        <w:rPr>
          <w:rFonts w:hint="eastAsia" w:hAnsi="Times New Roman"/>
        </w:rPr>
      </w:pPr>
      <w:r>
        <w:rPr>
          <w:rFonts w:hint="eastAsia" w:hAnsi="Times New Roman"/>
        </w:rPr>
        <w:t>9.化工园区产业规划期限一般为五到十年，可分近期和远期规划。</w:t>
      </w:r>
    </w:p>
    <w:p w14:paraId="174D3AC8">
      <w:pPr>
        <w:ind w:firstLine="640"/>
        <w:rPr>
          <w:rFonts w:ascii="Times New Roman" w:hAnsi="Times New Roman"/>
        </w:rPr>
      </w:pPr>
      <w:r>
        <w:rPr>
          <w:rFonts w:hint="eastAsia" w:hAnsi="Times New Roman"/>
        </w:rPr>
        <w:t>10.化工</w:t>
      </w:r>
      <w:r>
        <w:rPr>
          <w:rFonts w:ascii="Times New Roman" w:hAnsi="Times New Roman"/>
        </w:rPr>
        <w:t>园区产业规划编制单位宜具备化工行业咨询资质。</w:t>
      </w:r>
    </w:p>
    <w:p w14:paraId="3D91354F">
      <w:pPr>
        <w:ind w:firstLine="1600" w:firstLineChars="500"/>
        <w:rPr>
          <w:rFonts w:ascii="Times New Roman" w:hAnsi="Times New Roman"/>
        </w:rPr>
      </w:pPr>
    </w:p>
    <w:p w14:paraId="05B4E52F">
      <w:pPr>
        <w:pStyle w:val="3"/>
        <w:ind w:firstLine="640"/>
        <w:jc w:val="left"/>
        <w:rPr>
          <w:rFonts w:ascii="黑体" w:hAnsi="黑体" w:eastAsia="黑体"/>
          <w:b w:val="0"/>
          <w:bCs/>
          <w:sz w:val="32"/>
          <w:szCs w:val="21"/>
        </w:rPr>
      </w:pPr>
      <w:bookmarkStart w:id="13" w:name="_Toc31988"/>
      <w:r>
        <w:rPr>
          <w:rFonts w:hint="eastAsia" w:ascii="黑体" w:hAnsi="黑体" w:eastAsia="黑体"/>
          <w:b w:val="0"/>
          <w:bCs/>
          <w:sz w:val="32"/>
          <w:szCs w:val="21"/>
        </w:rPr>
        <w:t>七</w:t>
      </w:r>
      <w:r>
        <w:rPr>
          <w:rFonts w:ascii="黑体" w:hAnsi="黑体" w:eastAsia="黑体"/>
          <w:b w:val="0"/>
          <w:bCs/>
          <w:sz w:val="32"/>
          <w:szCs w:val="21"/>
        </w:rPr>
        <w:t>、园区整体性安全风险评估要求</w:t>
      </w:r>
      <w:bookmarkEnd w:id="13"/>
    </w:p>
    <w:p w14:paraId="6CAE026E">
      <w:pPr>
        <w:pStyle w:val="4"/>
        <w:ind w:firstLine="643"/>
      </w:pPr>
      <w:r>
        <w:t>（</w:t>
      </w:r>
      <w:r>
        <w:rPr>
          <w:rFonts w:hint="eastAsia"/>
        </w:rPr>
        <w:t>一</w:t>
      </w:r>
      <w:r>
        <w:t>）整体性定量风险评估动态调整机制</w:t>
      </w:r>
    </w:p>
    <w:p w14:paraId="07D2A956">
      <w:pPr>
        <w:ind w:firstLine="640"/>
        <w:rPr>
          <w:rFonts w:ascii="Times New Roman" w:hAnsi="Times New Roman"/>
        </w:rPr>
      </w:pPr>
      <w:r>
        <w:rPr>
          <w:rFonts w:ascii="Times New Roman" w:hAnsi="Times New Roman"/>
        </w:rPr>
        <w:t>根据《应急管理部关于印发&lt;化工园区安全风险排查治理导则&gt;的通知》（应急〔2023〕123号）第3.5条：化工园区应至少每三年开展一次化工园区整体性安全风险评估，提出消除、降低、管控安全风险的对策措施并有效实施。化工园区“四至”范围发生变化、或重大危险源数量发生较大变化可能导致化工园区整体安全风险显著提高、或安全风险评估等级升高要求按照高（A级）或较高（B级）安全风险等级管理、或发生较大及以上或造成重大社会影响化工生产安全事故的，应重新开展整体性安全风险评估。</w:t>
      </w:r>
    </w:p>
    <w:p w14:paraId="7D1EA205">
      <w:pPr>
        <w:pStyle w:val="4"/>
        <w:ind w:firstLine="643"/>
      </w:pPr>
      <w:r>
        <w:t>（</w:t>
      </w:r>
      <w:r>
        <w:rPr>
          <w:rFonts w:hint="eastAsia"/>
        </w:rPr>
        <w:t>二</w:t>
      </w:r>
      <w:r>
        <w:t>）园区整体安全风险评估要求</w:t>
      </w:r>
    </w:p>
    <w:p w14:paraId="3A576850">
      <w:pPr>
        <w:ind w:firstLine="640"/>
        <w:rPr>
          <w:rFonts w:hint="eastAsia" w:hAnsi="Times New Roman"/>
        </w:rPr>
      </w:pPr>
      <w:r>
        <w:rPr>
          <w:rFonts w:hint="eastAsia" w:hAnsi="Times New Roman"/>
        </w:rPr>
        <w:t>1.化</w:t>
      </w:r>
      <w:r>
        <w:rPr>
          <w:rFonts w:ascii="Times New Roman" w:hAnsi="Times New Roman"/>
        </w:rPr>
        <w:t>工园区整体性安全风险评估的安全评价机构应符合《安全评价检测检验机构管理办法》（中华人民共和国应急管理部令第1号）规定。受委托安全评价机构应客观公正、实事求是地开展评估，并为其作出的评估结论承担相应的法律责任。业务范围应包括石油加工业、化学原料、化学品及医药制造业。化工园区整体性安全风险评估项目组成人员的专业能力应当覆盖化工工艺、化工机械、电气仪表、安全管理、自动化、消防应急等6项。评估项目组负责人应当具有二级及以上安全评价师、注册安全工程师</w:t>
      </w:r>
      <w:r>
        <w:rPr>
          <w:rFonts w:hint="eastAsia" w:hAnsi="Times New Roman"/>
        </w:rPr>
        <w:t>、高级工程师资格，并具备上述6个专业能力之一。</w:t>
      </w:r>
    </w:p>
    <w:p w14:paraId="08ACA885">
      <w:pPr>
        <w:ind w:firstLine="640"/>
        <w:rPr>
          <w:rFonts w:hint="eastAsia" w:hAnsi="Times New Roman"/>
        </w:rPr>
      </w:pPr>
      <w:r>
        <w:rPr>
          <w:rFonts w:hint="eastAsia" w:hAnsi="Times New Roman"/>
        </w:rPr>
        <w:t>2.依据《危险化学品生产装置和储存设施风险基准》（GB36894）、《危险化学品生产装置和储存设施外部安全距离确定方法》（GB/T37243）等进行定量风险评价；对涉及重大危险源的重要危险设备进行计算；对化工园区选址布局、外部安全防护距离的符合性进行评估；对报告编制时的在建、立项拟建项目进行计算；提出具有针对性、有效性的消除、降低、管控安全风险的对策措施缺乏。</w:t>
      </w:r>
    </w:p>
    <w:p w14:paraId="1C0D57C7">
      <w:pPr>
        <w:ind w:firstLine="640"/>
        <w:rPr>
          <w:rFonts w:hint="eastAsia" w:hAnsi="Times New Roman"/>
        </w:rPr>
      </w:pPr>
      <w:r>
        <w:rPr>
          <w:rFonts w:hint="eastAsia" w:hAnsi="Times New Roman"/>
        </w:rPr>
        <w:t>3.应在应急管理部门公告的专家库中选择与化工园区开发建设相关专业的5名以上专家组成专家组，提前5日将审查材料送专家审查，应采用集中审查的方式对《化工园区整体风险评估报告》进行审查。专家应依法依规严格审查，客观公正填写审查要点。</w:t>
      </w:r>
    </w:p>
    <w:p w14:paraId="56DCAA2D">
      <w:pPr>
        <w:ind w:firstLine="640"/>
        <w:rPr>
          <w:rFonts w:hAnsi="Times New Roman"/>
        </w:rPr>
      </w:pPr>
      <w:r>
        <w:rPr>
          <w:rFonts w:hint="eastAsia" w:hAnsi="Times New Roman"/>
        </w:rPr>
        <w:t>4.《化工园区整体风险评估报告》完成后，由园区办存档备查。</w:t>
      </w:r>
    </w:p>
    <w:p w14:paraId="26C5D22B">
      <w:pPr>
        <w:ind w:firstLine="640"/>
        <w:rPr>
          <w:rFonts w:hint="eastAsia" w:hAnsi="Times New Roman"/>
        </w:rPr>
      </w:pPr>
    </w:p>
    <w:p w14:paraId="3FB7F04F">
      <w:pPr>
        <w:pStyle w:val="3"/>
        <w:ind w:firstLine="640"/>
        <w:jc w:val="left"/>
        <w:rPr>
          <w:rFonts w:ascii="黑体" w:hAnsi="黑体" w:eastAsia="黑体"/>
          <w:b w:val="0"/>
          <w:bCs/>
          <w:sz w:val="32"/>
          <w:szCs w:val="21"/>
        </w:rPr>
      </w:pPr>
      <w:bookmarkStart w:id="14" w:name="_Toc21502"/>
      <w:r>
        <w:rPr>
          <w:rFonts w:hint="eastAsia" w:ascii="黑体" w:hAnsi="黑体" w:eastAsia="黑体"/>
          <w:b w:val="0"/>
          <w:bCs/>
          <w:sz w:val="32"/>
          <w:szCs w:val="21"/>
        </w:rPr>
        <w:t>八</w:t>
      </w:r>
      <w:r>
        <w:rPr>
          <w:rFonts w:ascii="黑体" w:hAnsi="黑体" w:eastAsia="黑体"/>
          <w:b w:val="0"/>
          <w:bCs/>
          <w:sz w:val="32"/>
          <w:szCs w:val="21"/>
        </w:rPr>
        <w:t>、土地规划安全控制线划定要求</w:t>
      </w:r>
      <w:bookmarkEnd w:id="14"/>
    </w:p>
    <w:p w14:paraId="65D2B00B">
      <w:pPr>
        <w:pStyle w:val="4"/>
        <w:ind w:firstLine="643"/>
      </w:pPr>
      <w:r>
        <w:rPr>
          <w:rFonts w:hint="eastAsia"/>
        </w:rPr>
        <w:t>（一）划定目的</w:t>
      </w:r>
    </w:p>
    <w:p w14:paraId="522F50C7">
      <w:pPr>
        <w:ind w:firstLine="640"/>
        <w:rPr>
          <w:rFonts w:ascii="Times New Roman" w:hAnsi="Times New Roman"/>
        </w:rPr>
      </w:pPr>
      <w:r>
        <w:rPr>
          <w:rFonts w:hint="eastAsia" w:hAnsi="Times New Roman"/>
        </w:rPr>
        <w:t>化工园区周边土地规划安全控制线的划定是为了解决化工园区“四至范围”外的</w:t>
      </w:r>
      <w:r>
        <w:rPr>
          <w:rFonts w:ascii="Times New Roman" w:hAnsi="Times New Roman"/>
        </w:rPr>
        <w:t>土地合理开发和安全利用，避免石化围城和城围石化，降低园区对周边防护目标的影响。</w:t>
      </w:r>
    </w:p>
    <w:p w14:paraId="07EC84F4">
      <w:pPr>
        <w:pStyle w:val="4"/>
        <w:ind w:firstLine="643"/>
      </w:pPr>
      <w:r>
        <w:rPr>
          <w:rFonts w:hint="eastAsia"/>
        </w:rPr>
        <w:t>（二）划定原则</w:t>
      </w:r>
    </w:p>
    <w:p w14:paraId="66BEEB70">
      <w:pPr>
        <w:ind w:firstLine="640"/>
        <w:rPr>
          <w:rFonts w:hint="eastAsia" w:hAnsi="Times New Roman"/>
        </w:rPr>
      </w:pPr>
      <w:r>
        <w:rPr>
          <w:rFonts w:hint="eastAsia" w:hAnsi="Times New Roman"/>
        </w:rPr>
        <w:t>化工园区周边土地规划安全控制线应沿着化工园区“四至范围”向外划定。</w:t>
      </w:r>
    </w:p>
    <w:p w14:paraId="08F4AA21">
      <w:pPr>
        <w:ind w:firstLine="640"/>
        <w:rPr>
          <w:rFonts w:hint="eastAsia" w:hAnsi="Times New Roman"/>
        </w:rPr>
      </w:pPr>
      <w:r>
        <w:rPr>
          <w:rFonts w:hint="eastAsia" w:hAnsi="Times New Roman"/>
        </w:rPr>
        <w:t>1.应大于相关标准规定的安全间距要求；</w:t>
      </w:r>
    </w:p>
    <w:p w14:paraId="7EE1BED4">
      <w:pPr>
        <w:ind w:firstLine="640"/>
        <w:rPr>
          <w:rFonts w:hint="eastAsia" w:hAnsi="Times New Roman"/>
        </w:rPr>
      </w:pPr>
      <w:r>
        <w:rPr>
          <w:rFonts w:hint="eastAsia" w:hAnsi="Times New Roman"/>
        </w:rPr>
        <w:t>2.应大于园区整体性定量风险评估的3×10</w:t>
      </w:r>
      <w:r>
        <w:rPr>
          <w:rFonts w:hint="eastAsia" w:hAnsi="Times New Roman"/>
          <w:vertAlign w:val="superscript"/>
        </w:rPr>
        <w:t>-7</w:t>
      </w:r>
      <w:r>
        <w:rPr>
          <w:rFonts w:hint="eastAsia" w:hAnsi="Times New Roman"/>
        </w:rPr>
        <w:t>/年个人风险等值线的范围；</w:t>
      </w:r>
    </w:p>
    <w:p w14:paraId="22747EDE">
      <w:pPr>
        <w:ind w:firstLine="640"/>
        <w:rPr>
          <w:rFonts w:ascii="Times New Roman" w:hAnsi="Times New Roman"/>
        </w:rPr>
      </w:pPr>
      <w:r>
        <w:rPr>
          <w:rFonts w:hint="eastAsia" w:hAnsi="Times New Roman"/>
        </w:rPr>
        <w:t>3.重大事故影响范围；</w:t>
      </w:r>
    </w:p>
    <w:p w14:paraId="169C5F63">
      <w:pPr>
        <w:ind w:firstLine="640"/>
        <w:rPr>
          <w:rFonts w:ascii="Times New Roman" w:hAnsi="Times New Roman"/>
        </w:rPr>
      </w:pPr>
      <w:r>
        <w:rPr>
          <w:rFonts w:hint="eastAsia" w:ascii="Times New Roman" w:hAnsi="Times New Roman"/>
        </w:rPr>
        <w:t>综合考虑上述范围对周边防护目标的影响，划定化工园区周边土地规划安全控制线。</w:t>
      </w:r>
    </w:p>
    <w:p w14:paraId="63EAFB8B">
      <w:pPr>
        <w:pStyle w:val="4"/>
        <w:ind w:firstLine="643"/>
      </w:pPr>
      <w:r>
        <w:rPr>
          <w:rFonts w:hint="eastAsia"/>
        </w:rPr>
        <w:t>（三）实施流程</w:t>
      </w:r>
    </w:p>
    <w:p w14:paraId="051296E4">
      <w:pPr>
        <w:ind w:firstLine="640"/>
        <w:rPr>
          <w:rFonts w:hint="eastAsia" w:hAnsi="Times New Roman"/>
        </w:rPr>
      </w:pPr>
      <w:r>
        <w:rPr>
          <w:rFonts w:hint="eastAsia" w:hAnsi="Times New Roman"/>
        </w:rPr>
        <w:t>1.划定化工园区土地规划安全控制线后分别报送市、区规划部门和应急部门备案。</w:t>
      </w:r>
    </w:p>
    <w:p w14:paraId="1528DE17">
      <w:pPr>
        <w:ind w:firstLine="640"/>
        <w:rPr>
          <w:rFonts w:hint="eastAsia" w:hAnsi="Times New Roman"/>
        </w:rPr>
      </w:pPr>
      <w:r>
        <w:rPr>
          <w:rFonts w:hint="eastAsia" w:hAnsi="Times New Roman"/>
        </w:rPr>
        <w:t>2.严格控制化工园区周边土地开发利用，安全控制线范围内的开发建设项目应经过安全风险评估，满足安全风险控制要求。</w:t>
      </w:r>
    </w:p>
    <w:p w14:paraId="0CE259A8">
      <w:pPr>
        <w:ind w:firstLine="0" w:firstLineChars="0"/>
        <w:rPr>
          <w:rFonts w:ascii="Times New Roman" w:hAnsi="Times New Roman"/>
        </w:rPr>
      </w:pPr>
    </w:p>
    <w:p w14:paraId="6AF5003C">
      <w:pPr>
        <w:ind w:firstLine="640"/>
        <w:rPr>
          <w:rFonts w:ascii="Times New Roman" w:hAnsi="Times New Roman"/>
        </w:rPr>
        <w:sectPr>
          <w:pgSz w:w="11906" w:h="16838"/>
          <w:pgMar w:top="2098" w:right="1531" w:bottom="1984" w:left="1531" w:header="851" w:footer="1417" w:gutter="0"/>
          <w:cols w:space="720" w:num="1"/>
          <w:docGrid w:type="lines" w:linePitch="439" w:charSpace="0"/>
        </w:sectPr>
      </w:pPr>
    </w:p>
    <w:p w14:paraId="60FA3AE7">
      <w:pPr>
        <w:pStyle w:val="2"/>
        <w:spacing w:before="0" w:after="0" w:line="600" w:lineRule="exact"/>
        <w:rPr>
          <w:rFonts w:ascii="Times New Roman" w:hAnsi="Times New Roman"/>
        </w:rPr>
      </w:pPr>
      <w:bookmarkStart w:id="15" w:name="_Toc14772"/>
      <w:r>
        <w:rPr>
          <w:rFonts w:ascii="Times New Roman" w:hAnsi="Times New Roman"/>
        </w:rPr>
        <w:t xml:space="preserve">第三章 </w:t>
      </w:r>
      <w:r>
        <w:rPr>
          <w:rFonts w:hint="eastAsia" w:ascii="Times New Roman" w:hAnsi="Times New Roman"/>
        </w:rPr>
        <w:t xml:space="preserve"> </w:t>
      </w:r>
      <w:r>
        <w:rPr>
          <w:rFonts w:ascii="Times New Roman" w:hAnsi="Times New Roman"/>
        </w:rPr>
        <w:t>项目</w:t>
      </w:r>
      <w:r>
        <w:rPr>
          <w:rFonts w:hint="eastAsia" w:ascii="Times New Roman" w:hAnsi="Times New Roman"/>
        </w:rPr>
        <w:t>准入与退出</w:t>
      </w:r>
      <w:bookmarkEnd w:id="15"/>
    </w:p>
    <w:p w14:paraId="6CF09C2F">
      <w:pPr>
        <w:ind w:firstLine="640"/>
        <w:rPr>
          <w:rFonts w:hint="eastAsia"/>
        </w:rPr>
      </w:pPr>
    </w:p>
    <w:p w14:paraId="7A57C375">
      <w:pPr>
        <w:pStyle w:val="3"/>
        <w:spacing w:line="600" w:lineRule="exact"/>
        <w:ind w:firstLine="640"/>
        <w:jc w:val="left"/>
        <w:rPr>
          <w:rFonts w:ascii="黑体" w:hAnsi="黑体" w:eastAsia="黑体"/>
          <w:b w:val="0"/>
          <w:bCs/>
          <w:sz w:val="32"/>
          <w:szCs w:val="21"/>
        </w:rPr>
      </w:pPr>
      <w:bookmarkStart w:id="16" w:name="_Toc10193"/>
      <w:bookmarkStart w:id="17" w:name="_Toc5507"/>
      <w:r>
        <w:rPr>
          <w:rFonts w:hint="eastAsia" w:ascii="黑体" w:hAnsi="黑体" w:eastAsia="黑体"/>
          <w:b w:val="0"/>
          <w:bCs/>
          <w:sz w:val="32"/>
          <w:szCs w:val="21"/>
        </w:rPr>
        <w:t>九</w:t>
      </w:r>
      <w:r>
        <w:rPr>
          <w:rFonts w:ascii="黑体" w:hAnsi="黑体" w:eastAsia="黑体"/>
          <w:b w:val="0"/>
          <w:bCs/>
          <w:sz w:val="32"/>
          <w:szCs w:val="21"/>
        </w:rPr>
        <w:t>、</w:t>
      </w:r>
      <w:bookmarkEnd w:id="16"/>
      <w:r>
        <w:rPr>
          <w:rFonts w:ascii="黑体" w:hAnsi="黑体" w:eastAsia="黑体"/>
          <w:b w:val="0"/>
          <w:bCs/>
          <w:sz w:val="32"/>
          <w:szCs w:val="21"/>
        </w:rPr>
        <w:t>危险化学品建设项目安全准入条件（试行）</w:t>
      </w:r>
      <w:bookmarkEnd w:id="17"/>
    </w:p>
    <w:p w14:paraId="3A89B5A9">
      <w:pPr>
        <w:pStyle w:val="9"/>
        <w:overflowPunct w:val="0"/>
        <w:autoSpaceDE w:val="0"/>
        <w:autoSpaceDN w:val="0"/>
        <w:spacing w:line="640" w:lineRule="exact"/>
        <w:ind w:firstLine="643"/>
        <w:rPr>
          <w:rFonts w:ascii="Times New Roman" w:hAnsi="Times New Roman" w:eastAsia="仿宋_GB2312"/>
          <w:color w:val="000000"/>
          <w:szCs w:val="32"/>
        </w:rPr>
      </w:pPr>
      <w:r>
        <w:rPr>
          <w:rFonts w:ascii="Times New Roman" w:hAnsi="Times New Roman" w:eastAsia="楷体_GB2312"/>
          <w:b/>
          <w:bCs/>
          <w:color w:val="000000"/>
          <w:szCs w:val="32"/>
        </w:rPr>
        <w:t>第一条</w:t>
      </w:r>
      <w:r>
        <w:rPr>
          <w:rFonts w:ascii="Times New Roman" w:hAnsi="Times New Roman" w:eastAsia="仿宋_GB2312"/>
          <w:color w:val="000000"/>
          <w:szCs w:val="32"/>
        </w:rPr>
        <w:t xml:space="preserve"> </w:t>
      </w:r>
      <w:r>
        <w:rPr>
          <w:rFonts w:hint="eastAsia" w:ascii="Times New Roman" w:hAnsi="Times New Roman" w:eastAsia="仿宋_GB2312"/>
          <w:color w:val="000000"/>
          <w:szCs w:val="32"/>
        </w:rPr>
        <w:t xml:space="preserve"> </w:t>
      </w:r>
      <w:r>
        <w:rPr>
          <w:rFonts w:ascii="Times New Roman" w:hAnsi="Times New Roman" w:eastAsia="仿宋_GB2312"/>
          <w:color w:val="000000"/>
          <w:szCs w:val="32"/>
        </w:rPr>
        <w:t>为进一步明确危险化学品建设项目安全准入标准，加强危险化学品建设项目安全管理，科学合理布局危险化学品建设项目，有效防控安全风险，根据《中华人民共和国安全生产法》、《危险化学品安全管理条例》、《</w:t>
      </w:r>
      <w:bookmarkStart w:id="18" w:name="OLE_LINK1"/>
      <w:r>
        <w:rPr>
          <w:rFonts w:ascii="Times New Roman" w:hAnsi="Times New Roman" w:eastAsia="仿宋_GB2312"/>
          <w:color w:val="000000"/>
          <w:szCs w:val="32"/>
        </w:rPr>
        <w:t>湖北省安全生产条例</w:t>
      </w:r>
      <w:bookmarkEnd w:id="18"/>
      <w:r>
        <w:rPr>
          <w:rFonts w:ascii="Times New Roman" w:hAnsi="Times New Roman" w:eastAsia="仿宋_GB2312"/>
          <w:color w:val="000000"/>
          <w:szCs w:val="32"/>
        </w:rPr>
        <w:t>》等法律法规的规定，结合园区实际，制订本准入条件。</w:t>
      </w:r>
    </w:p>
    <w:p w14:paraId="519407EA">
      <w:pPr>
        <w:pStyle w:val="9"/>
        <w:overflowPunct w:val="0"/>
        <w:autoSpaceDE w:val="0"/>
        <w:autoSpaceDN w:val="0"/>
        <w:spacing w:line="640" w:lineRule="exact"/>
        <w:ind w:firstLine="643"/>
        <w:rPr>
          <w:rFonts w:ascii="Times New Roman" w:hAnsi="Times New Roman" w:eastAsia="仿宋_GB2312"/>
          <w:color w:val="000000"/>
          <w:szCs w:val="32"/>
        </w:rPr>
      </w:pPr>
      <w:r>
        <w:rPr>
          <w:rFonts w:ascii="Times New Roman" w:hAnsi="Times New Roman" w:eastAsia="楷体_GB2312"/>
          <w:b/>
          <w:bCs/>
          <w:color w:val="000000"/>
          <w:szCs w:val="32"/>
        </w:rPr>
        <w:t>第二条</w:t>
      </w:r>
      <w:r>
        <w:rPr>
          <w:rFonts w:hint="eastAsia" w:ascii="Times New Roman" w:hAnsi="Times New Roman" w:eastAsia="楷体_GB2312"/>
          <w:b/>
          <w:bCs/>
          <w:color w:val="000000"/>
          <w:szCs w:val="32"/>
        </w:rPr>
        <w:t xml:space="preserve"> </w:t>
      </w:r>
      <w:r>
        <w:rPr>
          <w:rFonts w:ascii="Times New Roman" w:hAnsi="Times New Roman" w:eastAsia="仿宋_GB2312"/>
          <w:color w:val="000000"/>
          <w:szCs w:val="32"/>
        </w:rPr>
        <w:t xml:space="preserve"> 危险化学品建设项目是指随州市青春化工工业园区内新建危险化学品生产、储存的建设项目。</w:t>
      </w:r>
    </w:p>
    <w:p w14:paraId="26701B1D">
      <w:pPr>
        <w:pStyle w:val="9"/>
        <w:overflowPunct w:val="0"/>
        <w:autoSpaceDE w:val="0"/>
        <w:autoSpaceDN w:val="0"/>
        <w:spacing w:line="640" w:lineRule="exact"/>
        <w:ind w:firstLine="643"/>
        <w:rPr>
          <w:rFonts w:ascii="Times New Roman" w:hAnsi="Times New Roman" w:eastAsia="仿宋_GB2312"/>
          <w:color w:val="000000"/>
          <w:szCs w:val="32"/>
        </w:rPr>
      </w:pPr>
      <w:r>
        <w:rPr>
          <w:rFonts w:ascii="Times New Roman" w:hAnsi="Times New Roman" w:eastAsia="楷体_GB2312"/>
          <w:b/>
          <w:bCs/>
          <w:color w:val="000000"/>
          <w:szCs w:val="32"/>
        </w:rPr>
        <w:t>第三条</w:t>
      </w:r>
      <w:r>
        <w:rPr>
          <w:rFonts w:hint="eastAsia" w:ascii="Times New Roman" w:hAnsi="Times New Roman" w:eastAsia="楷体_GB2312"/>
          <w:b/>
          <w:bCs/>
          <w:color w:val="000000"/>
          <w:szCs w:val="32"/>
        </w:rPr>
        <w:t xml:space="preserve"> </w:t>
      </w:r>
      <w:r>
        <w:rPr>
          <w:rFonts w:ascii="Times New Roman" w:hAnsi="Times New Roman" w:eastAsia="仿宋_GB2312"/>
          <w:color w:val="000000"/>
          <w:szCs w:val="32"/>
        </w:rPr>
        <w:t xml:space="preserve"> 危险化学品建设项目选址应符合《长江保护法》和园区整体规划要求。</w:t>
      </w:r>
    </w:p>
    <w:p w14:paraId="148E5686">
      <w:pPr>
        <w:pStyle w:val="9"/>
        <w:overflowPunct w:val="0"/>
        <w:autoSpaceDE w:val="0"/>
        <w:autoSpaceDN w:val="0"/>
        <w:spacing w:line="640" w:lineRule="exact"/>
        <w:ind w:firstLine="643"/>
        <w:rPr>
          <w:rFonts w:ascii="Times New Roman" w:hAnsi="Times New Roman" w:eastAsia="仿宋_GB2312"/>
          <w:color w:val="000000"/>
          <w:szCs w:val="32"/>
        </w:rPr>
      </w:pPr>
      <w:r>
        <w:rPr>
          <w:rFonts w:ascii="Times New Roman" w:hAnsi="Times New Roman" w:eastAsia="楷体_GB2312"/>
          <w:b/>
          <w:bCs/>
          <w:color w:val="000000"/>
          <w:szCs w:val="32"/>
        </w:rPr>
        <w:t>第四条</w:t>
      </w:r>
      <w:r>
        <w:rPr>
          <w:rFonts w:hint="eastAsia" w:ascii="Times New Roman" w:hAnsi="Times New Roman" w:eastAsia="楷体_GB2312"/>
          <w:b/>
          <w:bCs/>
          <w:color w:val="000000"/>
          <w:szCs w:val="32"/>
        </w:rPr>
        <w:t xml:space="preserve"> </w:t>
      </w:r>
      <w:r>
        <w:rPr>
          <w:rFonts w:ascii="Times New Roman" w:hAnsi="Times New Roman" w:eastAsia="仿宋_GB2312"/>
          <w:color w:val="000000"/>
          <w:szCs w:val="32"/>
        </w:rPr>
        <w:t xml:space="preserve"> 危险化学品建设项目应布局在合规化工园区内，应当符合国家产业发展政策；符合随州市青春化工工业园产业发展规划、“禁限控”目录及规划环评准入要求，严禁建设与园区产业发展规划无关的项目；严禁采用列入《淘汰落后危险化学品安全生产工艺技术设备目录》的工艺技术设备。优先引入围绕本化工园区主导产业延链、强链、补链项目。</w:t>
      </w:r>
    </w:p>
    <w:p w14:paraId="2FD449AC">
      <w:pPr>
        <w:pStyle w:val="9"/>
        <w:overflowPunct w:val="0"/>
        <w:autoSpaceDE w:val="0"/>
        <w:autoSpaceDN w:val="0"/>
        <w:spacing w:line="640" w:lineRule="exact"/>
        <w:ind w:firstLine="643"/>
        <w:rPr>
          <w:rFonts w:ascii="Times New Roman" w:hAnsi="Times New Roman" w:eastAsia="仿宋_GB2312"/>
          <w:color w:val="000000"/>
          <w:szCs w:val="32"/>
        </w:rPr>
      </w:pPr>
      <w:r>
        <w:rPr>
          <w:rFonts w:ascii="Times New Roman" w:hAnsi="Times New Roman" w:eastAsia="楷体_GB2312"/>
          <w:b/>
          <w:bCs/>
          <w:color w:val="000000"/>
          <w:szCs w:val="32"/>
        </w:rPr>
        <w:t>第五条</w:t>
      </w:r>
      <w:r>
        <w:rPr>
          <w:rFonts w:ascii="Times New Roman" w:hAnsi="Times New Roman" w:eastAsia="仿宋_GB2312"/>
          <w:color w:val="000000"/>
          <w:szCs w:val="32"/>
        </w:rPr>
        <w:t xml:space="preserve"> </w:t>
      </w:r>
      <w:r>
        <w:rPr>
          <w:rFonts w:hint="eastAsia" w:ascii="Times New Roman" w:hAnsi="Times New Roman" w:eastAsia="仿宋_GB2312"/>
          <w:color w:val="000000"/>
          <w:szCs w:val="32"/>
        </w:rPr>
        <w:t xml:space="preserve"> </w:t>
      </w:r>
      <w:r>
        <w:rPr>
          <w:rFonts w:ascii="Times New Roman" w:hAnsi="Times New Roman" w:eastAsia="仿宋_GB2312"/>
          <w:color w:val="000000"/>
          <w:szCs w:val="32"/>
        </w:rPr>
        <w:t>建设项目应按照《化学品物理危险性鉴定与分类管理办法》（国家安全生产监督管理总局令第60号），严格落实化学品鉴定评估与登记有关规定，科学准确鉴定评估化学品的物理危险性、毒性，危险特性不明的严禁准入。</w:t>
      </w:r>
    </w:p>
    <w:p w14:paraId="150F9B1D">
      <w:pPr>
        <w:pStyle w:val="9"/>
        <w:overflowPunct w:val="0"/>
        <w:autoSpaceDE w:val="0"/>
        <w:autoSpaceDN w:val="0"/>
        <w:spacing w:line="640" w:lineRule="exact"/>
        <w:ind w:firstLine="643"/>
        <w:rPr>
          <w:rFonts w:ascii="Times New Roman" w:hAnsi="Times New Roman" w:eastAsia="仿宋_GB2312"/>
          <w:color w:val="000000"/>
          <w:szCs w:val="32"/>
        </w:rPr>
      </w:pPr>
      <w:r>
        <w:rPr>
          <w:rFonts w:ascii="Times New Roman" w:hAnsi="Times New Roman" w:eastAsia="楷体_GB2312"/>
          <w:b/>
          <w:bCs/>
          <w:color w:val="000000"/>
          <w:szCs w:val="32"/>
        </w:rPr>
        <w:t>第六条</w:t>
      </w:r>
      <w:r>
        <w:rPr>
          <w:rFonts w:ascii="Times New Roman" w:hAnsi="Times New Roman" w:eastAsia="仿宋_GB2312"/>
          <w:color w:val="000000"/>
          <w:szCs w:val="32"/>
        </w:rPr>
        <w:t xml:space="preserve"> </w:t>
      </w:r>
      <w:r>
        <w:rPr>
          <w:rFonts w:hint="eastAsia" w:ascii="Times New Roman" w:hAnsi="Times New Roman" w:eastAsia="仿宋_GB2312"/>
          <w:color w:val="000000"/>
          <w:szCs w:val="32"/>
        </w:rPr>
        <w:t xml:space="preserve"> </w:t>
      </w:r>
      <w:r>
        <w:rPr>
          <w:rFonts w:ascii="Times New Roman" w:hAnsi="Times New Roman" w:eastAsia="仿宋_GB2312"/>
          <w:color w:val="000000"/>
          <w:szCs w:val="32"/>
        </w:rPr>
        <w:t>建设项目采用的生产工艺技术应当来源合法、成熟安全可靠。从省外引入的精细化工项目与原企业生产工艺技术发生重大变化的，以及国内首次使用的化工工艺，应当通过省组织的安全可靠性论证，严禁引入异地淘汰的落后生产工艺。</w:t>
      </w:r>
    </w:p>
    <w:p w14:paraId="7648F43C">
      <w:pPr>
        <w:pStyle w:val="9"/>
        <w:overflowPunct w:val="0"/>
        <w:autoSpaceDE w:val="0"/>
        <w:autoSpaceDN w:val="0"/>
        <w:spacing w:line="640" w:lineRule="exact"/>
        <w:ind w:firstLine="643"/>
        <w:rPr>
          <w:rFonts w:ascii="Times New Roman" w:hAnsi="Times New Roman" w:eastAsia="仿宋_GB2312"/>
          <w:color w:val="000000"/>
          <w:szCs w:val="32"/>
        </w:rPr>
      </w:pPr>
      <w:r>
        <w:rPr>
          <w:rFonts w:ascii="Times New Roman" w:hAnsi="Times New Roman" w:eastAsia="楷体_GB2312"/>
          <w:b/>
          <w:bCs/>
          <w:color w:val="000000"/>
          <w:szCs w:val="32"/>
        </w:rPr>
        <w:t>第七条</w:t>
      </w:r>
      <w:r>
        <w:rPr>
          <w:rFonts w:ascii="Times New Roman" w:hAnsi="Times New Roman" w:eastAsia="仿宋_GB2312"/>
          <w:color w:val="000000"/>
          <w:szCs w:val="32"/>
        </w:rPr>
        <w:t xml:space="preserve"> </w:t>
      </w:r>
      <w:r>
        <w:rPr>
          <w:rFonts w:hint="eastAsia" w:ascii="Times New Roman" w:hAnsi="Times New Roman" w:eastAsia="仿宋_GB2312"/>
          <w:color w:val="000000"/>
          <w:szCs w:val="32"/>
        </w:rPr>
        <w:t xml:space="preserve"> </w:t>
      </w:r>
      <w:r>
        <w:rPr>
          <w:rFonts w:ascii="Times New Roman" w:hAnsi="Times New Roman" w:eastAsia="仿宋_GB2312"/>
          <w:color w:val="000000"/>
          <w:szCs w:val="32"/>
        </w:rPr>
        <w:t>精细化工项目应按规定进行反应安全风险评估，并确定反应工艺危险度等级。对涉及重点监管危险化工工艺和金属有机物合成反应的间歇、半间歇反应的精细化工建设项目，应在项目立项前完成反应安全风险评估。涉及硝化、氯化、氟化、重氮化、过氧化工艺的精细化工生产建设项目应进行有关产品生产工艺全流程的反应安全风险评估，并对相关原料、中间产品、产品及副产物进行热稳定性测试和蒸馏、干燥、储存等单元操作的风险评估。反应工艺危险等级达到四级及以上的禁止入园。严禁新（扩）建生产光气、氯气、氰化钠、氰化钾、氰化氢等剧毒化学品，硝酸铵、硝酸胍、氯酸钠、氯酸钾等特别管控危险化学品，涉及间歇、半间歇法硝化反应的建设项目。</w:t>
      </w:r>
    </w:p>
    <w:p w14:paraId="601601FF">
      <w:pPr>
        <w:pStyle w:val="9"/>
        <w:overflowPunct w:val="0"/>
        <w:autoSpaceDE w:val="0"/>
        <w:autoSpaceDN w:val="0"/>
        <w:spacing w:line="640" w:lineRule="exact"/>
        <w:ind w:firstLine="643"/>
        <w:rPr>
          <w:rFonts w:ascii="Times New Roman" w:hAnsi="Times New Roman" w:eastAsia="仿宋_GB2312"/>
          <w:color w:val="000000"/>
          <w:szCs w:val="32"/>
        </w:rPr>
      </w:pPr>
      <w:r>
        <w:rPr>
          <w:rFonts w:ascii="Times New Roman" w:hAnsi="Times New Roman" w:eastAsia="楷体_GB2312"/>
          <w:b/>
          <w:bCs/>
          <w:color w:val="000000"/>
          <w:szCs w:val="32"/>
        </w:rPr>
        <w:t>第八条</w:t>
      </w:r>
      <w:r>
        <w:rPr>
          <w:rFonts w:hint="eastAsia" w:ascii="Times New Roman" w:hAnsi="Times New Roman" w:eastAsia="楷体_GB2312"/>
          <w:b/>
          <w:bCs/>
          <w:color w:val="000000"/>
          <w:szCs w:val="32"/>
        </w:rPr>
        <w:t xml:space="preserve"> </w:t>
      </w:r>
      <w:r>
        <w:rPr>
          <w:rFonts w:ascii="Times New Roman" w:hAnsi="Times New Roman" w:eastAsia="仿宋_GB2312"/>
          <w:color w:val="000000"/>
          <w:szCs w:val="32"/>
        </w:rPr>
        <w:t xml:space="preserve"> 建设项目应满足法律法规、规章及标准规范关于自动化水平建设的要求，自动化水平应居于国内同行业先进水平，实现现场无人操作或最大程度减少现场作业人员数量。装备自动化控制系统、紧急停车系统、可燃有毒气体检测报警系统、视频监控系统等，配备符合要求的安全仪表系统。涉及硝化、氯化、氟化、重氮化、过氧化等高危工艺装置的上下游配套装置应实现原料处理、反应工序、精馏精制和产品储存（包装）等全流程自动化。涉及“两重点一重大”的建设项目应设置符合要求的ESD控制和独立的SIS系统。“两重点一重大”的生产装置和储存设施应按规定建设安全生产风险监测预警系统，实现24小时在线监测，将重点部位的视频监控实时图像、重要监测数据和预警数据向园区实时传输。应施行DCS等自动化控制，涉及两重点一重大的项目</w:t>
      </w:r>
    </w:p>
    <w:p w14:paraId="4BDC5C39">
      <w:pPr>
        <w:pStyle w:val="9"/>
        <w:overflowPunct w:val="0"/>
        <w:autoSpaceDE w:val="0"/>
        <w:autoSpaceDN w:val="0"/>
        <w:spacing w:line="640" w:lineRule="exact"/>
        <w:ind w:firstLine="643"/>
        <w:rPr>
          <w:rFonts w:ascii="Times New Roman" w:hAnsi="Times New Roman" w:eastAsia="仿宋_GB2312"/>
          <w:color w:val="000000"/>
          <w:szCs w:val="32"/>
        </w:rPr>
      </w:pPr>
      <w:r>
        <w:rPr>
          <w:rFonts w:ascii="Times New Roman" w:hAnsi="Times New Roman" w:eastAsia="楷体_GB2312"/>
          <w:b/>
          <w:bCs/>
          <w:color w:val="000000"/>
          <w:szCs w:val="32"/>
        </w:rPr>
        <w:t>第九条</w:t>
      </w:r>
      <w:r>
        <w:rPr>
          <w:rFonts w:hint="eastAsia" w:ascii="Times New Roman" w:hAnsi="Times New Roman" w:eastAsia="楷体_GB2312"/>
          <w:b/>
          <w:bCs/>
          <w:color w:val="000000"/>
          <w:szCs w:val="32"/>
        </w:rPr>
        <w:t xml:space="preserve"> </w:t>
      </w:r>
      <w:r>
        <w:rPr>
          <w:rFonts w:ascii="Times New Roman" w:hAnsi="Times New Roman" w:eastAsia="仿宋_GB2312"/>
          <w:color w:val="000000"/>
          <w:szCs w:val="32"/>
        </w:rPr>
        <w:t xml:space="preserve"> 项目建设原单位的安全业绩应为良好状况。对涉及“两重点一重大”生产装置和储存设施的，主要负责人必须具备化学、化工、安全等相关专业大专及以上学历，或化工类中级及以上职称。建设单位应通过内部培养、招聘、签订培养协议等方式，建立满足安全生产需要的专业技术人员和操作人员储备。禁止引进发生多次影响力较大事故的投资方建设项目。</w:t>
      </w:r>
    </w:p>
    <w:p w14:paraId="36C56FFB">
      <w:pPr>
        <w:pStyle w:val="9"/>
        <w:overflowPunct w:val="0"/>
        <w:autoSpaceDE w:val="0"/>
        <w:autoSpaceDN w:val="0"/>
        <w:spacing w:line="640" w:lineRule="exact"/>
        <w:ind w:firstLine="643"/>
        <w:rPr>
          <w:rFonts w:ascii="Times New Roman" w:hAnsi="Times New Roman" w:eastAsia="仿宋_GB2312"/>
          <w:color w:val="000000"/>
          <w:szCs w:val="32"/>
        </w:rPr>
      </w:pPr>
      <w:r>
        <w:rPr>
          <w:rFonts w:ascii="Times New Roman" w:hAnsi="Times New Roman" w:eastAsia="楷体_GB2312"/>
          <w:b/>
          <w:bCs/>
          <w:color w:val="000000"/>
          <w:szCs w:val="32"/>
        </w:rPr>
        <w:t>第十条</w:t>
      </w:r>
      <w:r>
        <w:rPr>
          <w:rFonts w:ascii="Times New Roman" w:hAnsi="Times New Roman" w:eastAsia="仿宋_GB2312"/>
          <w:color w:val="000000"/>
          <w:szCs w:val="32"/>
        </w:rPr>
        <w:t xml:space="preserve"> </w:t>
      </w:r>
      <w:r>
        <w:rPr>
          <w:rFonts w:hint="eastAsia" w:ascii="Times New Roman" w:hAnsi="Times New Roman" w:eastAsia="仿宋_GB2312"/>
          <w:color w:val="000000"/>
          <w:szCs w:val="32"/>
        </w:rPr>
        <w:t xml:space="preserve"> </w:t>
      </w:r>
      <w:r>
        <w:rPr>
          <w:rFonts w:ascii="Times New Roman" w:hAnsi="Times New Roman" w:eastAsia="仿宋_GB2312"/>
          <w:color w:val="000000"/>
          <w:szCs w:val="32"/>
        </w:rPr>
        <w:t>严格限制涉及光气的危险化学品建设项目，从严控制涉及剧毒化学品生产的危险化学品建设项目。</w:t>
      </w:r>
    </w:p>
    <w:p w14:paraId="7AEB7307">
      <w:pPr>
        <w:pStyle w:val="9"/>
        <w:overflowPunct w:val="0"/>
        <w:autoSpaceDE w:val="0"/>
        <w:autoSpaceDN w:val="0"/>
        <w:spacing w:line="640" w:lineRule="exact"/>
        <w:ind w:firstLine="643"/>
        <w:rPr>
          <w:rFonts w:ascii="Times New Roman" w:hAnsi="Times New Roman" w:eastAsia="仿宋_GB2312"/>
          <w:color w:val="000000"/>
          <w:szCs w:val="32"/>
        </w:rPr>
      </w:pPr>
      <w:r>
        <w:rPr>
          <w:rFonts w:ascii="Times New Roman" w:hAnsi="Times New Roman" w:eastAsia="楷体_GB2312"/>
          <w:b/>
          <w:bCs/>
          <w:color w:val="000000"/>
          <w:szCs w:val="32"/>
        </w:rPr>
        <w:t>第十一条</w:t>
      </w:r>
      <w:r>
        <w:rPr>
          <w:rFonts w:hint="eastAsia" w:ascii="Times New Roman" w:hAnsi="Times New Roman" w:eastAsia="楷体_GB2312"/>
          <w:b/>
          <w:bCs/>
          <w:color w:val="000000"/>
          <w:szCs w:val="32"/>
        </w:rPr>
        <w:t xml:space="preserve"> </w:t>
      </w:r>
      <w:r>
        <w:rPr>
          <w:rFonts w:ascii="Times New Roman" w:hAnsi="Times New Roman" w:eastAsia="仿宋_GB2312"/>
          <w:color w:val="000000"/>
          <w:szCs w:val="32"/>
        </w:rPr>
        <w:t xml:space="preserve"> 危险化学品建设项目应由具备相应资质的单位进行勘察、设计、评价和施工等。</w:t>
      </w:r>
    </w:p>
    <w:p w14:paraId="3FD017D3">
      <w:pPr>
        <w:pStyle w:val="9"/>
        <w:overflowPunct w:val="0"/>
        <w:autoSpaceDE w:val="0"/>
        <w:autoSpaceDN w:val="0"/>
        <w:spacing w:line="640" w:lineRule="exact"/>
        <w:ind w:firstLine="643"/>
        <w:rPr>
          <w:rFonts w:ascii="Times New Roman" w:hAnsi="Times New Roman" w:eastAsia="仿宋_GB2312"/>
          <w:color w:val="000000"/>
          <w:szCs w:val="32"/>
        </w:rPr>
      </w:pPr>
      <w:r>
        <w:rPr>
          <w:rFonts w:ascii="Times New Roman" w:hAnsi="Times New Roman" w:eastAsia="楷体_GB2312"/>
          <w:b/>
          <w:bCs/>
          <w:color w:val="000000"/>
          <w:szCs w:val="32"/>
        </w:rPr>
        <w:t>第十二条</w:t>
      </w:r>
      <w:r>
        <w:rPr>
          <w:rFonts w:hint="eastAsia" w:ascii="Times New Roman" w:hAnsi="Times New Roman" w:eastAsia="楷体_GB2312"/>
          <w:b/>
          <w:bCs/>
          <w:color w:val="000000"/>
          <w:szCs w:val="32"/>
        </w:rPr>
        <w:t xml:space="preserve"> </w:t>
      </w:r>
      <w:r>
        <w:rPr>
          <w:rFonts w:ascii="Times New Roman" w:hAnsi="Times New Roman" w:eastAsia="仿宋_GB2312"/>
          <w:color w:val="000000"/>
          <w:szCs w:val="32"/>
        </w:rPr>
        <w:t xml:space="preserve"> 危险化学品生产项目应严格执行环境影响评价及建设项目环境保护“三同时”制度，优先采用高效可靠的污水、废气等污染治理工艺，严格控制废气无组织排放，依法执行相关排放标准。雨水排口、污水排口、危废暂存间需加装视频监控，废气废水排口需安装在线监测设施，污染防治设施重要工段配套工况监测，相关数据应主动上传至园区指挥中心信息平台，做到实时传送。</w:t>
      </w:r>
    </w:p>
    <w:p w14:paraId="139DE425">
      <w:pPr>
        <w:pStyle w:val="9"/>
        <w:overflowPunct w:val="0"/>
        <w:autoSpaceDE w:val="0"/>
        <w:autoSpaceDN w:val="0"/>
        <w:spacing w:line="640" w:lineRule="exact"/>
        <w:ind w:firstLine="643"/>
        <w:rPr>
          <w:rFonts w:ascii="Times New Roman" w:hAnsi="Times New Roman" w:eastAsia="仿宋_GB2312"/>
          <w:color w:val="000000"/>
          <w:szCs w:val="32"/>
        </w:rPr>
      </w:pPr>
      <w:r>
        <w:rPr>
          <w:rFonts w:ascii="Times New Roman" w:hAnsi="Times New Roman" w:eastAsia="楷体_GB2312"/>
          <w:b/>
          <w:bCs/>
          <w:color w:val="000000"/>
          <w:szCs w:val="32"/>
        </w:rPr>
        <w:t xml:space="preserve">第十三条 </w:t>
      </w:r>
      <w:r>
        <w:rPr>
          <w:rFonts w:hint="eastAsia" w:ascii="Times New Roman" w:hAnsi="Times New Roman" w:eastAsia="楷体_GB2312"/>
          <w:b/>
          <w:bCs/>
          <w:color w:val="000000"/>
          <w:szCs w:val="32"/>
        </w:rPr>
        <w:t xml:space="preserve"> </w:t>
      </w:r>
      <w:r>
        <w:rPr>
          <w:rFonts w:ascii="Times New Roman" w:hAnsi="Times New Roman" w:eastAsia="仿宋_GB2312"/>
          <w:color w:val="000000"/>
          <w:szCs w:val="32"/>
        </w:rPr>
        <w:t>新建危险化学品项目亩均投资强度原则上不低于300万元，亩均税收原则上不低于40万元，亩均产出原则上不低于500万元。</w:t>
      </w:r>
    </w:p>
    <w:p w14:paraId="7553C9A0">
      <w:pPr>
        <w:pStyle w:val="9"/>
        <w:overflowPunct w:val="0"/>
        <w:autoSpaceDE w:val="0"/>
        <w:autoSpaceDN w:val="0"/>
        <w:spacing w:line="640" w:lineRule="exact"/>
        <w:ind w:firstLine="643"/>
        <w:rPr>
          <w:rFonts w:ascii="Times New Roman" w:hAnsi="Times New Roman" w:eastAsia="仿宋_GB2312"/>
          <w:color w:val="000000"/>
          <w:szCs w:val="32"/>
        </w:rPr>
      </w:pPr>
      <w:r>
        <w:rPr>
          <w:rFonts w:ascii="Times New Roman" w:hAnsi="Times New Roman" w:eastAsia="楷体_GB2312"/>
          <w:b/>
          <w:bCs/>
          <w:color w:val="000000"/>
          <w:szCs w:val="32"/>
        </w:rPr>
        <w:t>第十四条</w:t>
      </w:r>
      <w:r>
        <w:rPr>
          <w:rFonts w:hint="eastAsia" w:ascii="Times New Roman" w:hAnsi="Times New Roman" w:eastAsia="楷体_GB2312"/>
          <w:b/>
          <w:bCs/>
          <w:color w:val="000000"/>
          <w:szCs w:val="32"/>
        </w:rPr>
        <w:t xml:space="preserve"> </w:t>
      </w:r>
      <w:r>
        <w:rPr>
          <w:rFonts w:ascii="Times New Roman" w:hAnsi="Times New Roman" w:eastAsia="楷体_GB2312"/>
          <w:bCs/>
          <w:color w:val="000000"/>
        </w:rPr>
        <w:t xml:space="preserve"> </w:t>
      </w:r>
      <w:r>
        <w:rPr>
          <w:rFonts w:ascii="Times New Roman" w:hAnsi="Times New Roman" w:eastAsia="仿宋_GB2312"/>
          <w:color w:val="000000"/>
          <w:szCs w:val="32"/>
        </w:rPr>
        <w:t>本准入条件由随州高新技术产业开发区管理委员会负责解释。</w:t>
      </w:r>
    </w:p>
    <w:p w14:paraId="490EAEED">
      <w:pPr>
        <w:ind w:firstLine="643"/>
        <w:rPr>
          <w:rFonts w:ascii="Times New Roman" w:hAnsi="Times New Roman"/>
        </w:rPr>
      </w:pPr>
      <w:r>
        <w:rPr>
          <w:rFonts w:ascii="Times New Roman" w:hAnsi="Times New Roman" w:eastAsia="楷体_GB2312"/>
          <w:b/>
          <w:bCs/>
          <w:color w:val="000000"/>
          <w:szCs w:val="32"/>
        </w:rPr>
        <w:t>第十五条</w:t>
      </w:r>
      <w:r>
        <w:rPr>
          <w:rFonts w:ascii="Times New Roman" w:hAnsi="Times New Roman"/>
          <w:color w:val="000000"/>
          <w:szCs w:val="32"/>
        </w:rPr>
        <w:t xml:space="preserve"> </w:t>
      </w:r>
      <w:r>
        <w:rPr>
          <w:rFonts w:hint="eastAsia" w:ascii="Times New Roman" w:hAnsi="Times New Roman"/>
          <w:color w:val="000000"/>
          <w:szCs w:val="32"/>
        </w:rPr>
        <w:t xml:space="preserve"> </w:t>
      </w:r>
      <w:r>
        <w:rPr>
          <w:rFonts w:ascii="Times New Roman" w:hAnsi="Times New Roman"/>
          <w:color w:val="000000"/>
          <w:szCs w:val="32"/>
        </w:rPr>
        <w:t>本准入条件自公布之日起施行。</w:t>
      </w:r>
    </w:p>
    <w:p w14:paraId="0C556C04">
      <w:pPr>
        <w:ind w:firstLine="640"/>
        <w:rPr>
          <w:rFonts w:ascii="Times New Roman" w:hAnsi="Times New Roman"/>
        </w:rPr>
      </w:pPr>
    </w:p>
    <w:p w14:paraId="7F241957">
      <w:pPr>
        <w:pStyle w:val="3"/>
        <w:spacing w:line="560" w:lineRule="exact"/>
        <w:ind w:firstLine="640"/>
        <w:jc w:val="left"/>
        <w:rPr>
          <w:rFonts w:ascii="黑体" w:hAnsi="黑体" w:eastAsia="黑体"/>
          <w:b w:val="0"/>
          <w:bCs/>
          <w:sz w:val="32"/>
          <w:szCs w:val="21"/>
        </w:rPr>
      </w:pPr>
      <w:bookmarkStart w:id="19" w:name="_Toc13039"/>
      <w:r>
        <w:rPr>
          <w:rFonts w:hint="eastAsia" w:ascii="黑体" w:hAnsi="黑体" w:eastAsia="黑体"/>
          <w:b w:val="0"/>
          <w:bCs/>
          <w:sz w:val="32"/>
          <w:szCs w:val="21"/>
        </w:rPr>
        <w:t>十</w:t>
      </w:r>
      <w:r>
        <w:rPr>
          <w:rFonts w:ascii="黑体" w:hAnsi="黑体" w:eastAsia="黑体"/>
          <w:b w:val="0"/>
          <w:bCs/>
          <w:sz w:val="32"/>
          <w:szCs w:val="21"/>
        </w:rPr>
        <w:t>、产业项目准入禁限</w:t>
      </w:r>
      <w:r>
        <w:rPr>
          <w:rFonts w:hint="eastAsia" w:ascii="黑体" w:hAnsi="黑体" w:eastAsia="黑体"/>
          <w:b w:val="0"/>
          <w:bCs/>
          <w:sz w:val="32"/>
          <w:szCs w:val="21"/>
        </w:rPr>
        <w:t>（</w:t>
      </w:r>
      <w:r>
        <w:rPr>
          <w:rFonts w:ascii="黑体" w:hAnsi="黑体" w:eastAsia="黑体"/>
          <w:b w:val="0"/>
          <w:bCs/>
          <w:sz w:val="32"/>
          <w:szCs w:val="21"/>
        </w:rPr>
        <w:t>控</w:t>
      </w:r>
      <w:r>
        <w:rPr>
          <w:rFonts w:hint="eastAsia" w:ascii="黑体" w:hAnsi="黑体" w:eastAsia="黑体"/>
          <w:b w:val="0"/>
          <w:bCs/>
          <w:sz w:val="32"/>
          <w:szCs w:val="21"/>
        </w:rPr>
        <w:t>）</w:t>
      </w:r>
      <w:r>
        <w:rPr>
          <w:rFonts w:ascii="黑体" w:hAnsi="黑体" w:eastAsia="黑体"/>
          <w:b w:val="0"/>
          <w:bCs/>
          <w:sz w:val="32"/>
          <w:szCs w:val="21"/>
        </w:rPr>
        <w:t>目录</w:t>
      </w:r>
      <w:bookmarkEnd w:id="19"/>
    </w:p>
    <w:p w14:paraId="7D56D1AD">
      <w:pPr>
        <w:ind w:firstLine="640"/>
        <w:rPr>
          <w:rFonts w:hint="eastAsia" w:hAnsi="Times New Roman"/>
        </w:rPr>
      </w:pPr>
      <w:r>
        <w:rPr>
          <w:rFonts w:hint="eastAsia" w:hAnsi="Times New Roman"/>
        </w:rPr>
        <w:t>根据国家发改委《产业结构调整指导目录(2024年)》、原国家安全生产监督管理局等10个部门下发的《危险化学品名录(2022调整版)》、湖北省人民政府办公厅《关于促进全省石化产业转型升级绿色发展的实施方案》、《湖北省危险化学品禁止、限(控)制、淘汰和鼓励政策目录清单》(鄂应急发〔2023〕27号)等法律法规和《随州市青春化工园产业规划》相关要求，为推进园区产业项目按照科技含量高、经济效益好、资源消耗低、污染排放少、安全生产有保障、人力资源得到充分利用的要求优质高效发展，进一步强化化工园区安全监管，严格项目安全环保准入条件，特制定本目录。本目录中所涉内容，国家法律、法规、政策如有变化的，按最新规定和要求执行。</w:t>
      </w:r>
    </w:p>
    <w:p w14:paraId="1A627A25">
      <w:pPr>
        <w:pStyle w:val="4"/>
        <w:ind w:firstLine="643"/>
      </w:pPr>
      <w:r>
        <w:t>第一类</w:t>
      </w:r>
      <w:r>
        <w:rPr>
          <w:rFonts w:hint="eastAsia"/>
        </w:rPr>
        <w:t xml:space="preserve"> </w:t>
      </w:r>
      <w:r>
        <w:t>限制(控制)类</w:t>
      </w:r>
    </w:p>
    <w:p w14:paraId="3042F40B">
      <w:pPr>
        <w:ind w:firstLine="643"/>
        <w:rPr>
          <w:rFonts w:hint="eastAsia" w:hAnsi="Times New Roman"/>
          <w:b/>
          <w:bCs/>
        </w:rPr>
      </w:pPr>
      <w:r>
        <w:rPr>
          <w:rFonts w:hint="eastAsia" w:hAnsi="Times New Roman"/>
          <w:b/>
          <w:bCs/>
        </w:rPr>
        <w:t>（一）产品及项目</w:t>
      </w:r>
    </w:p>
    <w:p w14:paraId="51007283">
      <w:pPr>
        <w:ind w:firstLine="640"/>
        <w:rPr>
          <w:rFonts w:hint="eastAsia" w:hAnsi="Times New Roman"/>
        </w:rPr>
      </w:pPr>
      <w:r>
        <w:rPr>
          <w:rFonts w:hint="eastAsia" w:hAnsi="Times New Roman"/>
        </w:rPr>
        <w:t>1.1000万吨/年以下常减压、150万吨/年以下催化裂化、100万吨/年以下连续重整(含芳烃抽提)、150万吨/年以下加氢裂化生产装置，敞开式延迟焦化工艺。</w:t>
      </w:r>
    </w:p>
    <w:p w14:paraId="6BD6D12B">
      <w:pPr>
        <w:ind w:firstLine="640"/>
        <w:rPr>
          <w:rFonts w:hint="eastAsia" w:hAnsi="Times New Roman"/>
        </w:rPr>
      </w:pPr>
      <w:r>
        <w:rPr>
          <w:rFonts w:hint="eastAsia" w:hAnsi="Times New Roman"/>
        </w:rPr>
        <w:t>2.80万吨1/年以下石脑油裂解制乙烯、13万吨/年以下丙烯腈、100万吨/年以下精</w:t>
      </w:r>
      <w:r>
        <w:rPr>
          <w:rFonts w:hint="eastAsia" w:hAnsi="Times New Roman"/>
          <w:lang w:val="en-US" w:eastAsia="zh-CN"/>
        </w:rPr>
        <w:t>对苯</w:t>
      </w:r>
      <w:r>
        <w:rPr>
          <w:rFonts w:hint="eastAsia" w:hAnsi="Times New Roman"/>
        </w:rPr>
        <w:t>二甲酸、20万吨/年以下乙二醇、20万吨/年以下苯乙烯(干气制乙苯工艺除外)、10万吨/年以下己内酰胺、乙烯法醋酸、30万吨/年以下羰基合成法醋酸、天然气制甲醇(二氧化碳含量20%以上的天然气除外),100万吨/年以下煤制甲醇生产装置，丙酮</w:t>
      </w:r>
      <w:r>
        <w:rPr>
          <w:rFonts w:hint="eastAsia" w:hAnsi="Times New Roman"/>
          <w:lang w:val="en-US" w:eastAsia="zh-CN"/>
        </w:rPr>
        <w:t>氰</w:t>
      </w:r>
      <w:r>
        <w:rPr>
          <w:rFonts w:hint="eastAsia" w:hAnsi="Times New Roman"/>
        </w:rPr>
        <w:t>醇法甲基丙烯酸甲酯(利用丙烯腈副产氢氰酸除外)、粮食法丙酮/丁醇、氯醇法环氧丙烷和氯醇法环氧氯丙烷生产装置，300吨/年以下皂素(含水解物)生产装置。</w:t>
      </w:r>
    </w:p>
    <w:p w14:paraId="68F1EF3A">
      <w:pPr>
        <w:ind w:firstLine="640"/>
        <w:rPr>
          <w:rFonts w:hint="eastAsia" w:hAnsi="Times New Roman"/>
        </w:rPr>
      </w:pPr>
      <w:r>
        <w:rPr>
          <w:rFonts w:hint="eastAsia" w:hAnsi="Times New Roman"/>
        </w:rPr>
        <w:t>3.7万吨/年以下聚丙烯、20万吨/年以下聚乙烯、乙炔法(聚)氯乙烯、起始规模小于30万吨/年的乙烯氧氯化法聚氯乙烯、10万吨/年以下聚苯乙烯、20万吨/年以下丙烯腈-丁二烯-苯乙烯共聚物(ABS)、10万吨/年以下普通合成胶乳-羧基丁苯胶(含丁苯胶乳)生产装置，5万吨/年以下丁腈胶乳装置，氯丁橡胶类、丁苯热塑性橡胶类、聚氨酯类和聚丙烯酸酯类中溶剂型通用胶粘剂生产装置。</w:t>
      </w:r>
    </w:p>
    <w:p w14:paraId="15758D13">
      <w:pPr>
        <w:ind w:firstLine="640"/>
        <w:rPr>
          <w:rFonts w:hint="eastAsia" w:hAnsi="Times New Roman"/>
        </w:rPr>
      </w:pPr>
      <w:r>
        <w:rPr>
          <w:rFonts w:hint="eastAsia" w:hAnsi="Times New Roman"/>
        </w:rPr>
        <w:t>4.30万吨/年以下硫磺制酸(单项金属离子≤100ppb的电子级硫酸除外)、20万吨/年以下硫铁矿制酸、常压法及综合法硝酸、电石(以大型先进工艺设备进行等量替换的除外)、单线产能5万吨/年以下氢氧化钾生产装置。</w:t>
      </w:r>
    </w:p>
    <w:p w14:paraId="449B65FD">
      <w:pPr>
        <w:ind w:firstLine="640"/>
        <w:rPr>
          <w:rFonts w:hint="eastAsia" w:hAnsi="Times New Roman"/>
        </w:rPr>
      </w:pPr>
      <w:r>
        <w:rPr>
          <w:rFonts w:hint="eastAsia" w:hAnsi="Times New Roman"/>
        </w:rPr>
        <w:t>5.纯碱(井下循环制碱、天然碱除外)、烧碱(40%以上采用工业废盐的离子膜烧碱装置除外)、黄磷、磷铵、三聚磷酸钠、六偏磷酸钠、三氯化磷、五硫化二磷、磷酸氢钙、氯酸钠、少钙焙烧工艺重铬酸钠、电解二氧化锰、碳酸钙(颗粒度100纳米及以下除外)、无水硫酸钠(盐业联产及副产除外)、碳酸钡、硫酸钡、氢氧化钡、氯化钡、硝酸钡、碳酸锶、白炭黑(气相法及二氧化碳酸化工艺除外)、氯化胆碱生产装置(本条目中不新增产能的搬迁项目除外)。</w:t>
      </w:r>
    </w:p>
    <w:p w14:paraId="72E5A5B9">
      <w:pPr>
        <w:ind w:firstLine="640"/>
        <w:rPr>
          <w:rFonts w:hint="eastAsia" w:hAnsi="Times New Roman"/>
        </w:rPr>
      </w:pPr>
      <w:r>
        <w:rPr>
          <w:rFonts w:hint="eastAsia" w:hAnsi="Times New Roman"/>
        </w:rPr>
        <w:t>6.起始规模小于3万吨/年、单线产能小于1万吨/年氰化钠(折100%),单线产能5000吨/年以下碳酸锂、氢氧化锂(回收利用除外)，干法氟化铝及单线产能2万吨/年以下无水氟化铝或中低分子比冰晶石生产装置。</w:t>
      </w:r>
    </w:p>
    <w:p w14:paraId="4361CD9B">
      <w:pPr>
        <w:ind w:firstLine="640"/>
        <w:rPr>
          <w:rFonts w:hint="eastAsia" w:hAnsi="Times New Roman"/>
        </w:rPr>
      </w:pPr>
      <w:r>
        <w:rPr>
          <w:rFonts w:hint="eastAsia" w:hAnsi="Times New Roman"/>
        </w:rPr>
        <w:t>7.以石油、天然气为原料的氮肥，采用固定层间歇气化技术合成氨，铜洗法氨合成原料气净化工艺。</w:t>
      </w:r>
    </w:p>
    <w:p w14:paraId="2BD5CFDA">
      <w:pPr>
        <w:ind w:firstLine="640"/>
        <w:rPr>
          <w:rFonts w:hint="eastAsia" w:hAnsi="Times New Roman"/>
        </w:rPr>
      </w:pPr>
      <w:r>
        <w:rPr>
          <w:rFonts w:hint="eastAsia" w:hAnsi="Times New Roman"/>
        </w:rPr>
        <w:t>8.新建除禁止类以外的其他高毒、高残留以及对环境或农产品质量安全影响大的农药原药〔包括氧乐果、水胺硫磷、甲基异柳磷、甲拌磷、特丁磷、杀扑磷、溴甲烷、灭多威、涕灭威、克百威、敌鼠钠、敌鼠酮、杀鼠灵、杀鼠醚、溴敌隆、溴鼠灵、肉毒素、杀虫双、灭线磷、磷化铝，有机氯类、有机锡类杀虫剂，福美类杀菌剂，复硝酚钠 钾)、氯磺隆、胺苯磺隆、甲磺隆、内吸磷、乐果、氟虫腈、丁硫克百威、氟苯虫酰胺、氰戊菊酯、乙酰甲胺磷、多菌灵、丁酰肼等〕生产装置。</w:t>
      </w:r>
    </w:p>
    <w:p w14:paraId="01DE02DC">
      <w:pPr>
        <w:ind w:firstLine="640"/>
        <w:rPr>
          <w:rFonts w:hint="eastAsia" w:hAnsi="Times New Roman"/>
        </w:rPr>
      </w:pPr>
      <w:r>
        <w:rPr>
          <w:rFonts w:hint="eastAsia" w:hAnsi="Times New Roman"/>
        </w:rPr>
        <w:t>9.草甘麟、毒死蜱、三唑磷、百草枯、百菌清、阿维菌素、吡虫啉、乙草胺、氯化苦、甲草胺、2,4-滴、啶虫胖、噻虫嗪、莠去津、丁草胺、二甲四氯、莠灭净、麦草畏、敌草快、草铵麟、烯草酮、代森锰锌、敌百虫、三唑醇、丙环唑、异菌脲、多效唑、石硫合剂生产装置。</w:t>
      </w:r>
    </w:p>
    <w:p w14:paraId="4CE0EC94">
      <w:pPr>
        <w:ind w:firstLine="640"/>
        <w:rPr>
          <w:rFonts w:hint="eastAsia" w:hAnsi="Times New Roman"/>
        </w:rPr>
      </w:pPr>
      <w:r>
        <w:rPr>
          <w:rFonts w:hint="eastAsia" w:hAnsi="Times New Roman"/>
        </w:rPr>
        <w:t>10.硫酸法钛白粉（联产法工艺除外）、铅铬黄、3万吨/年以下氧化铁系颜料、溶剂型涂料（鼓励类的涂料品种和生产工艺除外）、含异氰脲酸三缩水甘油酯（TGIC）的粉末涂料（密闭生产装置除外）、VOCs含量超75%的硝基纤维素涂料生产装置。</w:t>
      </w:r>
    </w:p>
    <w:p w14:paraId="15EE50F5">
      <w:pPr>
        <w:ind w:firstLine="640"/>
        <w:rPr>
          <w:rFonts w:hint="eastAsia" w:hAnsi="Times New Roman"/>
        </w:rPr>
      </w:pPr>
      <w:r>
        <w:rPr>
          <w:rFonts w:hint="eastAsia" w:hAnsi="Times New Roman"/>
        </w:rPr>
        <w:t>11.非新型功能性、环境友好型的染料、颜料、印染助剂及中间体生产装置（鼓励类及采用鼓励类技术的除外）。</w:t>
      </w:r>
    </w:p>
    <w:p w14:paraId="558C21E8">
      <w:pPr>
        <w:ind w:firstLine="640"/>
        <w:rPr>
          <w:rFonts w:hint="eastAsia" w:hAnsi="Times New Roman"/>
        </w:rPr>
      </w:pPr>
      <w:r>
        <w:rPr>
          <w:rFonts w:hint="eastAsia" w:hAnsi="Times New Roman"/>
        </w:rPr>
        <w:t>12.氟化氢（HF，企业下游深加工产品配套自用、电子级及湿法磷酸配套除外）生产装置，初始规模小于20万吨/年、单套规模小于10万吨/年的甲基氯硅烷单体生产装置，10万吨/年以下（有机硅配套除外）和10万吨/年及以上、没有副产四氯化碳配套处置设施的甲烷氯化物生产装置，没有副产三氟甲烷配套处置设施的二氟一氯甲烷生产装置，可接受用途的全氟辛基磺酸及其盐类和全氟辛基磺酰氟（其余为淘汰类）、全氟辛酸（PFOA）、六氟化硫（SF6，高纯级除外）生产装置，用作制冷剂、发泡剂等受控用途的二氟甲烷</w:t>
      </w:r>
      <w:r>
        <w:rPr>
          <w:rFonts w:hint="eastAsia"/>
        </w:rPr>
        <w:t>（HFC-32）、1,1,1,2-四氟乙烷（HFC-134a）、五氟乙烷（HFC-125）、1,1,1-三氟乙烷（HFC-143a）、1,1,1,3,3-五氟丙烷（HFC-245fa）生产装置</w:t>
      </w:r>
      <w:r>
        <w:rPr>
          <w:rFonts w:hint="eastAsia" w:hAnsi="Times New Roman"/>
        </w:rPr>
        <w:t>（不含副产设施），特定豁免用途的六溴环十二烷（其余为淘汰类）生产装置。</w:t>
      </w:r>
    </w:p>
    <w:p w14:paraId="508C3244">
      <w:pPr>
        <w:ind w:firstLine="640"/>
        <w:rPr>
          <w:rFonts w:hint="eastAsia" w:hAnsi="Times New Roman"/>
        </w:rPr>
      </w:pPr>
      <w:r>
        <w:rPr>
          <w:rFonts w:hint="eastAsia" w:hAnsi="Times New Roman"/>
        </w:rPr>
        <w:t>13.再生胶（常压连续环保型脱硫工艺除外）、橡胶塑解剂五氯硫酚、橡胶促进剂二硫化四甲基秋兰姆（TMTD）生产装置。</w:t>
      </w:r>
    </w:p>
    <w:p w14:paraId="5B9FAC61">
      <w:pPr>
        <w:ind w:firstLine="640"/>
        <w:rPr>
          <w:rFonts w:hint="eastAsia" w:hAnsi="Times New Roman"/>
        </w:rPr>
      </w:pPr>
      <w:r>
        <w:rPr>
          <w:rFonts w:hint="eastAsia" w:hAnsi="Times New Roman"/>
        </w:rPr>
        <w:t>14．涉及光气、氯气等有毒气体，硝酸铵、硝基胍、氯酸铵等爆炸危险性化学品（指《危险化学品目录》中危险性类别为爆炸物的危险化学品，禁止类除外）的建设项目。</w:t>
      </w:r>
    </w:p>
    <w:p w14:paraId="5CEB5768">
      <w:pPr>
        <w:ind w:firstLine="640"/>
        <w:rPr>
          <w:rFonts w:hint="eastAsia" w:hAnsi="Times New Roman"/>
        </w:rPr>
      </w:pPr>
      <w:r>
        <w:rPr>
          <w:rFonts w:hint="eastAsia" w:hAnsi="Times New Roman"/>
        </w:rPr>
        <w:t>15.《优先控制化学品名录》（第一批、第二批）所列化学品的项目。</w:t>
      </w:r>
    </w:p>
    <w:p w14:paraId="356C10EF">
      <w:pPr>
        <w:ind w:firstLine="640"/>
        <w:rPr>
          <w:rFonts w:hint="eastAsia" w:hAnsi="Times New Roman"/>
        </w:rPr>
      </w:pPr>
      <w:r>
        <w:rPr>
          <w:rFonts w:hint="eastAsia" w:hAnsi="Times New Roman"/>
        </w:rPr>
        <w:t>16.年产超过100万吨的煤制甲醇项目。</w:t>
      </w:r>
    </w:p>
    <w:p w14:paraId="42A19FCF">
      <w:pPr>
        <w:ind w:firstLine="643"/>
        <w:rPr>
          <w:rFonts w:hint="eastAsia" w:hAnsi="楷体_GB2312" w:cs="楷体_GB2312"/>
          <w:b/>
          <w:bCs/>
        </w:rPr>
      </w:pPr>
      <w:r>
        <w:rPr>
          <w:rFonts w:hint="eastAsia" w:hAnsi="楷体_GB2312" w:cs="楷体_GB2312"/>
          <w:b/>
          <w:bCs/>
        </w:rPr>
        <w:t>（二）工艺及设备</w:t>
      </w:r>
    </w:p>
    <w:p w14:paraId="47D06E9F">
      <w:pPr>
        <w:ind w:firstLine="640"/>
        <w:rPr>
          <w:rFonts w:hint="eastAsia" w:hAnsi="Times New Roman"/>
        </w:rPr>
      </w:pPr>
      <w:r>
        <w:rPr>
          <w:rFonts w:hint="eastAsia" w:hAnsi="Times New Roman"/>
        </w:rPr>
        <w:t>17.常压固定床间歇煤气化工艺（在役已配套建设吹风气余热回收、造气炉渣综合利用装置的依规改造）。</w:t>
      </w:r>
    </w:p>
    <w:p w14:paraId="27C3F895">
      <w:pPr>
        <w:ind w:firstLine="640"/>
        <w:rPr>
          <w:rFonts w:hint="eastAsia" w:hAnsi="Times New Roman"/>
        </w:rPr>
      </w:pPr>
      <w:r>
        <w:rPr>
          <w:rFonts w:hint="eastAsia" w:hAnsi="Times New Roman"/>
        </w:rPr>
        <w:t>18.多节钟罩的氯乙烯气柜（在役现有的多节气柜按照单节气柜改造）。</w:t>
      </w:r>
    </w:p>
    <w:p w14:paraId="4753E234">
      <w:pPr>
        <w:ind w:firstLine="643"/>
        <w:rPr>
          <w:rFonts w:hint="eastAsia" w:hAnsi="Times New Roman"/>
        </w:rPr>
      </w:pPr>
      <w:r>
        <w:rPr>
          <w:rFonts w:hint="eastAsia" w:hAnsi="楷体_GB2312" w:cs="楷体_GB2312"/>
          <w:b/>
          <w:bCs/>
        </w:rPr>
        <w:t>（三）其他类</w:t>
      </w:r>
    </w:p>
    <w:p w14:paraId="08D01FB4">
      <w:pPr>
        <w:ind w:firstLine="640"/>
        <w:rPr>
          <w:rFonts w:hint="eastAsia" w:hAnsi="Times New Roman"/>
        </w:rPr>
      </w:pPr>
      <w:r>
        <w:rPr>
          <w:rFonts w:hint="eastAsia" w:hAnsi="Times New Roman"/>
        </w:rPr>
        <w:t>19.安全风险评估分级为橙色的企业新建、扩建项目（安全、环保、节能、智能化、技术改造项目除外）。</w:t>
      </w:r>
    </w:p>
    <w:p w14:paraId="0F5A2EBD">
      <w:pPr>
        <w:ind w:firstLine="640"/>
        <w:rPr>
          <w:rFonts w:hint="eastAsia" w:hAnsi="Times New Roman"/>
        </w:rPr>
      </w:pPr>
      <w:r>
        <w:rPr>
          <w:rFonts w:hint="eastAsia" w:hAnsi="Times New Roman"/>
        </w:rPr>
        <w:t>20.安全风险等级为B级(较高安全风险)的化工园区新建、改建、扩建危险化学品建设项目(安全、环保、节能、智能化、技术改造项目除外)。</w:t>
      </w:r>
    </w:p>
    <w:p w14:paraId="1F42BE3E">
      <w:pPr>
        <w:ind w:firstLine="640"/>
        <w:rPr>
          <w:rFonts w:hint="eastAsia" w:hAnsi="Times New Roman"/>
        </w:rPr>
      </w:pPr>
      <w:r>
        <w:rPr>
          <w:rFonts w:hint="eastAsia" w:hAnsi="Times New Roman"/>
        </w:rPr>
        <w:t>21.所有涉及硝化、氯化、氟化、重氮化、过氧化工艺的在役装置上下游配套装置未实现自动化控制的。</w:t>
      </w:r>
    </w:p>
    <w:p w14:paraId="0D0428EB">
      <w:pPr>
        <w:ind w:firstLine="640"/>
        <w:rPr>
          <w:rFonts w:hint="eastAsia" w:hAnsi="Times New Roman"/>
        </w:rPr>
      </w:pPr>
      <w:r>
        <w:rPr>
          <w:rFonts w:hint="eastAsia" w:hAnsi="Times New Roman"/>
        </w:rPr>
        <w:t>注:①未列入本《禁限控目录》但国家有相关规定的，从其规定。</w:t>
      </w:r>
    </w:p>
    <w:p w14:paraId="6A45D39C">
      <w:pPr>
        <w:pStyle w:val="4"/>
        <w:ind w:firstLine="643"/>
        <w:rPr>
          <w:rFonts w:hint="eastAsia"/>
        </w:rPr>
      </w:pPr>
      <w:r>
        <w:rPr>
          <w:rFonts w:hint="eastAsia"/>
        </w:rPr>
        <w:t>第二类 淘汰类</w:t>
      </w:r>
    </w:p>
    <w:p w14:paraId="51B95194">
      <w:pPr>
        <w:ind w:firstLine="643"/>
        <w:rPr>
          <w:rFonts w:hint="eastAsia" w:hAnsi="楷体_GB2312" w:cs="楷体_GB2312"/>
          <w:b/>
          <w:bCs/>
        </w:rPr>
      </w:pPr>
      <w:r>
        <w:rPr>
          <w:rFonts w:hint="eastAsia" w:hAnsi="楷体_GB2312" w:cs="楷体_GB2312"/>
          <w:b/>
          <w:bCs/>
        </w:rPr>
        <w:t>（一）落后产品及项目</w:t>
      </w:r>
    </w:p>
    <w:p w14:paraId="1637ACA1">
      <w:pPr>
        <w:ind w:firstLine="640"/>
        <w:rPr>
          <w:rFonts w:hint="eastAsia" w:hAnsi="Times New Roman"/>
        </w:rPr>
      </w:pPr>
      <w:r>
        <w:rPr>
          <w:rFonts w:hint="eastAsia" w:hAnsi="Times New Roman"/>
        </w:rPr>
        <w:t>1.改性淀粉、改性纤维、多彩内墙(树脂以硝化纤维素为主，溶剂以二甲苯为主的O/W型涂料)、氧乙烯-偏氧</w:t>
      </w:r>
      <w:r>
        <w:rPr>
          <w:rFonts w:hint="eastAsia" w:hAnsi="Times New Roman"/>
          <w:lang w:val="en-US" w:eastAsia="zh-CN"/>
        </w:rPr>
        <w:t>乙烯</w:t>
      </w:r>
      <w:r>
        <w:rPr>
          <w:rFonts w:hint="eastAsia" w:hAnsi="Times New Roman"/>
        </w:rPr>
        <w:t>共聚乳液外墙、焦油型聚氨酯防水、水性聚乙烯焦油防水、聚乙烯醇及其缩醛类内外墙(106、107涂料等)、聚醋酸</w:t>
      </w:r>
      <w:r>
        <w:rPr>
          <w:rFonts w:hint="eastAsia" w:hAnsi="Times New Roman"/>
          <w:lang w:val="en-US" w:eastAsia="zh-CN"/>
        </w:rPr>
        <w:t>乙烯</w:t>
      </w:r>
      <w:r>
        <w:rPr>
          <w:rFonts w:hint="eastAsia" w:hAnsi="Times New Roman"/>
        </w:rPr>
        <w:t>乳液类(含乙烯/醋酸乙烯酯共聚物乳液)外墙涂料。</w:t>
      </w:r>
    </w:p>
    <w:p w14:paraId="72A59CBA">
      <w:pPr>
        <w:ind w:firstLine="640"/>
        <w:rPr>
          <w:rFonts w:hint="eastAsia" w:hAnsi="Times New Roman"/>
        </w:rPr>
      </w:pPr>
      <w:r>
        <w:rPr>
          <w:rFonts w:hint="eastAsia" w:hAnsi="Times New Roman"/>
        </w:rPr>
        <w:t>2.有害物质含量超标准的内墙、溶剂型木器、玩具、汽车、外墙涂料，含双对氯苯基三氧乙烷、三丁基锡、全氟辛酸及其盐类、全氟辛烷磺酸、红丹等有害物质的涂料。</w:t>
      </w:r>
    </w:p>
    <w:p w14:paraId="5ED25874">
      <w:pPr>
        <w:ind w:firstLine="640"/>
        <w:rPr>
          <w:rFonts w:hint="eastAsia" w:hAnsi="Times New Roman"/>
        </w:rPr>
      </w:pPr>
      <w:r>
        <w:rPr>
          <w:rFonts w:hint="eastAsia" w:hAnsi="Times New Roman"/>
        </w:rPr>
        <w:t>3.在还原条件下会裂解产生24种有害芳香胺的偶氮染料(非纺织品用的领域暂缓)、九种致癌性染料(用于与人体不直接接触的领域暂缓)。</w:t>
      </w:r>
    </w:p>
    <w:p w14:paraId="696513CF">
      <w:pPr>
        <w:ind w:firstLine="640"/>
        <w:rPr>
          <w:rFonts w:hint="eastAsia" w:hAnsi="Times New Roman"/>
        </w:rPr>
      </w:pPr>
      <w:r>
        <w:rPr>
          <w:rFonts w:hint="eastAsia" w:hAnsi="Times New Roman"/>
        </w:rPr>
        <w:t>4.含苯类、苯酚、苯甲醛和二(三)氯甲烷的脱漆剂，立德粉，聚氧乙烯建筑防水接缝材料(焦油型)，107胶(聚乙烯醇缩甲醛胶黏剂)，瘦肉精，多氯联苯(变压器油)。</w:t>
      </w:r>
    </w:p>
    <w:p w14:paraId="59E5EA21">
      <w:pPr>
        <w:ind w:firstLine="640"/>
        <w:rPr>
          <w:rFonts w:hint="eastAsia" w:hAnsi="Times New Roman"/>
        </w:rPr>
      </w:pPr>
      <w:r>
        <w:rPr>
          <w:rFonts w:hint="eastAsia" w:hAnsi="Times New Roman"/>
        </w:rPr>
        <w:t>5.高毒农药产品：六六六、</w:t>
      </w:r>
      <w:r>
        <w:rPr>
          <w:rFonts w:hint="eastAsia" w:hAnsi="Times New Roman"/>
          <w:lang w:val="en-US" w:eastAsia="zh-CN"/>
        </w:rPr>
        <w:t>二溴乙烷</w:t>
      </w:r>
      <w:r>
        <w:rPr>
          <w:rFonts w:hint="eastAsia" w:hAnsi="Times New Roman"/>
        </w:rPr>
        <w:t>、丁酰肼、敌枯双、除草醚、杀虫脒、毒鼠强、氟乙酰胺、氟乙酸钠、二溴氯丙烷、治螟磷(苏化203)、磷胺、甘</w:t>
      </w:r>
      <w:r>
        <w:rPr>
          <w:rFonts w:hint="eastAsia" w:hAnsi="Times New Roman"/>
          <w:lang w:val="en-US" w:eastAsia="zh-CN"/>
        </w:rPr>
        <w:t>氟</w:t>
      </w:r>
      <w:r>
        <w:rPr>
          <w:rFonts w:hint="eastAsia" w:cs="仿宋_GB2312"/>
        </w:rPr>
        <w:t>、毒鼠硅、甲胺磷、对硫磷、甲基对硫磷、久效磷、硫环磷</w:t>
      </w:r>
      <w:r>
        <w:rPr>
          <w:rFonts w:hint="eastAsia" w:hAnsi="Times New Roman"/>
        </w:rPr>
        <w:t>(乙基硫环磷)、福美</w:t>
      </w:r>
      <w:r>
        <w:rPr>
          <w:rFonts w:hint="eastAsia" w:hAnsi="Times New Roman"/>
          <w:lang w:val="en-US" w:eastAsia="zh-CN"/>
        </w:rPr>
        <w:t>胂</w:t>
      </w:r>
      <w:r>
        <w:rPr>
          <w:rFonts w:hint="eastAsia" w:hAnsi="Times New Roman"/>
        </w:rPr>
        <w:t>、福美甲</w:t>
      </w:r>
      <w:r>
        <w:rPr>
          <w:rFonts w:hint="eastAsia" w:hAnsi="Times New Roman"/>
          <w:lang w:val="en-US" w:eastAsia="zh-CN"/>
        </w:rPr>
        <w:t>胂</w:t>
      </w:r>
      <w:r>
        <w:rPr>
          <w:rFonts w:hint="eastAsia" w:hAnsi="Times New Roman"/>
        </w:rPr>
        <w:t>及所有砷制剂、汞制剂、铅制剂、草甘膦含量在30%以下的水剂，甲基硫环磷、磷化钙、磷化锌、苯线磷</w:t>
      </w:r>
      <w:r>
        <w:rPr>
          <w:rFonts w:hint="eastAsia" w:hAnsi="Times New Roman"/>
          <w:lang w:eastAsia="zh-CN"/>
        </w:rPr>
        <w:t>、</w:t>
      </w:r>
      <w:r>
        <w:rPr>
          <w:rFonts w:hint="eastAsia" w:hAnsi="Times New Roman"/>
        </w:rPr>
        <w:t>地虫硫磷、磷化镁、硫线磷、蝇毒磷、治螟磷、特丁硫磷、甲拌磷、2,4-滴丁酯、甲基异柳磷、水胺硫磷、灭线磷、壬基酚(农药助剂)、三氯杀螨醇、氯磺隆、胺苯磺隆。</w:t>
      </w:r>
    </w:p>
    <w:p w14:paraId="31CD3CED">
      <w:pPr>
        <w:ind w:firstLine="640"/>
        <w:rPr>
          <w:rFonts w:hint="eastAsia" w:hAnsi="Times New Roman"/>
        </w:rPr>
      </w:pPr>
      <w:r>
        <w:rPr>
          <w:rFonts w:hint="eastAsia" w:hAnsi="Times New Roman"/>
        </w:rPr>
        <w:t>6.根据国家履行国际公约总体计划要求进行淘汰的产品：氯丹、七氯、</w:t>
      </w:r>
      <w:r>
        <w:rPr>
          <w:rFonts w:hint="eastAsia" w:hAnsi="Times New Roman"/>
          <w:lang w:val="en-US" w:eastAsia="zh-CN"/>
        </w:rPr>
        <w:t>溴甲烷</w:t>
      </w:r>
      <w:r>
        <w:rPr>
          <w:rFonts w:hint="eastAsia" w:hAnsi="Times New Roman"/>
        </w:rPr>
        <w:t>、滴滴涕、六氯苯、灭蚁灵、林丹、毒杀芬、艾氏剂、狄氏剂、异狄氏剂、硫丹、</w:t>
      </w:r>
      <w:r>
        <w:rPr>
          <w:rFonts w:hint="eastAsia" w:hAnsi="Times New Roman"/>
          <w:lang w:val="en-US" w:eastAsia="zh-CN"/>
        </w:rPr>
        <w:t>氟</w:t>
      </w:r>
      <w:r>
        <w:rPr>
          <w:rFonts w:hint="eastAsia" w:hAnsi="Times New Roman"/>
        </w:rPr>
        <w:t>虫胺、十氯酮、α-六氯环已烷、β-六氧环已烷、六氧丁二烯、多氯联苯</w:t>
      </w:r>
      <w:r>
        <w:rPr>
          <w:rFonts w:hint="eastAsia" w:hAnsi="Times New Roman"/>
          <w:lang w:eastAsia="zh-CN"/>
        </w:rPr>
        <w:t>、</w:t>
      </w:r>
      <w:r>
        <w:rPr>
          <w:rFonts w:hint="eastAsia" w:hAnsi="Times New Roman"/>
        </w:rPr>
        <w:t>五氯苯、六溴联苯、四</w:t>
      </w:r>
      <w:r>
        <w:rPr>
          <w:rFonts w:hint="eastAsia" w:hAnsi="Times New Roman"/>
          <w:lang w:val="en-US" w:eastAsia="zh-CN"/>
        </w:rPr>
        <w:t>溴</w:t>
      </w:r>
      <w:r>
        <w:rPr>
          <w:rFonts w:hint="eastAsia" w:hAnsi="Times New Roman"/>
        </w:rPr>
        <w:t>二苯醚和五</w:t>
      </w:r>
      <w:r>
        <w:rPr>
          <w:rFonts w:hint="eastAsia" w:hAnsi="Times New Roman"/>
          <w:lang w:val="en-US" w:eastAsia="zh-CN"/>
        </w:rPr>
        <w:t>溴</w:t>
      </w:r>
      <w:r>
        <w:rPr>
          <w:rFonts w:hint="eastAsia" w:hAnsi="Times New Roman"/>
        </w:rPr>
        <w:t>二苯醚、六</w:t>
      </w:r>
      <w:r>
        <w:rPr>
          <w:rFonts w:hint="eastAsia" w:hAnsi="Times New Roman"/>
          <w:lang w:val="en-US" w:eastAsia="zh-CN"/>
        </w:rPr>
        <w:t>溴</w:t>
      </w:r>
      <w:r>
        <w:rPr>
          <w:rFonts w:hint="eastAsia" w:hAnsi="Times New Roman"/>
        </w:rPr>
        <w:t>二苯醚和七</w:t>
      </w:r>
      <w:r>
        <w:rPr>
          <w:rFonts w:hint="eastAsia" w:hAnsi="Times New Roman"/>
          <w:lang w:val="en-US" w:eastAsia="zh-CN"/>
        </w:rPr>
        <w:t>溴</w:t>
      </w:r>
      <w:r>
        <w:rPr>
          <w:rFonts w:hint="eastAsia" w:hAnsi="Times New Roman"/>
        </w:rPr>
        <w:t>二苯醚、六</w:t>
      </w:r>
      <w:r>
        <w:rPr>
          <w:rFonts w:hint="eastAsia" w:hAnsi="Times New Roman"/>
          <w:lang w:val="en-US" w:eastAsia="zh-CN"/>
        </w:rPr>
        <w:t>溴</w:t>
      </w:r>
      <w:r>
        <w:rPr>
          <w:rFonts w:hint="eastAsia" w:hAnsi="Times New Roman"/>
        </w:rPr>
        <w:t>环十二烷、全氟辛基磺酸及其盐类和全氟辛基磺酰氟、全氟已基磺酸(PFHxS)及其盐类和相关化合物、全氟辛酸(PFOA)及其盐类和相关化合物、十</w:t>
      </w:r>
      <w:r>
        <w:rPr>
          <w:rFonts w:hint="eastAsia" w:hAnsi="Times New Roman"/>
          <w:lang w:val="en-US" w:eastAsia="zh-CN"/>
        </w:rPr>
        <w:t>溴</w:t>
      </w:r>
      <w:r>
        <w:rPr>
          <w:rFonts w:hint="eastAsia" w:hAnsi="Times New Roman"/>
        </w:rPr>
        <w:t>二苯醚、短链氯化石蜡、五氯苯酚及其盐类和酯类、</w:t>
      </w:r>
      <w:r>
        <w:rPr>
          <w:rFonts w:hint="eastAsia" w:hAnsi="Times New Roman"/>
          <w:lang w:val="en-US" w:eastAsia="zh-CN"/>
        </w:rPr>
        <w:t>多氯萘</w:t>
      </w:r>
      <w:r>
        <w:rPr>
          <w:rFonts w:hint="eastAsia" w:hAnsi="Times New Roman"/>
        </w:rPr>
        <w:t>(</w:t>
      </w:r>
      <w:r>
        <w:rPr>
          <w:rFonts w:hint="eastAsia" w:hAnsi="Times New Roman"/>
          <w:lang w:val="en-US" w:eastAsia="zh-CN"/>
        </w:rPr>
        <w:t>豁</w:t>
      </w:r>
      <w:r>
        <w:rPr>
          <w:rFonts w:hint="eastAsia" w:hAnsi="Times New Roman"/>
        </w:rPr>
        <w:t>免用途为限制类)。</w:t>
      </w:r>
    </w:p>
    <w:p w14:paraId="58E3A6AD">
      <w:pPr>
        <w:ind w:firstLine="640"/>
        <w:rPr>
          <w:rFonts w:hint="eastAsia" w:hAnsi="Times New Roman"/>
        </w:rPr>
      </w:pPr>
      <w:r>
        <w:rPr>
          <w:rFonts w:hint="eastAsia" w:hAnsi="Times New Roman"/>
        </w:rPr>
        <w:t>7.用于凹版印刷的苯胺油墨</w:t>
      </w:r>
    </w:p>
    <w:p w14:paraId="1B14ADC8">
      <w:pPr>
        <w:ind w:firstLine="640"/>
        <w:rPr>
          <w:rFonts w:hint="eastAsia" w:hAnsi="Times New Roman"/>
        </w:rPr>
      </w:pPr>
      <w:r>
        <w:rPr>
          <w:rFonts w:hint="eastAsia" w:hAnsi="Times New Roman"/>
        </w:rPr>
        <w:t>8.用于清洗的1,1,1-三氯乙烷(甲基</w:t>
      </w:r>
      <w:r>
        <w:rPr>
          <w:rFonts w:hint="eastAsia" w:hAnsi="Times New Roman"/>
          <w:lang w:val="en-US" w:eastAsia="zh-CN"/>
        </w:rPr>
        <w:t>氯仿</w:t>
      </w:r>
      <w:r>
        <w:rPr>
          <w:rFonts w:hint="eastAsia" w:hAnsi="Times New Roman"/>
        </w:rPr>
        <w:t>)，主产四氯化碳(CTC)、以四氯化碳为加工助剂的所有产品。</w:t>
      </w:r>
    </w:p>
    <w:p w14:paraId="412B2E34">
      <w:pPr>
        <w:ind w:firstLine="643"/>
        <w:rPr>
          <w:rFonts w:hint="eastAsia" w:hAnsi="Times New Roman"/>
        </w:rPr>
      </w:pPr>
      <w:r>
        <w:rPr>
          <w:rFonts w:hint="eastAsia" w:hAnsi="楷体_GB2312" w:cs="楷体_GB2312"/>
          <w:b/>
          <w:bCs/>
        </w:rPr>
        <w:t>（二）落后生产工艺及装备</w:t>
      </w:r>
    </w:p>
    <w:p w14:paraId="65FC7B11">
      <w:pPr>
        <w:ind w:firstLine="640"/>
        <w:rPr>
          <w:rFonts w:hint="eastAsia" w:hAnsi="Times New Roman"/>
        </w:rPr>
      </w:pPr>
      <w:r>
        <w:rPr>
          <w:rFonts w:hint="eastAsia" w:hAnsi="Times New Roman"/>
        </w:rPr>
        <w:t>9.200万吨/年及以下常减压装置，采用明火高温加热方式生产油品的釜式蒸馏装置，废旧橡胶和塑料土法炼油工艺，焦油间歇法生产沥青，2.5万吨/年及以下的单套粗(轻)苯精制装置，5万吨/年及以下的单套煤焦油加工装置。</w:t>
      </w:r>
    </w:p>
    <w:p w14:paraId="7FE230D8">
      <w:pPr>
        <w:ind w:firstLine="640"/>
        <w:rPr>
          <w:rFonts w:hint="eastAsia" w:hAnsi="Times New Roman"/>
        </w:rPr>
      </w:pPr>
      <w:r>
        <w:rPr>
          <w:rFonts w:hint="eastAsia" w:hAnsi="Times New Roman"/>
        </w:rPr>
        <w:t>10.10万吨/年以下磷铵(工业级除外)(2025年12月31日)，10万吨/年以下的硫铁矿制酸和硫磺制酸，平炉氧化法高锰酸钾，隔膜法烧碱生产装置(作为废盐综合利用的可以保留)，平炉法和大锅蒸发法硫化碱生产工艺，芒硝法硅酸钠(泡花碱)生产工艺，间歇焦炭法二硫化碳工艺。</w:t>
      </w:r>
    </w:p>
    <w:p w14:paraId="48329602">
      <w:pPr>
        <w:ind w:firstLine="640"/>
        <w:rPr>
          <w:rFonts w:hint="eastAsia" w:hAnsi="Times New Roman"/>
        </w:rPr>
      </w:pPr>
      <w:r>
        <w:rPr>
          <w:rFonts w:hint="eastAsia" w:hAnsi="Times New Roman"/>
        </w:rPr>
        <w:t>11.</w:t>
      </w:r>
      <w:r>
        <w:rPr>
          <w:rFonts w:hint="eastAsia" w:hAnsi="Times New Roman"/>
          <w:lang w:val="en-US" w:eastAsia="zh-CN"/>
        </w:rPr>
        <w:t>氯</w:t>
      </w:r>
      <w:r>
        <w:rPr>
          <w:rFonts w:hint="eastAsia" w:hAnsi="Times New Roman"/>
        </w:rPr>
        <w:t>醇法环氧丙烷和环氧氯丙烷钙法皂化工艺(2025年12月31日，每吨产品的新鲜水用量不超过15吨且废渣产生量不超过100千克的除外)，单台产能5000吨/年以下黄磷生产装置，有钙焙烧铬化合物生产装置，单线产能3000吨/年以下普通级硫酸钡、氢氧化钡、氯化钡、硝酸钡生产装置，产能1万吨/年以下氯酸钠生产装置，单台炉容量小于1.25万千伏安的电石炉、开放式电石炉、内燃式电石炉，高汞催化剂(氯化汞含量6.5%以上)和使用高汞催化剂的乙炔法(聚)氯乙烯生产装置，使用汞或汞化合物的甲醇钠、甲醇钾、乙醇钠、乙醇钾、聚氨醋、乙醛、烧碱、生物杀虫剂和局部抗菌剂生产装置，氨钠法及氰熔体氰化钠生产工艺。</w:t>
      </w:r>
    </w:p>
    <w:p w14:paraId="3B20E8E7">
      <w:pPr>
        <w:ind w:firstLine="640"/>
        <w:rPr>
          <w:rFonts w:hint="eastAsia" w:hAnsi="Times New Roman"/>
        </w:rPr>
      </w:pPr>
      <w:r>
        <w:rPr>
          <w:rFonts w:hint="eastAsia" w:hAnsi="Times New Roman"/>
        </w:rPr>
        <w:t>12.单线产能1万吨/年以下三聚磷酸钠、0.5万吨/年以下六偏磷酸钠、0.5万吨/年以下三氯化磷、3万吨/年以下饲料磷酸氢钙、5000吨1年以下工艺技术落后和污染严重的氢氟酸、湿法氟化铝及敞开式结晶氟盐生产装置。</w:t>
      </w:r>
    </w:p>
    <w:p w14:paraId="5C93EC33">
      <w:pPr>
        <w:ind w:firstLine="640"/>
        <w:rPr>
          <w:rFonts w:hint="eastAsia" w:hAnsi="Times New Roman"/>
        </w:rPr>
      </w:pPr>
      <w:r>
        <w:rPr>
          <w:rFonts w:hint="eastAsia" w:hAnsi="Times New Roman"/>
        </w:rPr>
        <w:t>13.单线产能0.3万吨1年以下氰化钠(100%氰化钠)、1万吨1年以下氢氧化钾、1.5万吨1年以下普通级白炭黑、2万吨/年以下普通级碳酸钙、10万吨/年以下普通级无水硫酸钠(盐业联产及副产除外)、0.3万吨/年以下碳酸锂和氢氧化锂(废旧锂电池进行回收利用除外)、2万吨/年以下普通级碳酸钡、1.5万吨/年以下普通级碳酸锶生产装置。</w:t>
      </w:r>
    </w:p>
    <w:p w14:paraId="17D16D71">
      <w:pPr>
        <w:ind w:firstLine="640"/>
        <w:rPr>
          <w:rFonts w:hint="eastAsia" w:hAnsi="Times New Roman"/>
        </w:rPr>
      </w:pPr>
      <w:r>
        <w:rPr>
          <w:rFonts w:hint="eastAsia" w:hAnsi="Times New Roman"/>
        </w:rPr>
        <w:t>14.半水煤气氨水液相脱硫、天然气常压间歇转化工艺制合成氨、一氧化碳常压变换及全中温变换(高温变换)工艺、没有配套硫磺回收装置的湿法脱硫工艺，没有配套建设吹风气余热回收、造气炉渣综合利用装置的固定层</w:t>
      </w:r>
      <w:r>
        <w:rPr>
          <w:rFonts w:hint="eastAsia" w:hAnsi="Times New Roman"/>
          <w:lang w:val="en-US" w:eastAsia="zh-CN"/>
        </w:rPr>
        <w:t>间歇式</w:t>
      </w:r>
      <w:r>
        <w:rPr>
          <w:rFonts w:hint="eastAsia" w:hAnsi="Times New Roman"/>
        </w:rPr>
        <w:t>煤气化装置，没有配套工艺冷凝液水解解析装置的尿素生产设施，高温煤气洗涤水在开式冷却塔中与空气直接接触冷却工艺技术。</w:t>
      </w:r>
    </w:p>
    <w:p w14:paraId="5BFFC614">
      <w:pPr>
        <w:ind w:firstLine="640"/>
        <w:rPr>
          <w:rFonts w:hint="eastAsia" w:hAnsi="Times New Roman"/>
        </w:rPr>
      </w:pPr>
      <w:r>
        <w:rPr>
          <w:rFonts w:hint="eastAsia" w:hAnsi="Times New Roman"/>
        </w:rPr>
        <w:t>15.钠法百草枯生产工艺，敌百虫碱法敌敌畏生产工艺，小包装(1公斤及以下)农药产品手工包(灌)装工艺及设备，雷蒙机法生产农药粉剂，以六氯苯为原料生产五氯酚(钠)装置。</w:t>
      </w:r>
    </w:p>
    <w:p w14:paraId="4A038C2A">
      <w:pPr>
        <w:ind w:firstLine="640"/>
        <w:rPr>
          <w:rFonts w:hint="eastAsia" w:hAnsi="Times New Roman"/>
        </w:rPr>
      </w:pPr>
      <w:r>
        <w:rPr>
          <w:rFonts w:hint="eastAsia" w:hAnsi="Times New Roman"/>
        </w:rPr>
        <w:t>16.用火直接加热的涂料用树脂、四氯化碳溶剂法制取氯化橡胶生产工艺，100吨/年以下皂素(含水解物)生产装置，盐酸酸解法皂素生产工艺及污染物排放不能达标的皂素生产装置，铁粉还原法工艺</w:t>
      </w:r>
      <w:r>
        <w:rPr>
          <w:rFonts w:hint="eastAsia" w:ascii="微软雅黑" w:hAnsi="微软雅黑" w:eastAsia="微软雅黑" w:cs="微软雅黑"/>
        </w:rPr>
        <w:t>﹝</w:t>
      </w:r>
      <w:r>
        <w:rPr>
          <w:rFonts w:hint="eastAsia" w:hAnsi="Times New Roman"/>
        </w:rPr>
        <w:t>44-二氨基二苯乙烯-二磺酸(DSD酸)、2-氨基-4-甲基-5-氯苯磺酸(CLT酸)、1-氨基-8-萘酚-3,6-二磺酸(H酸)三种产品暂缓执行</w:t>
      </w:r>
      <w:r>
        <w:rPr>
          <w:rFonts w:hint="eastAsia" w:ascii="微软雅黑" w:hAnsi="微软雅黑" w:eastAsia="微软雅黑" w:cs="微软雅黑"/>
        </w:rPr>
        <w:t>﹞</w:t>
      </w:r>
      <w:r>
        <w:rPr>
          <w:rFonts w:hint="eastAsia" w:hAnsi="Times New Roman"/>
        </w:rPr>
        <w:t>。</w:t>
      </w:r>
    </w:p>
    <w:p w14:paraId="392089E3">
      <w:pPr>
        <w:ind w:firstLine="640"/>
        <w:rPr>
          <w:rFonts w:hint="eastAsia" w:hAnsi="Times New Roman"/>
        </w:rPr>
      </w:pPr>
      <w:r>
        <w:rPr>
          <w:rFonts w:hint="eastAsia" w:hAnsi="Times New Roman"/>
        </w:rPr>
        <w:t>17.50万条1年及以下的斜交轮胎和以天然棉帘子布为骨架的轮胎、干法造粒炭黑(特种炭黑和半补强炭黑除外)、3亿只/年以下的天然胶乳安全套，橡胶硫化促进剂N-氧联二(1.2-亚乙基)-2-苯并噻唑次磺酰胺(NOBS)和橡胶防老剂D生产装置。</w:t>
      </w:r>
    </w:p>
    <w:p w14:paraId="4163D77C">
      <w:pPr>
        <w:ind w:firstLine="640"/>
        <w:rPr>
          <w:rFonts w:hint="eastAsia" w:hAnsi="Times New Roman"/>
        </w:rPr>
      </w:pPr>
      <w:r>
        <w:rPr>
          <w:rFonts w:hint="eastAsia" w:hAnsi="Times New Roman"/>
        </w:rPr>
        <w:t>18.用于制冷、发泡、清洗等受控用途的</w:t>
      </w:r>
      <w:r>
        <w:rPr>
          <w:rFonts w:hint="eastAsia" w:hAnsi="Times New Roman"/>
          <w:lang w:val="en-US" w:eastAsia="zh-CN"/>
        </w:rPr>
        <w:t>氯</w:t>
      </w:r>
      <w:r>
        <w:rPr>
          <w:rFonts w:hint="eastAsia" w:hAnsi="Times New Roman"/>
        </w:rPr>
        <w:t>氟烃(CFCs)含氢氯氟烃(HCFCs，作为下游化工产品原料的除外)，用于清洗的1,1,1-三氯乙烷(甲基氧仿)，主产四氧化碳(CTC)</w:t>
      </w:r>
      <w:r>
        <w:rPr>
          <w:rFonts w:hint="eastAsia" w:hAnsi="Times New Roman"/>
          <w:lang w:eastAsia="zh-CN"/>
        </w:rPr>
        <w:t>、</w:t>
      </w:r>
      <w:r>
        <w:rPr>
          <w:rFonts w:hint="eastAsia" w:hAnsi="Times New Roman"/>
        </w:rPr>
        <w:t>以四氯化碳(CTC)为加工助剂的所有产品，以PFOA为加工助剂的含氟聚合物生产工艺，含滴滴涕的涂料、采用滴滴涕为原料非封闭生产三氯杀螨醇生产装置(根据国家履行国际公约总体计划要求进行淘汰)。</w:t>
      </w:r>
    </w:p>
    <w:p w14:paraId="7E9DD125">
      <w:pPr>
        <w:pStyle w:val="4"/>
        <w:ind w:firstLine="643"/>
        <w:rPr>
          <w:rFonts w:hint="eastAsia"/>
        </w:rPr>
      </w:pPr>
      <w:r>
        <w:rPr>
          <w:rFonts w:hint="eastAsia"/>
        </w:rPr>
        <w:t>第三类 禁止类</w:t>
      </w:r>
    </w:p>
    <w:p w14:paraId="7B966D4A">
      <w:pPr>
        <w:ind w:firstLine="643"/>
        <w:rPr>
          <w:rFonts w:hint="eastAsia" w:hAnsi="楷体_GB2312" w:cs="楷体_GB2312"/>
          <w:b/>
          <w:bCs/>
        </w:rPr>
      </w:pPr>
      <w:r>
        <w:rPr>
          <w:rFonts w:hint="eastAsia" w:hAnsi="楷体_GB2312" w:cs="楷体_GB2312"/>
          <w:b/>
          <w:bCs/>
        </w:rPr>
        <w:t>（一）产品及项目</w:t>
      </w:r>
    </w:p>
    <w:p w14:paraId="6E46CAFD">
      <w:pPr>
        <w:ind w:firstLine="640"/>
        <w:rPr>
          <w:rFonts w:hint="eastAsia" w:hAnsi="Times New Roman"/>
        </w:rPr>
      </w:pPr>
      <w:r>
        <w:rPr>
          <w:rFonts w:hint="eastAsia" w:hAnsi="Times New Roman"/>
        </w:rPr>
        <w:t>1.新建碳酰氯(光气)、异氰酸甲醋生产项目。</w:t>
      </w:r>
    </w:p>
    <w:p w14:paraId="320E2198">
      <w:pPr>
        <w:ind w:firstLine="640"/>
        <w:rPr>
          <w:rFonts w:hint="eastAsia" w:hAnsi="Times New Roman"/>
        </w:rPr>
      </w:pPr>
      <w:r>
        <w:rPr>
          <w:rFonts w:hint="eastAsia" w:hAnsi="Times New Roman"/>
        </w:rPr>
        <w:t>2.未列入国家批准的相关规划的新建乙烯、对二甲苯(PX)、二苯基甲烷二异氰酸酯(MDI)项目。</w:t>
      </w:r>
    </w:p>
    <w:p w14:paraId="595E6A11">
      <w:pPr>
        <w:ind w:firstLine="640"/>
        <w:rPr>
          <w:rFonts w:hint="eastAsia" w:hAnsi="Times New Roman"/>
        </w:rPr>
      </w:pPr>
      <w:r>
        <w:rPr>
          <w:rFonts w:hint="eastAsia" w:hAnsi="Times New Roman"/>
        </w:rPr>
        <w:t>3.未列入国家批准的相关规划的新建煤制烯烃、新建煤制对二甲苯(PX)项目。</w:t>
      </w:r>
    </w:p>
    <w:p w14:paraId="017FA73D">
      <w:pPr>
        <w:ind w:firstLine="640"/>
        <w:rPr>
          <w:rFonts w:hint="eastAsia" w:hAnsi="Times New Roman"/>
        </w:rPr>
      </w:pPr>
      <w:r>
        <w:rPr>
          <w:rFonts w:hint="eastAsia" w:hAnsi="Times New Roman"/>
        </w:rPr>
        <w:t>4.新建、扩建法律法规和相关政策明令禁止的落后的危险化学品产能项目(落后产能项目清单以国家和省发布的权威目录为准)。</w:t>
      </w:r>
    </w:p>
    <w:p w14:paraId="0117A019">
      <w:pPr>
        <w:ind w:firstLine="640"/>
        <w:rPr>
          <w:rFonts w:hint="eastAsia" w:hAnsi="Times New Roman"/>
        </w:rPr>
      </w:pPr>
      <w:r>
        <w:rPr>
          <w:rFonts w:hint="eastAsia" w:hAnsi="Times New Roman"/>
        </w:rPr>
        <w:t>5.新建、扩建不符合国家产能置换要求的严重过剩的危险化学品产能行业项目(严重过剩产能行业项目以国家和省确定的为准)。新建用汞的(聚)</w:t>
      </w:r>
      <w:r>
        <w:rPr>
          <w:rFonts w:hint="eastAsia" w:hAnsi="Times New Roman"/>
          <w:lang w:val="en-US" w:eastAsia="zh-CN"/>
        </w:rPr>
        <w:t>氯乙烯</w:t>
      </w:r>
      <w:r>
        <w:rPr>
          <w:rFonts w:hint="eastAsia" w:hAnsi="Times New Roman"/>
        </w:rPr>
        <w:t>产能。</w:t>
      </w:r>
    </w:p>
    <w:p w14:paraId="1CCA060E">
      <w:pPr>
        <w:ind w:firstLine="643"/>
        <w:rPr>
          <w:rFonts w:hint="eastAsia" w:hAnsi="Times New Roman"/>
        </w:rPr>
      </w:pPr>
      <w:r>
        <w:rPr>
          <w:rFonts w:hint="eastAsia" w:hAnsi="楷体_GB2312" w:cs="楷体_GB2312"/>
          <w:b/>
          <w:bCs/>
        </w:rPr>
        <w:t>（二）工艺及设备</w:t>
      </w:r>
    </w:p>
    <w:p w14:paraId="693FA569">
      <w:pPr>
        <w:ind w:firstLine="640"/>
        <w:rPr>
          <w:rFonts w:hint="eastAsia" w:hAnsi="Times New Roman"/>
        </w:rPr>
      </w:pPr>
      <w:r>
        <w:rPr>
          <w:rFonts w:hint="eastAsia" w:hAnsi="Times New Roman"/>
        </w:rPr>
        <w:t>6.合成氨半水煤气氨水液相脱硫工艺。</w:t>
      </w:r>
    </w:p>
    <w:p w14:paraId="3B89969E">
      <w:pPr>
        <w:ind w:firstLine="640"/>
        <w:rPr>
          <w:rFonts w:hint="eastAsia" w:hAnsi="Times New Roman"/>
        </w:rPr>
      </w:pPr>
      <w:r>
        <w:rPr>
          <w:rFonts w:hint="eastAsia" w:hAnsi="Times New Roman"/>
        </w:rPr>
        <w:t>7.新建、改建、扩建采用合成氨固定层间歇式煤气化装置(配套有吹风气余热回收、造气炉渣综合利用装置，以及安全、环保、节能、智能化、技术改造项目除外)。</w:t>
      </w:r>
    </w:p>
    <w:p w14:paraId="7B87D443">
      <w:pPr>
        <w:ind w:firstLine="640"/>
        <w:rPr>
          <w:rFonts w:hint="eastAsia" w:hAnsi="Times New Roman"/>
        </w:rPr>
      </w:pPr>
      <w:r>
        <w:rPr>
          <w:rFonts w:hint="eastAsia" w:hAnsi="Times New Roman"/>
        </w:rPr>
        <w:t>8.焦油加工工艺中的硫酸分解工艺。</w:t>
      </w:r>
    </w:p>
    <w:p w14:paraId="5EEFD89F">
      <w:pPr>
        <w:ind w:firstLine="640"/>
        <w:rPr>
          <w:rFonts w:hint="eastAsia" w:hAnsi="Times New Roman"/>
        </w:rPr>
      </w:pPr>
      <w:r>
        <w:rPr>
          <w:rFonts w:hint="eastAsia" w:hAnsi="Times New Roman"/>
        </w:rPr>
        <w:t>9.合成氨一氧化碳常压变换及全中温变换(高温变换)工艺。</w:t>
      </w:r>
    </w:p>
    <w:p w14:paraId="3BA0DD7F">
      <w:pPr>
        <w:ind w:firstLine="640"/>
        <w:rPr>
          <w:rFonts w:hint="eastAsia" w:hAnsi="Times New Roman"/>
        </w:rPr>
      </w:pPr>
      <w:r>
        <w:rPr>
          <w:rFonts w:hint="eastAsia" w:hAnsi="Times New Roman"/>
        </w:rPr>
        <w:t>10.合成氨</w:t>
      </w:r>
      <w:r>
        <w:rPr>
          <w:rFonts w:hint="eastAsia" w:hAnsi="Times New Roman"/>
          <w:lang w:val="en-US" w:eastAsia="zh-CN"/>
        </w:rPr>
        <w:t>L</w:t>
      </w:r>
      <w:r>
        <w:rPr>
          <w:rFonts w:hint="eastAsia" w:hAnsi="Times New Roman"/>
        </w:rPr>
        <w:t>工型HN气压缩机。</w:t>
      </w:r>
    </w:p>
    <w:p w14:paraId="51081D7E">
      <w:pPr>
        <w:ind w:firstLine="640"/>
        <w:rPr>
          <w:rFonts w:hint="eastAsia" w:hAnsi="Times New Roman"/>
        </w:rPr>
      </w:pPr>
      <w:r>
        <w:rPr>
          <w:rFonts w:hint="eastAsia" w:hAnsi="Times New Roman"/>
        </w:rPr>
        <w:t>11.硫酸间接法生产仲丁醇。</w:t>
      </w:r>
    </w:p>
    <w:p w14:paraId="3CD6F0FC">
      <w:pPr>
        <w:ind w:firstLine="640"/>
        <w:rPr>
          <w:rFonts w:hint="eastAsia" w:hAnsi="Times New Roman"/>
        </w:rPr>
      </w:pPr>
      <w:r>
        <w:rPr>
          <w:rFonts w:hint="eastAsia" w:hAnsi="Times New Roman"/>
        </w:rPr>
        <w:t>12.液</w:t>
      </w:r>
      <w:r>
        <w:rPr>
          <w:rFonts w:hint="eastAsia" w:hAnsi="Times New Roman"/>
          <w:lang w:val="en-US" w:eastAsia="zh-CN"/>
        </w:rPr>
        <w:t>氯</w:t>
      </w:r>
      <w:r>
        <w:rPr>
          <w:rFonts w:hint="eastAsia" w:hAnsi="Times New Roman"/>
        </w:rPr>
        <w:t>釜式汽化工艺、釜式夹套加热液氯气化工艺、采用氨冷冻盐水的氯气液化工艺。</w:t>
      </w:r>
    </w:p>
    <w:p w14:paraId="56CF4024">
      <w:pPr>
        <w:ind w:firstLine="640"/>
        <w:rPr>
          <w:rFonts w:hint="eastAsia" w:hAnsi="Times New Roman"/>
        </w:rPr>
      </w:pPr>
      <w:r>
        <w:rPr>
          <w:rFonts w:hint="eastAsia" w:hAnsi="Times New Roman"/>
        </w:rPr>
        <w:t>13.液氯压料包装工艺。</w:t>
      </w:r>
    </w:p>
    <w:p w14:paraId="47CD301A">
      <w:pPr>
        <w:ind w:firstLine="640"/>
        <w:rPr>
          <w:rFonts w:hint="eastAsia" w:hAnsi="Times New Roman"/>
        </w:rPr>
      </w:pPr>
      <w:r>
        <w:rPr>
          <w:rFonts w:hint="eastAsia" w:hAnsi="Times New Roman"/>
        </w:rPr>
        <w:t>14.5-氯-2-甲基苯胺铁粉还原工艺设备。</w:t>
      </w:r>
    </w:p>
    <w:p w14:paraId="2B92A8F8">
      <w:pPr>
        <w:ind w:firstLine="640"/>
        <w:rPr>
          <w:rFonts w:hint="eastAsia" w:hAnsi="Times New Roman"/>
        </w:rPr>
      </w:pPr>
      <w:r>
        <w:rPr>
          <w:rFonts w:hint="eastAsia" w:hAnsi="Times New Roman"/>
        </w:rPr>
        <w:t>15.三足式离心机。</w:t>
      </w:r>
    </w:p>
    <w:p w14:paraId="13343D8C">
      <w:pPr>
        <w:ind w:firstLine="640"/>
        <w:rPr>
          <w:rFonts w:hint="eastAsia" w:hAnsi="Times New Roman"/>
        </w:rPr>
      </w:pPr>
      <w:r>
        <w:rPr>
          <w:rFonts w:hint="eastAsia" w:hAnsi="Times New Roman"/>
        </w:rPr>
        <w:t>16.液氯钢瓶手动充装设备。</w:t>
      </w:r>
    </w:p>
    <w:p w14:paraId="429AB977">
      <w:pPr>
        <w:ind w:firstLine="640"/>
        <w:rPr>
          <w:rFonts w:hint="eastAsia" w:hAnsi="Times New Roman"/>
        </w:rPr>
      </w:pPr>
      <w:r>
        <w:rPr>
          <w:rFonts w:hint="eastAsia" w:hAnsi="Times New Roman"/>
        </w:rPr>
        <w:t>17.涉及易燃、有毒物料敞开式离心机。</w:t>
      </w:r>
    </w:p>
    <w:p w14:paraId="3AE7C329">
      <w:pPr>
        <w:ind w:firstLine="640"/>
        <w:rPr>
          <w:rFonts w:hint="eastAsia" w:hAnsi="Times New Roman"/>
        </w:rPr>
      </w:pPr>
      <w:r>
        <w:rPr>
          <w:rFonts w:hint="eastAsia" w:hAnsi="Times New Roman"/>
        </w:rPr>
        <w:t>18.新建、扩建项目使用多节钟罩的氯乙烯气柜。</w:t>
      </w:r>
    </w:p>
    <w:p w14:paraId="408F5F88">
      <w:pPr>
        <w:ind w:firstLine="640"/>
        <w:rPr>
          <w:rFonts w:hint="eastAsia" w:hAnsi="Times New Roman"/>
        </w:rPr>
      </w:pPr>
      <w:r>
        <w:rPr>
          <w:rFonts w:hint="eastAsia" w:hAnsi="Times New Roman"/>
        </w:rPr>
        <w:t>19.用火直接加热的涂料用树脂生产工艺。</w:t>
      </w:r>
    </w:p>
    <w:p w14:paraId="735FDF77">
      <w:pPr>
        <w:ind w:firstLine="640"/>
        <w:rPr>
          <w:rFonts w:hint="eastAsia" w:hAnsi="Times New Roman"/>
        </w:rPr>
      </w:pPr>
      <w:r>
        <w:rPr>
          <w:rFonts w:hint="eastAsia" w:hAnsi="Times New Roman"/>
        </w:rPr>
        <w:t>20.常压中和法硝酸铵生产工艺(三聚氰胺尾气综合利用项目除外)。</w:t>
      </w:r>
    </w:p>
    <w:p w14:paraId="46041C43">
      <w:pPr>
        <w:ind w:firstLine="640"/>
        <w:rPr>
          <w:rFonts w:hint="eastAsia" w:hAnsi="Times New Roman"/>
        </w:rPr>
      </w:pPr>
      <w:r>
        <w:rPr>
          <w:rFonts w:hint="eastAsia" w:hAnsi="Times New Roman"/>
        </w:rPr>
        <w:t>21.煤制甲醇装置气体净化工序三元换热器。</w:t>
      </w:r>
    </w:p>
    <w:p w14:paraId="681B4C58">
      <w:pPr>
        <w:ind w:firstLine="640"/>
        <w:rPr>
          <w:rFonts w:hint="eastAsia" w:hAnsi="Times New Roman"/>
        </w:rPr>
      </w:pPr>
      <w:r>
        <w:rPr>
          <w:rFonts w:hint="eastAsia" w:hAnsi="Times New Roman"/>
        </w:rPr>
        <w:t>22.未设置密闭及自动吸收系统的液氯储存仓库。</w:t>
      </w:r>
    </w:p>
    <w:p w14:paraId="634B6B24">
      <w:pPr>
        <w:ind w:firstLine="640"/>
        <w:rPr>
          <w:rFonts w:hint="eastAsia" w:hAnsi="Times New Roman"/>
        </w:rPr>
      </w:pPr>
      <w:r>
        <w:rPr>
          <w:rFonts w:hint="eastAsia" w:hAnsi="Times New Roman"/>
        </w:rPr>
        <w:t>23.采用明火高温加热方式生产石油制品的釜式蒸馏装置。</w:t>
      </w:r>
    </w:p>
    <w:p w14:paraId="1BCA140D">
      <w:pPr>
        <w:ind w:firstLine="640"/>
        <w:rPr>
          <w:rFonts w:hint="eastAsia" w:hAnsi="Times New Roman"/>
        </w:rPr>
      </w:pPr>
      <w:r>
        <w:rPr>
          <w:rFonts w:hint="eastAsia" w:hAnsi="Times New Roman"/>
        </w:rPr>
        <w:t>24.开放式(又称敞开式)、内燃式(又称半密闭式或半开-5放式)电石炉。</w:t>
      </w:r>
    </w:p>
    <w:p w14:paraId="60776B17">
      <w:pPr>
        <w:ind w:firstLine="640"/>
        <w:rPr>
          <w:rFonts w:hint="eastAsia" w:hAnsi="Times New Roman"/>
        </w:rPr>
      </w:pPr>
      <w:r>
        <w:rPr>
          <w:rFonts w:hint="eastAsia" w:hAnsi="Times New Roman"/>
        </w:rPr>
        <w:t>25.无火焰监测和熄火保护系统的燃气加热炉、导热油炉(科研实验用炉除外)。</w:t>
      </w:r>
    </w:p>
    <w:p w14:paraId="6B964B05">
      <w:pPr>
        <w:ind w:firstLine="640"/>
        <w:rPr>
          <w:rFonts w:hint="eastAsia" w:hAnsi="Times New Roman"/>
        </w:rPr>
      </w:pPr>
      <w:r>
        <w:rPr>
          <w:rFonts w:hint="eastAsia" w:hAnsi="Times New Roman"/>
        </w:rPr>
        <w:t>26.液化烃、液氯、液氨管道用软管(码头使用的金属软管和电子级产品使用的软管除外)。</w:t>
      </w:r>
    </w:p>
    <w:p w14:paraId="52C2A3E3">
      <w:pPr>
        <w:ind w:firstLine="640"/>
        <w:rPr>
          <w:rFonts w:hint="eastAsia" w:hAnsi="Times New Roman"/>
        </w:rPr>
      </w:pPr>
      <w:r>
        <w:rPr>
          <w:rFonts w:hint="eastAsia" w:hAnsi="Times New Roman"/>
        </w:rPr>
        <w:t>27.新建、扩建项目采用常压固定床</w:t>
      </w:r>
      <w:r>
        <w:rPr>
          <w:rFonts w:hint="eastAsia" w:hAnsi="Times New Roman"/>
          <w:lang w:val="en-US" w:eastAsia="zh-CN"/>
        </w:rPr>
        <w:t>间歇</w:t>
      </w:r>
      <w:r>
        <w:rPr>
          <w:rFonts w:hint="eastAsia" w:hAnsi="Times New Roman"/>
        </w:rPr>
        <w:t>煤气化工艺</w:t>
      </w:r>
    </w:p>
    <w:p w14:paraId="1A4249F0">
      <w:pPr>
        <w:ind w:firstLine="643"/>
        <w:rPr>
          <w:rFonts w:hint="eastAsia" w:hAnsi="楷体_GB2312" w:cs="楷体_GB2312"/>
          <w:b/>
          <w:bCs/>
        </w:rPr>
      </w:pPr>
      <w:r>
        <w:rPr>
          <w:rFonts w:hint="eastAsia" w:hAnsi="楷体_GB2312" w:cs="楷体_GB2312"/>
          <w:b/>
          <w:bCs/>
        </w:rPr>
        <w:t>（三）其他类</w:t>
      </w:r>
    </w:p>
    <w:p w14:paraId="4856290F">
      <w:pPr>
        <w:ind w:firstLine="640"/>
        <w:rPr>
          <w:rFonts w:hint="eastAsia" w:hAnsi="Times New Roman"/>
        </w:rPr>
      </w:pPr>
      <w:r>
        <w:rPr>
          <w:rFonts w:hint="eastAsia" w:hAnsi="Times New Roman"/>
        </w:rPr>
        <w:t>28.禁止在饮用水水源二级保护区的岸线和河段范围内设置有毒有害废弃物、化工原料、危险化学品、矿物油类等产品的暂存和储存场所，建设危险化学品、固体废物等装卸运输码头。</w:t>
      </w:r>
    </w:p>
    <w:p w14:paraId="0D52BD56">
      <w:pPr>
        <w:ind w:firstLine="640"/>
        <w:rPr>
          <w:rFonts w:hint="eastAsia" w:hAnsi="Times New Roman"/>
        </w:rPr>
      </w:pPr>
      <w:r>
        <w:rPr>
          <w:rFonts w:hint="eastAsia" w:hAnsi="Times New Roman"/>
        </w:rPr>
        <w:t>29.禁止在府河岸线一公里范围内新建、扩建化工园区和化工项目。</w:t>
      </w:r>
    </w:p>
    <w:p w14:paraId="5FCB7711">
      <w:pPr>
        <w:ind w:firstLine="640"/>
        <w:rPr>
          <w:rFonts w:hint="eastAsia" w:hAnsi="Times New Roman"/>
        </w:rPr>
      </w:pPr>
      <w:r>
        <w:rPr>
          <w:rFonts w:hint="eastAsia" w:hAnsi="Times New Roman"/>
        </w:rPr>
        <w:t>30.禁止在化工园区外新建危险化学品建设项目。禁止化工园区外现有危险化学品生产单位新建、改建和扩建危险化学品项目(安全、环保、节能、智能化、技术改造项目除外)。</w:t>
      </w:r>
    </w:p>
    <w:p w14:paraId="0A450455">
      <w:pPr>
        <w:ind w:firstLine="640"/>
        <w:rPr>
          <w:rFonts w:hint="eastAsia" w:hAnsi="Times New Roman"/>
        </w:rPr>
      </w:pPr>
      <w:r>
        <w:rPr>
          <w:rFonts w:hint="eastAsia" w:hAnsi="Times New Roman"/>
        </w:rPr>
        <w:t>31.禁止在化工园区内新建、改建、扩建与园区产业发展规划无关的非化工项目(环保处置、危废处置、产业配套项目除外)。</w:t>
      </w:r>
    </w:p>
    <w:p w14:paraId="6550840B">
      <w:pPr>
        <w:ind w:firstLine="640"/>
        <w:rPr>
          <w:rFonts w:hint="eastAsia" w:hAnsi="Times New Roman"/>
        </w:rPr>
      </w:pPr>
      <w:r>
        <w:rPr>
          <w:rFonts w:hint="eastAsia" w:hAnsi="Times New Roman"/>
        </w:rPr>
        <w:t>32.禁止在安全风险等级为A级(高安全风险)的化工园区新建、扩建化工项目(安全、环保、节能、智能化、技术改造项目除外)。</w:t>
      </w:r>
    </w:p>
    <w:p w14:paraId="7835798E">
      <w:pPr>
        <w:ind w:firstLine="640"/>
        <w:rPr>
          <w:rFonts w:hint="eastAsia" w:hAnsi="Times New Roman"/>
        </w:rPr>
      </w:pPr>
      <w:r>
        <w:rPr>
          <w:rFonts w:hint="eastAsia" w:hAnsi="Times New Roman"/>
        </w:rPr>
        <w:t>33.禁止在安全风险等级评估为“红色”(高风险)的企业新建、改建、扩建化工项目(安全、环保、节能、智能化、技术改造项目除外)。</w:t>
      </w:r>
    </w:p>
    <w:p w14:paraId="4B4FC843">
      <w:pPr>
        <w:ind w:firstLine="640"/>
        <w:rPr>
          <w:rFonts w:hint="eastAsia" w:hAnsi="Times New Roman"/>
        </w:rPr>
      </w:pPr>
      <w:r>
        <w:rPr>
          <w:rFonts w:hint="eastAsia" w:hAnsi="Times New Roman"/>
        </w:rPr>
        <w:t>34.涉及硝化、</w:t>
      </w:r>
      <w:r>
        <w:rPr>
          <w:rFonts w:hint="eastAsia" w:hAnsi="Times New Roman"/>
          <w:lang w:val="en-US" w:eastAsia="zh-CN"/>
        </w:rPr>
        <w:t>氯化</w:t>
      </w:r>
      <w:r>
        <w:rPr>
          <w:rFonts w:hint="eastAsia" w:hAnsi="Times New Roman"/>
        </w:rPr>
        <w:t>、</w:t>
      </w:r>
      <w:r>
        <w:rPr>
          <w:rFonts w:hint="eastAsia" w:cs="仿宋_GB2312"/>
        </w:rPr>
        <w:t>氟化、重氮化、过氧化工艺的精细化工生产装置的企业未完成有关产品生产工艺全流程反应安全风险评估的，一律不得生产。</w:t>
      </w:r>
    </w:p>
    <w:p w14:paraId="70938A9A">
      <w:pPr>
        <w:ind w:firstLine="640"/>
        <w:rPr>
          <w:rFonts w:hint="eastAsia" w:hAnsi="Times New Roman"/>
        </w:rPr>
      </w:pPr>
      <w:r>
        <w:rPr>
          <w:rFonts w:hint="eastAsia" w:hAnsi="Times New Roman"/>
        </w:rPr>
        <w:t>35.禁止引进与青春化工工业园产业发展规划不相符及被列入随州市青春化工工业园规划环评项目准入“负面清单”的项目。</w:t>
      </w:r>
    </w:p>
    <w:p w14:paraId="24991256">
      <w:pPr>
        <w:ind w:firstLine="640"/>
        <w:rPr>
          <w:rFonts w:hint="eastAsia" w:hAnsi="Times New Roman"/>
        </w:rPr>
      </w:pPr>
      <w:r>
        <w:rPr>
          <w:rFonts w:hint="eastAsia" w:hAnsi="Times New Roman"/>
        </w:rPr>
        <w:t>36.有关法律、法规和政策禁止的其他项目。</w:t>
      </w:r>
    </w:p>
    <w:p w14:paraId="1C9A174E">
      <w:pPr>
        <w:ind w:firstLine="640"/>
        <w:rPr>
          <w:rFonts w:hint="eastAsia" w:hAnsi="Times New Roman"/>
        </w:rPr>
      </w:pPr>
      <w:r>
        <w:rPr>
          <w:rFonts w:hint="eastAsia" w:hAnsi="Times New Roman"/>
        </w:rPr>
        <w:t>注:①禁止类所列事项，国家另有规定的从其规定。②未列入本《目录清单》但国家有相关规定的，从其规定。</w:t>
      </w:r>
    </w:p>
    <w:p w14:paraId="45BD3315">
      <w:pPr>
        <w:ind w:firstLine="640"/>
        <w:rPr>
          <w:rFonts w:hint="eastAsia" w:hAnsi="Times New Roman"/>
        </w:rPr>
      </w:pPr>
      <w:r>
        <w:rPr>
          <w:rFonts w:hint="eastAsia" w:hAnsi="Times New Roman"/>
        </w:rPr>
        <w:t>本《目录》自颁布之日起实施，由随州市青春化工工业园区办会同区经济发展局负责解释。</w:t>
      </w:r>
    </w:p>
    <w:p w14:paraId="6B8933F8">
      <w:pPr>
        <w:ind w:firstLine="640"/>
        <w:rPr>
          <w:rFonts w:ascii="Times New Roman" w:hAnsi="Times New Roman"/>
        </w:rPr>
      </w:pPr>
    </w:p>
    <w:p w14:paraId="15FA3473">
      <w:pPr>
        <w:pStyle w:val="3"/>
        <w:ind w:firstLine="640"/>
        <w:jc w:val="left"/>
        <w:rPr>
          <w:rFonts w:ascii="黑体" w:hAnsi="黑体" w:eastAsia="黑体"/>
          <w:b w:val="0"/>
          <w:bCs/>
          <w:sz w:val="32"/>
          <w:szCs w:val="21"/>
        </w:rPr>
      </w:pPr>
      <w:bookmarkStart w:id="20" w:name="_Toc270"/>
      <w:r>
        <w:rPr>
          <w:rFonts w:hint="eastAsia" w:ascii="黑体" w:hAnsi="黑体" w:eastAsia="黑体"/>
          <w:b w:val="0"/>
          <w:bCs/>
          <w:sz w:val="32"/>
          <w:szCs w:val="21"/>
        </w:rPr>
        <w:t>十一</w:t>
      </w:r>
      <w:r>
        <w:rPr>
          <w:rFonts w:ascii="黑体" w:hAnsi="黑体" w:eastAsia="黑体"/>
          <w:b w:val="0"/>
          <w:bCs/>
          <w:sz w:val="32"/>
          <w:szCs w:val="21"/>
        </w:rPr>
        <w:t>、随州市青春化工工业园项目准入评审管理制度</w:t>
      </w:r>
      <w:bookmarkEnd w:id="20"/>
    </w:p>
    <w:p w14:paraId="6BCAC81A">
      <w:pPr>
        <w:ind w:firstLine="643"/>
        <w:rPr>
          <w:rFonts w:ascii="Times New Roman" w:hAnsi="Times New Roman"/>
        </w:rPr>
      </w:pPr>
      <w:r>
        <w:rPr>
          <w:rFonts w:hint="eastAsia" w:ascii="Times New Roman" w:hAnsi="Times New Roman" w:eastAsia="楷体_GB2312"/>
          <w:b/>
          <w:bCs/>
          <w:color w:val="000000"/>
          <w:szCs w:val="32"/>
        </w:rPr>
        <w:t>第一条</w:t>
      </w:r>
      <w:r>
        <w:rPr>
          <w:rFonts w:hint="eastAsia" w:ascii="Times New Roman" w:hAnsi="Times New Roman"/>
        </w:rPr>
        <w:t xml:space="preserve">  </w:t>
      </w:r>
      <w:r>
        <w:rPr>
          <w:rFonts w:hint="eastAsia" w:hAnsi="Times New Roman"/>
        </w:rPr>
        <w:t>为加强随州市青春化工工业园开发、建设和管理工作，促进健康快速安全发展，根据国家、省、市有关法律法规和政策文件，按照“布局集中、用地集约、产业聚集安全环保”的要求，推进园区化工产业项目向科技含量高经济效益好、资源消耗低、污染排放少、安全风险小的方向高质量发展，进一步规范园区内建设项目准入管理，结合高新区实际，制定本制度。</w:t>
      </w:r>
    </w:p>
    <w:p w14:paraId="46F2C1FA">
      <w:pPr>
        <w:ind w:firstLine="643"/>
        <w:rPr>
          <w:rFonts w:ascii="Times New Roman" w:hAnsi="Times New Roman"/>
        </w:rPr>
      </w:pPr>
      <w:r>
        <w:rPr>
          <w:rFonts w:ascii="Times New Roman" w:hAnsi="Times New Roman" w:eastAsia="楷体_GB2312"/>
          <w:b/>
          <w:bCs/>
          <w:color w:val="000000"/>
          <w:szCs w:val="32"/>
        </w:rPr>
        <w:t>第二条</w:t>
      </w:r>
      <w:r>
        <w:rPr>
          <w:rFonts w:hint="eastAsia" w:ascii="黑体" w:hAnsi="黑体" w:eastAsia="黑体" w:cs="黑体"/>
        </w:rPr>
        <w:t xml:space="preserve">  </w:t>
      </w:r>
      <w:r>
        <w:rPr>
          <w:rFonts w:ascii="Times New Roman" w:hAnsi="Times New Roman"/>
        </w:rPr>
        <w:t>适用范围</w:t>
      </w:r>
    </w:p>
    <w:p w14:paraId="751568B1">
      <w:pPr>
        <w:ind w:firstLine="640"/>
        <w:rPr>
          <w:rFonts w:ascii="Times New Roman" w:hAnsi="Times New Roman"/>
        </w:rPr>
      </w:pPr>
      <w:r>
        <w:rPr>
          <w:rFonts w:ascii="Times New Roman" w:hAnsi="Times New Roman"/>
        </w:rPr>
        <w:t>本制度适用于随州市青春化工工业园内新建、改建、扩建建设项目。</w:t>
      </w:r>
    </w:p>
    <w:p w14:paraId="484B26C9">
      <w:pPr>
        <w:ind w:firstLine="643"/>
        <w:rPr>
          <w:rFonts w:ascii="Times New Roman" w:hAnsi="Times New Roman"/>
        </w:rPr>
      </w:pPr>
      <w:r>
        <w:rPr>
          <w:rFonts w:ascii="Times New Roman" w:hAnsi="Times New Roman" w:eastAsia="楷体_GB2312"/>
          <w:b/>
          <w:bCs/>
          <w:color w:val="000000"/>
          <w:szCs w:val="32"/>
        </w:rPr>
        <w:t>第三条</w:t>
      </w:r>
      <w:r>
        <w:rPr>
          <w:rFonts w:ascii="Times New Roman" w:hAnsi="Times New Roman"/>
        </w:rPr>
        <w:t xml:space="preserve"> </w:t>
      </w:r>
      <w:r>
        <w:rPr>
          <w:rFonts w:hint="eastAsia" w:ascii="Times New Roman" w:hAnsi="Times New Roman"/>
        </w:rPr>
        <w:t xml:space="preserve"> </w:t>
      </w:r>
      <w:r>
        <w:rPr>
          <w:rFonts w:ascii="Times New Roman" w:hAnsi="Times New Roman"/>
        </w:rPr>
        <w:t>准入原则</w:t>
      </w:r>
    </w:p>
    <w:p w14:paraId="09A191B2">
      <w:pPr>
        <w:ind w:firstLine="640"/>
        <w:rPr>
          <w:rFonts w:hint="eastAsia" w:cs="仿宋_GB2312"/>
        </w:rPr>
      </w:pPr>
      <w:r>
        <w:rPr>
          <w:rFonts w:hint="eastAsia" w:ascii="楷体_GB2312" w:hAnsi="楷体_GB2312" w:eastAsia="楷体_GB2312" w:cs="楷体_GB2312"/>
        </w:rPr>
        <w:t>（一）统一领导，明确责任</w:t>
      </w:r>
      <w:r>
        <w:rPr>
          <w:rFonts w:hint="eastAsia" w:cs="仿宋_GB2312"/>
        </w:rPr>
        <w:t>。随州市青春化工工业园管理办公室(以下简称“化工园区办”)牵头，负责项目入园评审工作，各责任部门按照职能分工，各司其职，各负其责，密切协作，形成合力，协同开展项目入园评估。</w:t>
      </w:r>
    </w:p>
    <w:p w14:paraId="7B8A29BA">
      <w:pPr>
        <w:ind w:firstLine="640"/>
        <w:rPr>
          <w:rFonts w:hint="eastAsia" w:cs="仿宋_GB2312"/>
        </w:rPr>
      </w:pPr>
      <w:r>
        <w:rPr>
          <w:rFonts w:hint="eastAsia" w:ascii="楷体_GB2312" w:hAnsi="楷体_GB2312" w:eastAsia="楷体_GB2312" w:cs="楷体_GB2312"/>
        </w:rPr>
        <w:t>（二）依法依规，绿色安全</w:t>
      </w:r>
      <w:r>
        <w:rPr>
          <w:rFonts w:hint="eastAsia" w:cs="仿宋_GB2312"/>
        </w:rPr>
        <w:t>。牢固树立安全发展理念，严格项目准入门槛，从严审核安全、环保准入条件，提升园区整体安全水平和环境质量。严格执行法律法规、行业标准、产业政策，做好园区项目准入工作。</w:t>
      </w:r>
    </w:p>
    <w:p w14:paraId="75B5B049">
      <w:pPr>
        <w:ind w:firstLine="640"/>
        <w:rPr>
          <w:rFonts w:hint="eastAsia" w:cs="仿宋_GB2312"/>
        </w:rPr>
      </w:pPr>
      <w:r>
        <w:rPr>
          <w:rFonts w:hint="eastAsia" w:ascii="楷体_GB2312" w:hAnsi="楷体_GB2312" w:eastAsia="楷体_GB2312" w:cs="楷体_GB2312"/>
        </w:rPr>
        <w:t>（三）节约集约，注重效益</w:t>
      </w:r>
      <w:r>
        <w:rPr>
          <w:rFonts w:hint="eastAsia" w:cs="仿宋_GB2312"/>
        </w:rPr>
        <w:t>。强化综合评定，择优双向选择，坚持节约集约用地，提升土地产出效益，充分注重企业项目工艺可靠性、技术先进性、安全可控性、市场竞争力等要素，提升项目入园质量，助推园区经济绿色低碳循环发展。</w:t>
      </w:r>
    </w:p>
    <w:p w14:paraId="3B52BEC7">
      <w:pPr>
        <w:ind w:firstLine="643"/>
        <w:rPr>
          <w:rFonts w:hint="eastAsia" w:cs="仿宋_GB2312"/>
        </w:rPr>
      </w:pPr>
      <w:r>
        <w:rPr>
          <w:rFonts w:hint="eastAsia" w:ascii="Times New Roman" w:hAnsi="Times New Roman" w:eastAsia="楷体_GB2312"/>
          <w:b/>
          <w:bCs/>
          <w:color w:val="000000"/>
          <w:szCs w:val="32"/>
        </w:rPr>
        <w:t>第四条</w:t>
      </w:r>
      <w:r>
        <w:rPr>
          <w:rFonts w:hint="eastAsia" w:cs="仿宋_GB2312"/>
        </w:rPr>
        <w:t xml:space="preserve">  准入条件</w:t>
      </w:r>
    </w:p>
    <w:p w14:paraId="424E2040">
      <w:pPr>
        <w:ind w:firstLine="643"/>
        <w:rPr>
          <w:rFonts w:hint="eastAsia" w:hAnsi="楷体_GB2312" w:cs="楷体_GB2312"/>
          <w:b/>
          <w:bCs/>
        </w:rPr>
      </w:pPr>
      <w:r>
        <w:rPr>
          <w:rFonts w:hint="eastAsia" w:hAnsi="楷体_GB2312" w:cs="楷体_GB2312"/>
          <w:b/>
          <w:bCs/>
        </w:rPr>
        <w:t>(一)产业要求</w:t>
      </w:r>
    </w:p>
    <w:p w14:paraId="79D69ACF">
      <w:pPr>
        <w:ind w:firstLine="640"/>
        <w:rPr>
          <w:rFonts w:hint="eastAsia" w:cs="仿宋_GB2312"/>
        </w:rPr>
      </w:pPr>
      <w:r>
        <w:rPr>
          <w:rFonts w:hint="eastAsia" w:cs="仿宋_GB2312"/>
        </w:rPr>
        <w:t>入园项目须符合《产业结构调整指导目录(2024年本)》《湖北省危险化学品禁止、限(控)制、淘汰和鼓励政策目录清单(2023年本)》和《随州市青春化工工业园产业项目准入禁限(控)目录(试行)》(随高新区管办文</w:t>
      </w:r>
      <w:r>
        <w:rPr>
          <w:rFonts w:hint="eastAsia" w:ascii="微软雅黑" w:hAnsi="微软雅黑" w:eastAsia="微软雅黑" w:cs="微软雅黑"/>
        </w:rPr>
        <w:t>﹝</w:t>
      </w:r>
      <w:r>
        <w:rPr>
          <w:rFonts w:hint="eastAsia" w:cs="仿宋_GB2312"/>
        </w:rPr>
        <w:t>2025</w:t>
      </w:r>
      <w:r>
        <w:rPr>
          <w:rFonts w:hint="eastAsia" w:ascii="微软雅黑" w:hAnsi="微软雅黑" w:eastAsia="微软雅黑" w:cs="微软雅黑"/>
        </w:rPr>
        <w:t>﹞</w:t>
      </w:r>
      <w:r>
        <w:rPr>
          <w:rFonts w:hint="eastAsia" w:cs="仿宋_GB2312"/>
        </w:rPr>
        <w:t>1号)相关规定。优先发展符合《随州市青春化工工业园产业发展规划》的产业项目，鼓励“专精特新”企业、国家级高新技术企业、行业头部企业和上市公司、瞪羚、独角兽及驼鹿企业入园;国家产业政策允许类项目应符合准入条件和集中布局要求;严格控制产能过剩、国家产业政策限制类、生产工艺技术装备落后和清洁生产水平低的项目入园;全面禁止国家或省明令淘汰的生产工艺、装备或落后产品的项目入园。</w:t>
      </w:r>
    </w:p>
    <w:p w14:paraId="6575B24E">
      <w:pPr>
        <w:ind w:firstLine="643"/>
        <w:rPr>
          <w:rFonts w:hint="eastAsia" w:hAnsi="楷体_GB2312" w:cs="楷体_GB2312"/>
          <w:b/>
          <w:bCs/>
        </w:rPr>
      </w:pPr>
      <w:r>
        <w:rPr>
          <w:rFonts w:hint="eastAsia" w:hAnsi="楷体_GB2312" w:cs="楷体_GB2312"/>
          <w:b/>
          <w:bCs/>
        </w:rPr>
        <w:t>(二)规划要求</w:t>
      </w:r>
    </w:p>
    <w:p w14:paraId="25413FE7">
      <w:pPr>
        <w:ind w:firstLine="640"/>
        <w:rPr>
          <w:rFonts w:hint="eastAsia" w:cs="仿宋_GB2312"/>
        </w:rPr>
      </w:pPr>
      <w:r>
        <w:rPr>
          <w:rFonts w:hint="eastAsia" w:cs="仿宋_GB2312"/>
        </w:rPr>
        <w:t>项目须符合随州市国土空间总体规划、随州市生态环境保护“十四五”规划、青春化工工业园总体规划和随州市化工园区产业发展规划等相关规划以及园区规划环评相关要求。</w:t>
      </w:r>
    </w:p>
    <w:p w14:paraId="713B01F9">
      <w:pPr>
        <w:ind w:firstLine="643"/>
        <w:rPr>
          <w:rFonts w:hint="eastAsia" w:hAnsi="楷体_GB2312" w:cs="楷体_GB2312"/>
          <w:b/>
          <w:bCs/>
        </w:rPr>
      </w:pPr>
      <w:r>
        <w:rPr>
          <w:rFonts w:hint="eastAsia" w:hAnsi="楷体_GB2312" w:cs="楷体_GB2312"/>
          <w:b/>
          <w:bCs/>
        </w:rPr>
        <w:t>(三)土地利用要求</w:t>
      </w:r>
    </w:p>
    <w:p w14:paraId="4F616F24">
      <w:pPr>
        <w:ind w:firstLine="640"/>
        <w:rPr>
          <w:rFonts w:hint="eastAsia" w:cs="仿宋_GB2312"/>
        </w:rPr>
      </w:pPr>
      <w:r>
        <w:rPr>
          <w:rFonts w:hint="eastAsia" w:cs="仿宋_GB2312"/>
        </w:rPr>
        <w:t>项目用地必须符合随州市国土空</w:t>
      </w:r>
      <w:r>
        <w:rPr>
          <w:rFonts w:hint="eastAsia" w:cs="仿宋_GB2312"/>
          <w:lang w:val="en-US" w:eastAsia="zh-CN"/>
        </w:rPr>
        <w:t>间</w:t>
      </w:r>
      <w:r>
        <w:rPr>
          <w:rFonts w:hint="eastAsia" w:cs="仿宋_GB2312"/>
        </w:rPr>
        <w:t>总体规划、青春化工工业园总体规划等相关规划要求，实行“统一规划、分期供地”制度，当期用地未达到约定条件，不予安排下期用地。</w:t>
      </w:r>
    </w:p>
    <w:p w14:paraId="3D537568">
      <w:pPr>
        <w:ind w:firstLine="643"/>
        <w:rPr>
          <w:rFonts w:hint="eastAsia" w:hAnsi="楷体_GB2312" w:cs="楷体_GB2312"/>
          <w:b/>
          <w:bCs/>
        </w:rPr>
      </w:pPr>
      <w:r>
        <w:rPr>
          <w:rFonts w:hint="eastAsia" w:hAnsi="楷体_GB2312" w:cs="楷体_GB2312"/>
          <w:b/>
          <w:bCs/>
        </w:rPr>
        <w:t>(四)安全生产要求</w:t>
      </w:r>
    </w:p>
    <w:p w14:paraId="111EBAED">
      <w:pPr>
        <w:ind w:firstLine="640"/>
        <w:rPr>
          <w:rFonts w:hint="eastAsia" w:cs="仿宋_GB2312"/>
        </w:rPr>
      </w:pPr>
      <w:r>
        <w:rPr>
          <w:rFonts w:hint="eastAsia" w:cs="仿宋_GB2312"/>
        </w:rPr>
        <w:t>严格执行国家安全监管总局印发的《淘汰落后安全技术装备目录(2015年第一批)》《推广先进与淘汰落后安全技术装备目录(第二批)》《淘汰落后安全技术工艺、设备目录(2016年)》，以及应急管理部办公厅印发的《淘汰落后危险化学品安全生产工艺技术设备目录(第一批)》《湖北省危险化学品禁止、限(控)制、淘汰和鼓励政策目录清单(2023年本)》，禁止使用淘汰落后的化工工艺和设备的项目入园。</w:t>
      </w:r>
    </w:p>
    <w:p w14:paraId="0F119CB1">
      <w:pPr>
        <w:ind w:firstLine="640"/>
        <w:rPr>
          <w:rFonts w:hint="eastAsia" w:cs="仿宋_GB2312"/>
        </w:rPr>
      </w:pPr>
      <w:r>
        <w:rPr>
          <w:rFonts w:hint="eastAsia" w:cs="仿宋_GB2312"/>
        </w:rPr>
        <w:t>除公共基础设施、公用工程、服务化工生产的配套项目和使用危险化学品、存在化工工艺的战略性新兴产业、产业链延链补链强链项目建设外，禁止在化工园区内新建、改建扩建与园区产业发展规划无关的非化工项目。</w:t>
      </w:r>
    </w:p>
    <w:p w14:paraId="717919FC">
      <w:pPr>
        <w:ind w:firstLine="640"/>
        <w:rPr>
          <w:rFonts w:hint="eastAsia" w:cs="仿宋_GB2312"/>
        </w:rPr>
      </w:pPr>
      <w:r>
        <w:rPr>
          <w:rFonts w:hint="eastAsia" w:cs="仿宋_GB2312"/>
        </w:rPr>
        <w:t>化工项目采用的生产工艺技术应当来源合法、成熟可靠，对符合《湖北省危险化学品生产工艺安全可靠性论证实施细则(试行)》中“新开发的危险化学品生产工艺”范围的，须依规完成首次工艺安全可靠性论证。</w:t>
      </w:r>
    </w:p>
    <w:p w14:paraId="6AD67378">
      <w:pPr>
        <w:ind w:firstLine="640"/>
        <w:rPr>
          <w:rFonts w:hint="eastAsia" w:cs="仿宋_GB2312"/>
        </w:rPr>
      </w:pPr>
      <w:r>
        <w:rPr>
          <w:rFonts w:hint="eastAsia" w:cs="仿宋_GB2312"/>
        </w:rPr>
        <w:t>项目建设单位应当采用有利于改善安全生产条件的新工艺、新技术、新材料、新设备，运用现代科学技术提高安全生产水平和事故防范能力。</w:t>
      </w:r>
    </w:p>
    <w:p w14:paraId="5934A9EB">
      <w:pPr>
        <w:ind w:firstLine="640"/>
        <w:rPr>
          <w:rFonts w:hint="eastAsia" w:cs="仿宋_GB2312"/>
        </w:rPr>
      </w:pPr>
      <w:r>
        <w:rPr>
          <w:rFonts w:hint="eastAsia" w:cs="仿宋_GB2312"/>
        </w:rPr>
        <w:t>凡涉及“两重点一重大” (重点监管的危险化工工艺、重点监管的危险化学品、危险化学品重大危险源)的入园项目，应符合国家有关安全生产法律法规、规章、标准规范和行业标准的规定。企业中涉及重点监管危险化工工艺和金属有机物合成反应(包括格氏反应)的间歇和半间歇反应，有以下情形之一的，要开展反应安全风险评估：1.国内首次使用的新工艺、新配方投入工业化生产的以及国外首次引进的新工艺且未进行过反应安全风险评估的；2.现有的工艺路线、工艺参数或装置能力发生变更，且没有反应安全风险评估报告的；3.因反应工艺问题，发生过生产安全事故的。</w:t>
      </w:r>
    </w:p>
    <w:p w14:paraId="43FCBE4B">
      <w:pPr>
        <w:ind w:firstLine="643"/>
        <w:rPr>
          <w:rFonts w:hint="eastAsia" w:hAnsi="楷体_GB2312" w:cs="楷体_GB2312"/>
          <w:b/>
          <w:bCs/>
        </w:rPr>
      </w:pPr>
      <w:r>
        <w:rPr>
          <w:rFonts w:hint="eastAsia" w:hAnsi="楷体_GB2312" w:cs="楷体_GB2312"/>
          <w:b/>
          <w:bCs/>
        </w:rPr>
        <w:t>(五)生态环保要求</w:t>
      </w:r>
    </w:p>
    <w:p w14:paraId="5091FA2B">
      <w:pPr>
        <w:ind w:firstLine="640"/>
        <w:rPr>
          <w:rFonts w:hint="eastAsia" w:hAnsi="Times New Roman"/>
        </w:rPr>
      </w:pPr>
      <w:r>
        <w:rPr>
          <w:rFonts w:hint="eastAsia" w:hAnsi="Times New Roman"/>
        </w:rPr>
        <w:t>入园项目须符合绿色、低碳、循环要求，满足园区规划环评及“三线一单”(生态保护红线、环境质量底线、资源利用上线、产业准入负面清单)管控和园区规划环评相关要求。污染物排放满足国家及行业相关排放标准，污染物排放总量不突破区域生态环境承载能力，环境风险可控。严格执行项目环境影响评价、环保设施“三同时”制度。</w:t>
      </w:r>
    </w:p>
    <w:p w14:paraId="6659869F">
      <w:pPr>
        <w:ind w:firstLine="643"/>
        <w:rPr>
          <w:rFonts w:hint="eastAsia" w:hAnsi="楷体_GB2312" w:cs="楷体_GB2312"/>
          <w:b/>
          <w:bCs/>
        </w:rPr>
      </w:pPr>
      <w:r>
        <w:rPr>
          <w:rFonts w:hint="eastAsia" w:hAnsi="楷体_GB2312" w:cs="楷体_GB2312"/>
          <w:b/>
          <w:bCs/>
        </w:rPr>
        <w:t>(六)投入产出要求</w:t>
      </w:r>
    </w:p>
    <w:p w14:paraId="2E38E828">
      <w:pPr>
        <w:ind w:firstLine="640"/>
        <w:rPr>
          <w:rFonts w:hint="eastAsia" w:hAnsi="Times New Roman"/>
        </w:rPr>
      </w:pPr>
      <w:r>
        <w:rPr>
          <w:rFonts w:hint="eastAsia" w:hAnsi="Times New Roman"/>
        </w:rPr>
        <w:t>新入园项目固定资产投资强度300万元/亩以上(含300万元/亩)，年纳税30万元/亩以上(含30万元/亩)，单体投资规模原则上3亿元以上(含3亿元)。经论证属投资强度大、税收强度高、预期效益好且属于产业链延链补链强链的优质项目及改建、扩建项目，按照“一事一议原则研究后入园。</w:t>
      </w:r>
    </w:p>
    <w:p w14:paraId="34FF0874">
      <w:pPr>
        <w:ind w:firstLine="643"/>
        <w:rPr>
          <w:rFonts w:hint="eastAsia" w:hAnsi="楷体_GB2312" w:cs="楷体_GB2312"/>
          <w:b/>
          <w:bCs/>
        </w:rPr>
      </w:pPr>
      <w:r>
        <w:rPr>
          <w:rFonts w:hint="eastAsia" w:hAnsi="楷体_GB2312" w:cs="楷体_GB2312"/>
          <w:b/>
          <w:bCs/>
        </w:rPr>
        <w:t>(七)能耗要求</w:t>
      </w:r>
    </w:p>
    <w:p w14:paraId="03F08AF9">
      <w:pPr>
        <w:ind w:firstLine="640"/>
        <w:rPr>
          <w:rFonts w:ascii="Times New Roman" w:hAnsi="Times New Roman"/>
        </w:rPr>
      </w:pPr>
      <w:r>
        <w:rPr>
          <w:rFonts w:hint="eastAsia" w:hAnsi="Times New Roman"/>
        </w:rPr>
        <w:t>严格执行固定资产投资项目</w:t>
      </w:r>
      <w:r>
        <w:rPr>
          <w:rFonts w:ascii="Times New Roman" w:hAnsi="Times New Roman"/>
        </w:rPr>
        <w:t>节能审查制度，满足能耗强度控制要求，从源头上严控新上项目能效水平。严格执行《省发改委关于</w:t>
      </w:r>
      <w:r>
        <w:rPr>
          <w:rFonts w:hint="eastAsia" w:ascii="Times New Roman" w:hAnsi="Times New Roman"/>
        </w:rPr>
        <w:t>“</w:t>
      </w:r>
      <w:r>
        <w:rPr>
          <w:rFonts w:ascii="Times New Roman" w:hAnsi="Times New Roman"/>
        </w:rPr>
        <w:t>两高</w:t>
      </w:r>
      <w:r>
        <w:rPr>
          <w:rFonts w:hint="eastAsia" w:ascii="Times New Roman" w:hAnsi="Times New Roman"/>
        </w:rPr>
        <w:t>”</w:t>
      </w:r>
      <w:r>
        <w:rPr>
          <w:rFonts w:ascii="Times New Roman" w:hAnsi="Times New Roman"/>
        </w:rPr>
        <w:t>项目节能审查有关事项的通知》(鄂发改环资</w:t>
      </w:r>
      <w:r>
        <w:rPr>
          <w:rFonts w:hint="eastAsia" w:ascii="宋体" w:hAnsi="宋体" w:eastAsia="宋体" w:cs="宋体"/>
        </w:rPr>
        <w:t>﹝2021﹞</w:t>
      </w:r>
      <w:r>
        <w:rPr>
          <w:rFonts w:ascii="Times New Roman" w:hAnsi="Times New Roman"/>
        </w:rPr>
        <w:t>251号)</w:t>
      </w:r>
      <w:r>
        <w:rPr>
          <w:rFonts w:hint="eastAsia" w:ascii="Times New Roman" w:hAnsi="Times New Roman"/>
        </w:rPr>
        <w:t>，</w:t>
      </w:r>
      <w:r>
        <w:rPr>
          <w:rFonts w:ascii="Times New Roman" w:hAnsi="Times New Roman"/>
        </w:rPr>
        <w:t>坚决遏制高耗能、高排放、低水平项目盲目发展，严格落实</w:t>
      </w:r>
      <w:r>
        <w:rPr>
          <w:rFonts w:hint="eastAsia" w:ascii="Times New Roman" w:hAnsi="Times New Roman"/>
        </w:rPr>
        <w:t>“两高”</w:t>
      </w:r>
      <w:r>
        <w:rPr>
          <w:rFonts w:ascii="Times New Roman" w:hAnsi="Times New Roman"/>
        </w:rPr>
        <w:t>项目部门联合审查制度。新建项目单位产品能耗达到国内先进水平，高耗能行业重点领域能效达到标杆水平。</w:t>
      </w:r>
    </w:p>
    <w:p w14:paraId="25D0351C">
      <w:pPr>
        <w:ind w:firstLine="643"/>
        <w:rPr>
          <w:rFonts w:hint="eastAsia" w:hAnsi="Times New Roman"/>
          <w:b/>
          <w:bCs/>
        </w:rPr>
      </w:pPr>
      <w:r>
        <w:rPr>
          <w:rFonts w:hint="eastAsia" w:hAnsi="楷体_GB2312" w:cs="楷体_GB2312"/>
          <w:b/>
          <w:bCs/>
        </w:rPr>
        <w:t>(八)工艺设备要求</w:t>
      </w:r>
    </w:p>
    <w:p w14:paraId="14AEC619">
      <w:pPr>
        <w:ind w:firstLine="640"/>
        <w:rPr>
          <w:rFonts w:hint="eastAsia" w:hAnsi="Times New Roman"/>
        </w:rPr>
      </w:pPr>
      <w:r>
        <w:rPr>
          <w:rFonts w:hint="eastAsia" w:hAnsi="Times New Roman"/>
        </w:rPr>
        <w:t>入园项目须采用清洁生产工艺，生产线总体水平要接近或达到国际先进水平。选用安全、高效、节能、低耗的生产设备，不得采用国家明令禁止和淘汰的落后装备。</w:t>
      </w:r>
    </w:p>
    <w:p w14:paraId="2AEB98FB">
      <w:pPr>
        <w:ind w:firstLine="643"/>
        <w:rPr>
          <w:rFonts w:hint="eastAsia" w:hAnsi="楷体_GB2312" w:cs="楷体_GB2312"/>
          <w:b/>
          <w:bCs/>
        </w:rPr>
      </w:pPr>
      <w:r>
        <w:rPr>
          <w:rFonts w:hint="eastAsia" w:hAnsi="楷体_GB2312" w:cs="楷体_GB2312"/>
          <w:b/>
          <w:bCs/>
        </w:rPr>
        <w:t>(九)规范性承诺要求</w:t>
      </w:r>
    </w:p>
    <w:p w14:paraId="0BC35385">
      <w:pPr>
        <w:ind w:firstLine="640"/>
        <w:rPr>
          <w:rFonts w:ascii="Times New Roman" w:hAnsi="Times New Roman"/>
        </w:rPr>
      </w:pPr>
      <w:r>
        <w:rPr>
          <w:rFonts w:hint="eastAsia" w:hAnsi="Times New Roman"/>
        </w:rPr>
        <w:t>建设单位在项目入园时须</w:t>
      </w:r>
      <w:r>
        <w:rPr>
          <w:rFonts w:ascii="Times New Roman" w:hAnsi="Times New Roman"/>
        </w:rPr>
        <w:t>签订正式投资协议等法律文件，对入园项目开竣工时间、投资强度、安全、环保、能耗、违约责任等事项进行约定，以书面形式承诺须遵守国家和地方相关法律法规和园区各项规章制度，接受各级政府部门及化工园区办的监督管理。</w:t>
      </w:r>
    </w:p>
    <w:p w14:paraId="01C9E7F0">
      <w:pPr>
        <w:ind w:firstLine="643"/>
        <w:rPr>
          <w:rFonts w:hint="eastAsia" w:ascii="黑体" w:hAnsi="黑体" w:eastAsia="黑体" w:cs="黑体"/>
        </w:rPr>
      </w:pPr>
      <w:r>
        <w:rPr>
          <w:rFonts w:hint="eastAsia" w:ascii="Times New Roman" w:hAnsi="Times New Roman" w:eastAsia="楷体_GB2312"/>
          <w:b/>
          <w:bCs/>
          <w:color w:val="000000"/>
          <w:szCs w:val="32"/>
        </w:rPr>
        <w:t>第五条</w:t>
      </w:r>
      <w:r>
        <w:rPr>
          <w:rFonts w:ascii="黑体" w:hAnsi="黑体" w:eastAsia="黑体" w:cs="黑体"/>
        </w:rPr>
        <w:t xml:space="preserve">  </w:t>
      </w:r>
      <w:r>
        <w:rPr>
          <w:rFonts w:cs="仿宋_GB2312"/>
        </w:rPr>
        <w:t>入园评估</w:t>
      </w:r>
    </w:p>
    <w:p w14:paraId="6248E28C">
      <w:pPr>
        <w:ind w:firstLine="640"/>
        <w:rPr>
          <w:rFonts w:ascii="Times New Roman" w:hAnsi="Times New Roman"/>
        </w:rPr>
      </w:pPr>
      <w:r>
        <w:rPr>
          <w:rFonts w:ascii="Times New Roman" w:hAnsi="Times New Roman"/>
        </w:rPr>
        <w:t>对拟入园的新、改、扩建项目，由化工园区办牵头，组织第三方产业发展咨询评估单位围绕产业定位、产品市场前景、技术水平、投入产出、资源能源利用水平、生态环境影响、安全风险、经济效益、投资者实力等方面进行综合评估并编写评估报告，按照择优入园原则，对综合评估75分以上</w:t>
      </w:r>
      <w:r>
        <w:rPr>
          <w:rFonts w:hint="eastAsia" w:ascii="Times New Roman" w:hAnsi="Times New Roman"/>
        </w:rPr>
        <w:t>（</w:t>
      </w:r>
      <w:r>
        <w:rPr>
          <w:rFonts w:ascii="Times New Roman" w:hAnsi="Times New Roman"/>
        </w:rPr>
        <w:t>含75分</w:t>
      </w:r>
      <w:r>
        <w:rPr>
          <w:rFonts w:hint="eastAsia" w:ascii="Times New Roman" w:hAnsi="Times New Roman"/>
        </w:rPr>
        <w:t>）</w:t>
      </w:r>
      <w:r>
        <w:rPr>
          <w:rFonts w:ascii="Times New Roman" w:hAnsi="Times New Roman"/>
        </w:rPr>
        <w:t>的项目，经相关主管部门联合会审和管委会常务会议讨论通过后，可办理行政审批手续后落地建设。</w:t>
      </w:r>
    </w:p>
    <w:p w14:paraId="55567C2E">
      <w:pPr>
        <w:ind w:firstLine="640"/>
        <w:rPr>
          <w:rFonts w:ascii="Times New Roman" w:hAnsi="Times New Roman"/>
        </w:rPr>
      </w:pPr>
      <w:r>
        <w:rPr>
          <w:rFonts w:hint="eastAsia" w:ascii="楷体_GB2312" w:hAnsi="楷体_GB2312" w:eastAsia="楷体_GB2312" w:cs="楷体_GB2312"/>
        </w:rPr>
        <w:t>（一）产业定位。</w:t>
      </w:r>
      <w:r>
        <w:rPr>
          <w:rFonts w:ascii="Times New Roman" w:hAnsi="Times New Roman"/>
        </w:rPr>
        <w:t>根据国家、省、园区产业发展规划及产业方向，对项目产业政策符合性、产业链关联度等进行评估。</w:t>
      </w:r>
    </w:p>
    <w:p w14:paraId="7856790D">
      <w:pPr>
        <w:ind w:firstLine="640"/>
        <w:rPr>
          <w:rFonts w:ascii="Times New Roman" w:hAnsi="Times New Roman"/>
        </w:rPr>
      </w:pPr>
      <w:r>
        <w:rPr>
          <w:rFonts w:hint="eastAsia" w:ascii="楷体_GB2312" w:hAnsi="楷体_GB2312" w:eastAsia="楷体_GB2312" w:cs="楷体_GB2312"/>
        </w:rPr>
        <w:t>（二）</w:t>
      </w:r>
      <w:r>
        <w:rPr>
          <w:rFonts w:ascii="楷体_GB2312" w:hAnsi="楷体_GB2312" w:eastAsia="楷体_GB2312" w:cs="楷体_GB2312"/>
        </w:rPr>
        <w:t>产品市场前景。</w:t>
      </w:r>
      <w:r>
        <w:rPr>
          <w:rFonts w:ascii="Times New Roman" w:hAnsi="Times New Roman"/>
        </w:rPr>
        <w:t>对项目主要产品的市场和发展前景进行评估。</w:t>
      </w:r>
    </w:p>
    <w:p w14:paraId="7A602572">
      <w:pPr>
        <w:ind w:firstLine="640"/>
        <w:rPr>
          <w:rFonts w:ascii="Times New Roman" w:hAnsi="Times New Roman"/>
        </w:rPr>
      </w:pPr>
      <w:r>
        <w:rPr>
          <w:rFonts w:hint="eastAsia" w:ascii="楷体_GB2312" w:hAnsi="楷体_GB2312" w:eastAsia="楷体_GB2312" w:cs="楷体_GB2312"/>
        </w:rPr>
        <w:t>（三）</w:t>
      </w:r>
      <w:r>
        <w:rPr>
          <w:rFonts w:ascii="楷体_GB2312" w:hAnsi="楷体_GB2312" w:eastAsia="楷体_GB2312" w:cs="楷体_GB2312"/>
        </w:rPr>
        <w:t>技术水平。</w:t>
      </w:r>
      <w:r>
        <w:rPr>
          <w:rFonts w:ascii="Times New Roman" w:hAnsi="Times New Roman"/>
        </w:rPr>
        <w:t>对项目的生产规模和工艺技术装备水平进行评估。</w:t>
      </w:r>
    </w:p>
    <w:p w14:paraId="5317B938">
      <w:pPr>
        <w:ind w:firstLine="640"/>
        <w:rPr>
          <w:rFonts w:ascii="Times New Roman" w:hAnsi="Times New Roman"/>
        </w:rPr>
      </w:pPr>
      <w:r>
        <w:rPr>
          <w:rFonts w:hint="eastAsia" w:ascii="楷体_GB2312" w:hAnsi="楷体_GB2312" w:eastAsia="楷体_GB2312" w:cs="楷体_GB2312"/>
        </w:rPr>
        <w:t>（四）</w:t>
      </w:r>
      <w:r>
        <w:rPr>
          <w:rFonts w:ascii="楷体_GB2312" w:hAnsi="楷体_GB2312" w:eastAsia="楷体_GB2312" w:cs="楷体_GB2312"/>
        </w:rPr>
        <w:t>投入产出。</w:t>
      </w:r>
      <w:r>
        <w:rPr>
          <w:rFonts w:ascii="Times New Roman" w:hAnsi="Times New Roman"/>
        </w:rPr>
        <w:t>对项目用地规模、投资强度、税收强度等进行评估。</w:t>
      </w:r>
    </w:p>
    <w:p w14:paraId="0A15C9E7">
      <w:pPr>
        <w:ind w:firstLine="640"/>
        <w:rPr>
          <w:rFonts w:ascii="Times New Roman" w:hAnsi="Times New Roman"/>
        </w:rPr>
      </w:pPr>
      <w:r>
        <w:rPr>
          <w:rFonts w:hint="eastAsia" w:ascii="楷体_GB2312" w:hAnsi="楷体_GB2312" w:eastAsia="楷体_GB2312" w:cs="楷体_GB2312"/>
        </w:rPr>
        <w:t>（五）</w:t>
      </w:r>
      <w:r>
        <w:rPr>
          <w:rFonts w:ascii="楷体_GB2312" w:hAnsi="楷体_GB2312" w:eastAsia="楷体_GB2312" w:cs="楷体_GB2312"/>
        </w:rPr>
        <w:t>资源能源利用水平。</w:t>
      </w:r>
      <w:r>
        <w:rPr>
          <w:rFonts w:ascii="Times New Roman" w:hAnsi="Times New Roman"/>
        </w:rPr>
        <w:t>对项目的水、电、煤、油、气等能源消耗进行核算，对单位产品能耗与行业导向性指标和所在地能源消费影响进行评估。</w:t>
      </w:r>
    </w:p>
    <w:p w14:paraId="43434EFD">
      <w:pPr>
        <w:ind w:firstLine="640"/>
        <w:rPr>
          <w:rFonts w:ascii="Times New Roman" w:hAnsi="Times New Roman"/>
        </w:rPr>
      </w:pPr>
      <w:r>
        <w:rPr>
          <w:rFonts w:hint="eastAsia" w:ascii="楷体_GB2312" w:hAnsi="楷体_GB2312" w:eastAsia="楷体_GB2312" w:cs="楷体_GB2312"/>
        </w:rPr>
        <w:t>（六）</w:t>
      </w:r>
      <w:r>
        <w:rPr>
          <w:rFonts w:ascii="楷体_GB2312" w:hAnsi="楷体_GB2312" w:eastAsia="楷体_GB2312" w:cs="楷体_GB2312"/>
        </w:rPr>
        <w:t>生态环境影响。</w:t>
      </w:r>
      <w:r>
        <w:rPr>
          <w:rFonts w:ascii="Times New Roman" w:hAnsi="Times New Roman"/>
        </w:rPr>
        <w:t>对项目是否符合规划环评、</w:t>
      </w:r>
      <w:r>
        <w:rPr>
          <w:rFonts w:hint="eastAsia" w:ascii="Times New Roman" w:hAnsi="Times New Roman"/>
        </w:rPr>
        <w:t>“</w:t>
      </w:r>
      <w:r>
        <w:rPr>
          <w:rFonts w:ascii="Times New Roman" w:hAnsi="Times New Roman"/>
        </w:rPr>
        <w:t>三线一单</w:t>
      </w:r>
      <w:r>
        <w:rPr>
          <w:rFonts w:hint="eastAsia" w:ascii="Times New Roman" w:hAnsi="Times New Roman"/>
        </w:rPr>
        <w:t>”</w:t>
      </w:r>
      <w:r>
        <w:rPr>
          <w:rFonts w:ascii="Times New Roman" w:hAnsi="Times New Roman"/>
        </w:rPr>
        <w:t>分区管控、污染物控制要求，项目可能带来的周边生态环境影响进行评估。</w:t>
      </w:r>
    </w:p>
    <w:p w14:paraId="4F67C7EA">
      <w:pPr>
        <w:ind w:firstLine="640"/>
        <w:rPr>
          <w:rFonts w:ascii="Times New Roman" w:hAnsi="Times New Roman"/>
        </w:rPr>
      </w:pPr>
      <w:r>
        <w:rPr>
          <w:rFonts w:hint="eastAsia" w:ascii="楷体_GB2312" w:hAnsi="楷体_GB2312" w:eastAsia="楷体_GB2312" w:cs="楷体_GB2312"/>
        </w:rPr>
        <w:t>（七）</w:t>
      </w:r>
      <w:r>
        <w:rPr>
          <w:rFonts w:ascii="楷体_GB2312" w:hAnsi="楷体_GB2312" w:eastAsia="楷体_GB2312" w:cs="楷体_GB2312"/>
        </w:rPr>
        <w:t>安全风险。</w:t>
      </w:r>
      <w:r>
        <w:rPr>
          <w:rFonts w:ascii="Times New Roman" w:hAnsi="Times New Roman"/>
        </w:rPr>
        <w:t>对项目可能带来的安全风险进行评估。</w:t>
      </w:r>
    </w:p>
    <w:p w14:paraId="3DB9D74A">
      <w:pPr>
        <w:ind w:firstLine="640"/>
        <w:rPr>
          <w:rFonts w:ascii="Times New Roman" w:hAnsi="Times New Roman"/>
        </w:rPr>
      </w:pPr>
      <w:r>
        <w:rPr>
          <w:rFonts w:hint="eastAsia" w:ascii="楷体_GB2312" w:hAnsi="楷体_GB2312" w:eastAsia="楷体_GB2312" w:cs="楷体_GB2312"/>
        </w:rPr>
        <w:t>（八）</w:t>
      </w:r>
      <w:r>
        <w:rPr>
          <w:rFonts w:ascii="楷体_GB2312" w:hAnsi="楷体_GB2312" w:eastAsia="楷体_GB2312" w:cs="楷体_GB2312"/>
        </w:rPr>
        <w:t>经济效益。</w:t>
      </w:r>
      <w:r>
        <w:rPr>
          <w:rFonts w:ascii="Times New Roman" w:hAnsi="Times New Roman"/>
        </w:rPr>
        <w:t>对项目经济效益或单位土地产出率等进行评估。</w:t>
      </w:r>
    </w:p>
    <w:p w14:paraId="478EDF22">
      <w:pPr>
        <w:ind w:firstLine="640"/>
        <w:rPr>
          <w:rFonts w:ascii="Times New Roman" w:hAnsi="Times New Roman"/>
        </w:rPr>
      </w:pPr>
      <w:r>
        <w:rPr>
          <w:rFonts w:hint="eastAsia" w:ascii="楷体_GB2312" w:hAnsi="楷体_GB2312" w:eastAsia="楷体_GB2312" w:cs="楷体_GB2312"/>
        </w:rPr>
        <w:t>（九）</w:t>
      </w:r>
      <w:r>
        <w:rPr>
          <w:rFonts w:ascii="楷体_GB2312" w:hAnsi="楷体_GB2312" w:eastAsia="楷体_GB2312" w:cs="楷体_GB2312"/>
        </w:rPr>
        <w:t>投资者实力。</w:t>
      </w:r>
      <w:r>
        <w:rPr>
          <w:rFonts w:ascii="Times New Roman" w:hAnsi="Times New Roman"/>
        </w:rPr>
        <w:t>对投资者技术研发和创新能力、产品品牌附加值等进行评估。</w:t>
      </w:r>
    </w:p>
    <w:p w14:paraId="407DE4C9">
      <w:pPr>
        <w:ind w:firstLine="643"/>
        <w:rPr>
          <w:rFonts w:hint="eastAsia" w:ascii="黑体" w:hAnsi="黑体" w:eastAsia="黑体" w:cs="黑体"/>
        </w:rPr>
      </w:pPr>
      <w:r>
        <w:rPr>
          <w:rFonts w:hint="eastAsia" w:ascii="Times New Roman" w:hAnsi="Times New Roman" w:eastAsia="楷体_GB2312"/>
          <w:b/>
          <w:bCs/>
          <w:color w:val="000000"/>
          <w:szCs w:val="32"/>
        </w:rPr>
        <w:t>第六条</w:t>
      </w:r>
      <w:r>
        <w:rPr>
          <w:rFonts w:hint="eastAsia" w:ascii="黑体" w:hAnsi="黑体" w:eastAsia="黑体" w:cs="黑体"/>
        </w:rPr>
        <w:t xml:space="preserve">  </w:t>
      </w:r>
      <w:r>
        <w:rPr>
          <w:rFonts w:hint="eastAsia" w:cs="仿宋_GB2312"/>
        </w:rPr>
        <w:t>办理流程及时限</w:t>
      </w:r>
    </w:p>
    <w:p w14:paraId="2E6C8EB2">
      <w:pPr>
        <w:ind w:firstLine="643"/>
        <w:rPr>
          <w:rFonts w:hint="eastAsia" w:hAnsi="楷体_GB2312" w:cs="楷体_GB2312"/>
          <w:b/>
          <w:bCs/>
        </w:rPr>
      </w:pPr>
      <w:r>
        <w:rPr>
          <w:rFonts w:hint="eastAsia" w:hAnsi="楷体_GB2312" w:cs="楷体_GB2312"/>
          <w:b/>
          <w:bCs/>
        </w:rPr>
        <w:t>(一)项目申报</w:t>
      </w:r>
    </w:p>
    <w:p w14:paraId="21FB9ED2">
      <w:pPr>
        <w:ind w:firstLine="640"/>
        <w:rPr>
          <w:rFonts w:hint="eastAsia" w:hAnsi="Times New Roman"/>
        </w:rPr>
      </w:pPr>
      <w:r>
        <w:rPr>
          <w:rFonts w:hint="eastAsia" w:hAnsi="Times New Roman"/>
        </w:rPr>
        <w:t>由区招商投资促进中心及其他项目招引牵头单位指导拟落户的项目建设单位向化工园区办提交入园审查所需的入园申请、由专业机构编制的《可行性研究报告》 (技术深度需满足《化工投资项目可行性研究报告编制办法》,同时需涵盖入园评估表中所有评价要素)、资金来源说明、承诺函等申请材料。</w:t>
      </w:r>
    </w:p>
    <w:p w14:paraId="068C9BAB">
      <w:pPr>
        <w:ind w:firstLine="643"/>
        <w:rPr>
          <w:rFonts w:hint="eastAsia" w:hAnsi="楷体_GB2312" w:cs="楷体_GB2312"/>
          <w:b/>
          <w:bCs/>
        </w:rPr>
      </w:pPr>
      <w:r>
        <w:rPr>
          <w:rFonts w:hint="eastAsia" w:hAnsi="楷体_GB2312" w:cs="楷体_GB2312"/>
          <w:b/>
          <w:bCs/>
        </w:rPr>
        <w:t>(二)项目预审</w:t>
      </w:r>
    </w:p>
    <w:p w14:paraId="725A2E6B">
      <w:pPr>
        <w:ind w:firstLine="640"/>
        <w:rPr>
          <w:rFonts w:hint="eastAsia" w:hAnsi="Times New Roman"/>
        </w:rPr>
      </w:pPr>
      <w:r>
        <w:rPr>
          <w:rFonts w:hint="eastAsia" w:hAnsi="Times New Roman"/>
        </w:rPr>
        <w:t>由化工园区办对项目建设单位提交入园申请、《化工投资项目可行性研究报告》、资金来源说明、承诺函等申请材料进行形式审查。对形式审查发现资料要素不齐全的，化工园区办予以退回补充完善，完善后再次提交；对形式审查符合要求的，由化工园区办组织下一步项目评审。</w:t>
      </w:r>
    </w:p>
    <w:p w14:paraId="39A3D9AC">
      <w:pPr>
        <w:ind w:firstLine="640"/>
        <w:rPr>
          <w:rFonts w:hint="eastAsia" w:hAnsi="Times New Roman"/>
        </w:rPr>
      </w:pPr>
      <w:r>
        <w:rPr>
          <w:rFonts w:hint="eastAsia" w:hAnsi="Times New Roman"/>
        </w:rPr>
        <w:t>完成时限：2个工作日</w:t>
      </w:r>
    </w:p>
    <w:p w14:paraId="09E5BF66">
      <w:pPr>
        <w:ind w:firstLine="643"/>
        <w:rPr>
          <w:rFonts w:hint="eastAsia" w:hAnsi="Times New Roman"/>
          <w:b/>
          <w:bCs/>
        </w:rPr>
      </w:pPr>
      <w:r>
        <w:rPr>
          <w:rFonts w:hint="eastAsia" w:hAnsi="楷体_GB2312" w:cs="楷体_GB2312"/>
          <w:b/>
          <w:bCs/>
        </w:rPr>
        <w:t>(三)项目评估</w:t>
      </w:r>
    </w:p>
    <w:p w14:paraId="44335DFF">
      <w:pPr>
        <w:ind w:firstLine="640"/>
        <w:rPr>
          <w:rFonts w:ascii="Times New Roman" w:hAnsi="Times New Roman"/>
        </w:rPr>
      </w:pPr>
      <w:r>
        <w:rPr>
          <w:rFonts w:ascii="Times New Roman" w:hAnsi="Times New Roman"/>
        </w:rPr>
        <w:t>由化工园区办组织第三方产业发展咨询评估单位开展入园咨询评估。第三方产业发展咨询评估单位按照《随州市青春化工工业园入园项目评估表》的所有评估条款对建设项目进行评估评分，并结合随州</w:t>
      </w:r>
      <w:bookmarkStart w:id="79" w:name="_GoBack"/>
      <w:bookmarkEnd w:id="79"/>
      <w:r>
        <w:rPr>
          <w:rFonts w:ascii="Times New Roman" w:hAnsi="Times New Roman"/>
        </w:rPr>
        <w:t>国土空间规划、产业布局、环境容量、能耗指标、工艺风险识别、产品市场前景等因素，编写《随州市青春化工工业园项目入园评审报告》,评审报告需载明项目建设的可行性、存在的问题及限制因素。</w:t>
      </w:r>
    </w:p>
    <w:p w14:paraId="6D511240">
      <w:pPr>
        <w:ind w:firstLine="640"/>
        <w:rPr>
          <w:rFonts w:ascii="Times New Roman" w:hAnsi="Times New Roman"/>
        </w:rPr>
      </w:pPr>
      <w:r>
        <w:rPr>
          <w:rFonts w:ascii="Times New Roman" w:hAnsi="Times New Roman"/>
        </w:rPr>
        <w:t>化工园区办按照第三方产业发展咨询评估单位最终评估得分，作为项目准入审定的重要参考。对于不符合产业政策和相关发展规划、属于明确淘汰的落后工艺及设备，安全风险不可控、突破环境保护原则的项目，实行项目准入</w:t>
      </w:r>
      <w:r>
        <w:rPr>
          <w:rFonts w:hint="eastAsia" w:ascii="Times New Roman" w:hAnsi="Times New Roman"/>
        </w:rPr>
        <w:t>“</w:t>
      </w:r>
      <w:r>
        <w:rPr>
          <w:rFonts w:ascii="Times New Roman" w:hAnsi="Times New Roman"/>
        </w:rPr>
        <w:t>一票否决</w:t>
      </w:r>
      <w:r>
        <w:rPr>
          <w:rFonts w:hint="eastAsia" w:ascii="Times New Roman" w:hAnsi="Times New Roman"/>
        </w:rPr>
        <w:t>”；</w:t>
      </w:r>
      <w:r>
        <w:rPr>
          <w:rFonts w:ascii="Times New Roman" w:hAnsi="Times New Roman"/>
        </w:rPr>
        <w:t>对于综合评估低于75分的项目，不得入园；对综合评估高于75分(含75分)的项目，列为优质项目，并进一步征求相关区属主管部门意见，由区属部门填写《随州市青春化工工业园化工项目入园会审表》</w:t>
      </w:r>
      <w:r>
        <w:rPr>
          <w:rFonts w:hint="eastAsia" w:ascii="Times New Roman" w:hAnsi="Times New Roman"/>
        </w:rPr>
        <w:t>，</w:t>
      </w:r>
      <w:r>
        <w:rPr>
          <w:rFonts w:ascii="Times New Roman" w:hAnsi="Times New Roman"/>
        </w:rPr>
        <w:t>部门负责人签署意见并盖章。评估过程中，可根据工作需要组织实地考察及行业专家论证讨论，保证项目准入评估的科学性及公平性。</w:t>
      </w:r>
    </w:p>
    <w:p w14:paraId="0294AB1E">
      <w:pPr>
        <w:ind w:firstLine="640"/>
        <w:rPr>
          <w:rFonts w:ascii="Times New Roman" w:hAnsi="Times New Roman"/>
        </w:rPr>
      </w:pPr>
      <w:r>
        <w:rPr>
          <w:rFonts w:ascii="Times New Roman" w:hAnsi="Times New Roman"/>
        </w:rPr>
        <w:t>完成时限：10个工作日(需延长评估时间的，相关部门及评估技术单位需向化工园区办说明理由，延长时间不得超过5日)。</w:t>
      </w:r>
    </w:p>
    <w:p w14:paraId="5C33709D">
      <w:pPr>
        <w:ind w:firstLine="643"/>
        <w:rPr>
          <w:rFonts w:hint="eastAsia" w:hAnsi="Times New Roman"/>
          <w:b/>
          <w:bCs/>
        </w:rPr>
      </w:pPr>
      <w:r>
        <w:rPr>
          <w:rFonts w:hint="eastAsia" w:hAnsi="楷体_GB2312" w:cs="楷体_GB2312"/>
          <w:b/>
          <w:bCs/>
        </w:rPr>
        <w:t>(四)项目审定</w:t>
      </w:r>
    </w:p>
    <w:p w14:paraId="438B7587">
      <w:pPr>
        <w:ind w:firstLine="640"/>
        <w:rPr>
          <w:rFonts w:ascii="Times New Roman" w:hAnsi="Times New Roman"/>
        </w:rPr>
      </w:pPr>
      <w:r>
        <w:rPr>
          <w:rFonts w:hint="eastAsia" w:hAnsi="Times New Roman"/>
        </w:rPr>
        <w:t>化工园区办将通过评估会审的项目《项目入园评估表》、《项目入园评估报告》和</w:t>
      </w:r>
      <w:r>
        <w:rPr>
          <w:rFonts w:ascii="Times New Roman" w:hAnsi="Times New Roman"/>
        </w:rPr>
        <w:t>《项目入园会审表》抄送招商投资促进中心，由招商投资促进中心拟定《项目投资协议书》送分管及相关领导审核后提交管委会常务会议研讨审定，常务会通过后签订正式《项目投资协议书》。待正式投资协议书签订后，入园项目可启动办理各项行政许可审批手续，各相关职能部门做好行政审批及项目建设的服务协调工作。</w:t>
      </w:r>
    </w:p>
    <w:p w14:paraId="33357170">
      <w:pPr>
        <w:ind w:firstLine="640"/>
        <w:rPr>
          <w:rFonts w:ascii="Times New Roman" w:hAnsi="Times New Roman"/>
        </w:rPr>
      </w:pPr>
      <w:r>
        <w:rPr>
          <w:rFonts w:ascii="Times New Roman" w:hAnsi="Times New Roman"/>
        </w:rPr>
        <w:t>完成时限：根据管委会常务会议实际确定。</w:t>
      </w:r>
    </w:p>
    <w:p w14:paraId="31A31E31">
      <w:pPr>
        <w:spacing w:before="100" w:line="311" w:lineRule="auto"/>
        <w:ind w:left="27" w:right="2" w:firstLine="643"/>
        <w:rPr>
          <w:rFonts w:hint="eastAsia" w:ascii="黑体" w:hAnsi="黑体" w:eastAsia="黑体" w:cs="黑体"/>
        </w:rPr>
      </w:pPr>
      <w:r>
        <w:rPr>
          <w:rFonts w:hint="eastAsia" w:ascii="Times New Roman" w:hAnsi="Times New Roman" w:eastAsia="楷体_GB2312"/>
          <w:b/>
          <w:bCs/>
          <w:color w:val="000000"/>
          <w:szCs w:val="32"/>
        </w:rPr>
        <w:t>第七条</w:t>
      </w:r>
      <w:r>
        <w:rPr>
          <w:rFonts w:hint="eastAsia" w:ascii="黑体" w:hAnsi="黑体" w:eastAsia="黑体" w:cs="黑体"/>
        </w:rPr>
        <w:t xml:space="preserve">  </w:t>
      </w:r>
      <w:r>
        <w:rPr>
          <w:rFonts w:hint="eastAsia" w:cs="仿宋_GB2312"/>
        </w:rPr>
        <w:t>其他说明</w:t>
      </w:r>
    </w:p>
    <w:p w14:paraId="40C9D891">
      <w:pPr>
        <w:ind w:left="27" w:firstLine="696"/>
        <w:rPr>
          <w:rFonts w:hint="eastAsia" w:cs="仿宋_GB2312"/>
          <w:szCs w:val="32"/>
        </w:rPr>
      </w:pPr>
      <w:r>
        <w:rPr>
          <w:rFonts w:hint="eastAsia" w:cs="仿宋_GB2312"/>
          <w:spacing w:val="14"/>
          <w:szCs w:val="32"/>
        </w:rPr>
        <w:t>(一)上级有关要求与本制度不一致且相关规定严于本制度</w:t>
      </w:r>
      <w:r>
        <w:rPr>
          <w:rFonts w:hint="eastAsia" w:cs="仿宋_GB2312"/>
          <w:spacing w:val="4"/>
          <w:szCs w:val="32"/>
        </w:rPr>
        <w:t>的，法律、法规或上级行政部门文件对相关生产工艺、装备、产</w:t>
      </w:r>
      <w:r>
        <w:rPr>
          <w:rFonts w:hint="eastAsia" w:cs="仿宋_GB2312"/>
          <w:spacing w:val="7"/>
          <w:szCs w:val="32"/>
        </w:rPr>
        <w:t>品另有规定且相关规定严于本制度的，从其规定。</w:t>
      </w:r>
    </w:p>
    <w:p w14:paraId="7163C050">
      <w:pPr>
        <w:ind w:firstLine="648"/>
        <w:rPr>
          <w:rFonts w:hint="eastAsia" w:cs="仿宋_GB2312"/>
          <w:szCs w:val="32"/>
        </w:rPr>
      </w:pPr>
      <w:r>
        <w:rPr>
          <w:rFonts w:hint="eastAsia" w:cs="仿宋_GB2312"/>
          <w:spacing w:val="2"/>
          <w:szCs w:val="32"/>
        </w:rPr>
        <w:t>(二)随州高新区已出台文件相关要求与本制度不一致的，以</w:t>
      </w:r>
      <w:r>
        <w:rPr>
          <w:rFonts w:hint="eastAsia" w:cs="仿宋_GB2312"/>
          <w:spacing w:val="5"/>
          <w:szCs w:val="32"/>
        </w:rPr>
        <w:t>本制度为准。</w:t>
      </w:r>
    </w:p>
    <w:p w14:paraId="5DD567B9">
      <w:pPr>
        <w:ind w:left="2" w:firstLine="648"/>
        <w:rPr>
          <w:rFonts w:hint="eastAsia" w:cs="仿宋_GB2312"/>
          <w:szCs w:val="32"/>
        </w:rPr>
      </w:pPr>
      <w:r>
        <w:rPr>
          <w:rFonts w:hint="eastAsia" w:cs="仿宋_GB2312"/>
          <w:spacing w:val="2"/>
          <w:szCs w:val="32"/>
        </w:rPr>
        <w:t>(三)第三方咨询评估机构由化工园区办按程序选定，入园评</w:t>
      </w:r>
      <w:r>
        <w:rPr>
          <w:rFonts w:hint="eastAsia" w:cs="仿宋_GB2312"/>
          <w:spacing w:val="8"/>
          <w:szCs w:val="32"/>
        </w:rPr>
        <w:t>估费用由区财政局纳入预算予以保障。</w:t>
      </w:r>
    </w:p>
    <w:p w14:paraId="59576421">
      <w:pPr>
        <w:ind w:left="1" w:firstLine="648"/>
        <w:rPr>
          <w:rFonts w:hint="eastAsia" w:cs="仿宋_GB2312"/>
          <w:szCs w:val="32"/>
        </w:rPr>
      </w:pPr>
      <w:r>
        <w:rPr>
          <w:rFonts w:hint="eastAsia" w:cs="仿宋_GB2312"/>
          <w:spacing w:val="2"/>
          <w:szCs w:val="32"/>
        </w:rPr>
        <w:t>(四)本制度自颁布之日起实施，由随州高新技术产业开发区</w:t>
      </w:r>
      <w:r>
        <w:rPr>
          <w:rFonts w:hint="eastAsia" w:cs="仿宋_GB2312"/>
          <w:spacing w:val="8"/>
          <w:szCs w:val="32"/>
        </w:rPr>
        <w:t>管委会授权化工园区办负责解释。</w:t>
      </w:r>
    </w:p>
    <w:p w14:paraId="74BA1D48">
      <w:pPr>
        <w:ind w:left="3" w:firstLine="648"/>
        <w:rPr>
          <w:rFonts w:hint="eastAsia" w:cs="仿宋_GB2312"/>
          <w:szCs w:val="32"/>
        </w:rPr>
      </w:pPr>
      <w:r>
        <w:rPr>
          <w:rFonts w:hint="eastAsia" w:cs="仿宋_GB2312"/>
          <w:spacing w:val="2"/>
          <w:szCs w:val="32"/>
        </w:rPr>
        <w:t>(五)本办法自2023年10月30日起施行，有效</w:t>
      </w:r>
      <w:r>
        <w:rPr>
          <w:rFonts w:hint="eastAsia" w:cs="仿宋_GB2312"/>
          <w:spacing w:val="1"/>
          <w:szCs w:val="32"/>
        </w:rPr>
        <w:t>期至2025年10月29日</w:t>
      </w:r>
      <w:r>
        <w:rPr>
          <w:rFonts w:hint="eastAsia" w:cs="仿宋_GB2312"/>
          <w:spacing w:val="-4"/>
          <w:szCs w:val="32"/>
        </w:rPr>
        <w:t>止。</w:t>
      </w:r>
    </w:p>
    <w:p w14:paraId="45EC0AE6">
      <w:pPr>
        <w:ind w:firstLine="640"/>
        <w:rPr>
          <w:rFonts w:hint="eastAsia" w:cs="仿宋_GB2312"/>
          <w:szCs w:val="32"/>
        </w:rPr>
      </w:pPr>
    </w:p>
    <w:p w14:paraId="03B86821">
      <w:pPr>
        <w:ind w:firstLine="640"/>
        <w:rPr>
          <w:rFonts w:hint="eastAsia" w:cs="仿宋_GB2312"/>
          <w:szCs w:val="32"/>
        </w:rPr>
      </w:pPr>
    </w:p>
    <w:p w14:paraId="0292C6F1">
      <w:pPr>
        <w:ind w:firstLine="672"/>
        <w:rPr>
          <w:rFonts w:hint="eastAsia" w:cs="仿宋_GB2312"/>
          <w:spacing w:val="7"/>
          <w:szCs w:val="32"/>
        </w:rPr>
      </w:pPr>
      <w:r>
        <w:rPr>
          <w:rFonts w:hint="eastAsia" w:cs="仿宋_GB2312"/>
          <w:spacing w:val="8"/>
          <w:szCs w:val="32"/>
        </w:rPr>
        <w:t>附件：</w:t>
      </w:r>
      <w:r>
        <w:rPr>
          <w:rFonts w:hint="eastAsia" w:cs="仿宋_GB2312"/>
          <w:spacing w:val="7"/>
          <w:szCs w:val="32"/>
        </w:rPr>
        <w:t>1.《随州市青春化工工业园入园项目评估表》</w:t>
      </w:r>
    </w:p>
    <w:p w14:paraId="6F191969">
      <w:pPr>
        <w:ind w:right="-116" w:firstLine="1670" w:firstLineChars="500"/>
        <w:rPr>
          <w:rFonts w:hint="eastAsia" w:cs="仿宋_GB2312"/>
          <w:spacing w:val="7"/>
          <w:szCs w:val="32"/>
        </w:rPr>
      </w:pPr>
      <w:r>
        <w:rPr>
          <w:rFonts w:hint="eastAsia" w:cs="仿宋_GB2312"/>
          <w:spacing w:val="7"/>
          <w:szCs w:val="32"/>
        </w:rPr>
        <w:t>2.随州市青春化工工业园入园项目联合会审表</w:t>
      </w:r>
    </w:p>
    <w:p w14:paraId="02C260C5">
      <w:pPr>
        <w:ind w:right="-116" w:firstLine="668"/>
        <w:rPr>
          <w:rFonts w:hint="eastAsia" w:cs="仿宋_GB2312"/>
          <w:spacing w:val="7"/>
          <w:szCs w:val="32"/>
        </w:rPr>
      </w:pPr>
    </w:p>
    <w:p w14:paraId="7DFF8799">
      <w:pPr>
        <w:ind w:firstLine="640"/>
        <w:rPr>
          <w:rFonts w:ascii="Times New Roman" w:hAnsi="Times New Roman"/>
        </w:rPr>
        <w:sectPr>
          <w:footerReference r:id="rId14" w:type="default"/>
          <w:pgSz w:w="11906" w:h="16838"/>
          <w:pgMar w:top="2098" w:right="1531" w:bottom="1984" w:left="1531" w:header="851" w:footer="1417" w:gutter="0"/>
          <w:cols w:space="720" w:num="1"/>
          <w:docGrid w:type="lines" w:linePitch="439" w:charSpace="0"/>
        </w:sectPr>
      </w:pPr>
    </w:p>
    <w:p w14:paraId="4BB9A457">
      <w:pPr>
        <w:spacing w:line="500" w:lineRule="exact"/>
        <w:ind w:firstLine="0" w:firstLineChars="0"/>
        <w:rPr>
          <w:rFonts w:hint="eastAsia" w:ascii="黑体" w:hAnsi="黑体" w:eastAsia="黑体" w:cs="黑体"/>
          <w:sz w:val="31"/>
          <w:szCs w:val="31"/>
        </w:rPr>
      </w:pPr>
      <w:r>
        <w:rPr>
          <w:rFonts w:ascii="黑体" w:hAnsi="黑体" w:eastAsia="黑体" w:cs="黑体"/>
          <w:spacing w:val="-4"/>
          <w:sz w:val="31"/>
          <w:szCs w:val="31"/>
        </w:rPr>
        <w:t>附件1</w:t>
      </w:r>
    </w:p>
    <w:p w14:paraId="764B3B5A">
      <w:pPr>
        <w:spacing w:line="500" w:lineRule="exact"/>
        <w:ind w:firstLine="0" w:firstLineChars="0"/>
        <w:jc w:val="center"/>
        <w:rPr>
          <w:rFonts w:hint="eastAsia" w:ascii="方正小标宋简体" w:hAnsi="方正小标宋简体" w:eastAsia="方正小标宋简体" w:cs="方正小标宋简体"/>
          <w:szCs w:val="32"/>
        </w:rPr>
      </w:pPr>
      <w:r>
        <w:rPr>
          <w:rFonts w:ascii="方正小标宋简体" w:hAnsi="方正小标宋简体" w:eastAsia="方正小标宋简体" w:cs="方正小标宋简体"/>
          <w:spacing w:val="9"/>
          <w:szCs w:val="32"/>
        </w:rPr>
        <w:t>随州市青春化工工业园入园项目评估表</w:t>
      </w:r>
    </w:p>
    <w:tbl>
      <w:tblPr>
        <w:tblStyle w:val="35"/>
        <w:tblW w:w="138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3"/>
        <w:gridCol w:w="817"/>
        <w:gridCol w:w="1700"/>
        <w:gridCol w:w="6783"/>
        <w:gridCol w:w="984"/>
        <w:gridCol w:w="683"/>
        <w:gridCol w:w="1609"/>
      </w:tblGrid>
      <w:tr w14:paraId="65AC6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313" w:type="dxa"/>
            <w:vAlign w:val="center"/>
          </w:tcPr>
          <w:p w14:paraId="4861E6F3">
            <w:pPr>
              <w:spacing w:line="240" w:lineRule="exact"/>
              <w:ind w:firstLine="0" w:firstLineChars="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4"/>
                <w:sz w:val="24"/>
                <w:szCs w:val="24"/>
              </w:rPr>
              <w:t>评价要素</w:t>
            </w:r>
          </w:p>
        </w:tc>
        <w:tc>
          <w:tcPr>
            <w:tcW w:w="817" w:type="dxa"/>
            <w:vAlign w:val="center"/>
          </w:tcPr>
          <w:p w14:paraId="1C61F626">
            <w:pPr>
              <w:spacing w:line="240" w:lineRule="exact"/>
              <w:ind w:firstLine="0" w:firstLineChars="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7"/>
                <w:sz w:val="24"/>
                <w:szCs w:val="24"/>
              </w:rPr>
              <w:t>序号</w:t>
            </w:r>
          </w:p>
        </w:tc>
        <w:tc>
          <w:tcPr>
            <w:tcW w:w="1700" w:type="dxa"/>
            <w:vAlign w:val="center"/>
          </w:tcPr>
          <w:p w14:paraId="303EB1D2">
            <w:pPr>
              <w:spacing w:line="240" w:lineRule="exact"/>
              <w:ind w:firstLine="0" w:firstLineChars="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4"/>
                <w:sz w:val="24"/>
                <w:szCs w:val="24"/>
              </w:rPr>
              <w:t>评审因素</w:t>
            </w:r>
          </w:p>
        </w:tc>
        <w:tc>
          <w:tcPr>
            <w:tcW w:w="6783" w:type="dxa"/>
            <w:vAlign w:val="center"/>
          </w:tcPr>
          <w:p w14:paraId="58EAF480">
            <w:pPr>
              <w:spacing w:line="240" w:lineRule="exact"/>
              <w:ind w:firstLine="466"/>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4"/>
                <w:sz w:val="24"/>
                <w:szCs w:val="24"/>
              </w:rPr>
              <w:t>评分标准</w:t>
            </w:r>
          </w:p>
        </w:tc>
        <w:tc>
          <w:tcPr>
            <w:tcW w:w="984" w:type="dxa"/>
            <w:vAlign w:val="center"/>
          </w:tcPr>
          <w:p w14:paraId="61D15E76">
            <w:pPr>
              <w:spacing w:line="240" w:lineRule="exact"/>
              <w:ind w:firstLine="0" w:firstLineChars="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3"/>
                <w:sz w:val="24"/>
                <w:szCs w:val="24"/>
              </w:rPr>
              <w:t>标准分值</w:t>
            </w:r>
          </w:p>
        </w:tc>
        <w:tc>
          <w:tcPr>
            <w:tcW w:w="683" w:type="dxa"/>
            <w:vAlign w:val="center"/>
          </w:tcPr>
          <w:p w14:paraId="6CFE5A81">
            <w:pPr>
              <w:spacing w:line="240" w:lineRule="exact"/>
              <w:ind w:firstLine="0" w:firstLineChars="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7"/>
                <w:sz w:val="24"/>
                <w:szCs w:val="24"/>
              </w:rPr>
              <w:t>评分</w:t>
            </w:r>
          </w:p>
        </w:tc>
        <w:tc>
          <w:tcPr>
            <w:tcW w:w="1609" w:type="dxa"/>
            <w:vAlign w:val="center"/>
          </w:tcPr>
          <w:p w14:paraId="1C520942">
            <w:pPr>
              <w:spacing w:line="240" w:lineRule="exact"/>
              <w:ind w:firstLine="0" w:firstLineChars="0"/>
              <w:jc w:val="center"/>
              <w:rPr>
                <w:rFonts w:hint="eastAsia" w:asciiTheme="minorEastAsia" w:hAnsiTheme="minorEastAsia" w:eastAsiaTheme="minorEastAsia" w:cstheme="minorEastAsia"/>
                <w:b/>
                <w:bCs/>
                <w:spacing w:val="-7"/>
                <w:sz w:val="24"/>
                <w:szCs w:val="24"/>
              </w:rPr>
            </w:pPr>
            <w:r>
              <w:rPr>
                <w:rFonts w:hint="eastAsia" w:asciiTheme="minorEastAsia" w:hAnsiTheme="minorEastAsia" w:eastAsiaTheme="minorEastAsia" w:cstheme="minorEastAsia"/>
                <w:b/>
                <w:bCs/>
                <w:spacing w:val="-7"/>
                <w:sz w:val="24"/>
                <w:szCs w:val="24"/>
              </w:rPr>
              <w:t>备注</w:t>
            </w:r>
          </w:p>
        </w:tc>
      </w:tr>
      <w:tr w14:paraId="5D006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313" w:type="dxa"/>
            <w:vMerge w:val="restart"/>
            <w:tcBorders>
              <w:bottom w:val="nil"/>
            </w:tcBorders>
            <w:vAlign w:val="center"/>
          </w:tcPr>
          <w:p w14:paraId="4B610751">
            <w:pPr>
              <w:pStyle w:val="36"/>
              <w:spacing w:line="240" w:lineRule="exact"/>
              <w:ind w:firstLine="0" w:firstLineChars="0"/>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产业要求</w:t>
            </w:r>
          </w:p>
          <w:p w14:paraId="76E70A01">
            <w:pPr>
              <w:pStyle w:val="36"/>
              <w:spacing w:line="240" w:lineRule="exact"/>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（15分）</w:t>
            </w:r>
          </w:p>
        </w:tc>
        <w:tc>
          <w:tcPr>
            <w:tcW w:w="817" w:type="dxa"/>
            <w:vMerge w:val="restart"/>
            <w:tcBorders>
              <w:bottom w:val="nil"/>
            </w:tcBorders>
            <w:vAlign w:val="center"/>
          </w:tcPr>
          <w:p w14:paraId="7E8EE5AE">
            <w:pPr>
              <w:spacing w:line="24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700" w:type="dxa"/>
            <w:vMerge w:val="restart"/>
            <w:tcBorders>
              <w:bottom w:val="nil"/>
            </w:tcBorders>
            <w:vAlign w:val="center"/>
          </w:tcPr>
          <w:p w14:paraId="04B509BA">
            <w:pPr>
              <w:pStyle w:val="36"/>
              <w:spacing w:line="240" w:lineRule="exact"/>
              <w:ind w:firstLine="0" w:firstLineChars="0"/>
              <w:jc w:val="cente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项目类型</w:t>
            </w:r>
          </w:p>
          <w:p w14:paraId="26C9C89A">
            <w:pPr>
              <w:pStyle w:val="36"/>
              <w:spacing w:line="240" w:lineRule="exact"/>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（5分）</w:t>
            </w:r>
          </w:p>
        </w:tc>
        <w:tc>
          <w:tcPr>
            <w:tcW w:w="6783" w:type="dxa"/>
            <w:vAlign w:val="center"/>
          </w:tcPr>
          <w:p w14:paraId="24A140A8">
            <w:pPr>
              <w:pStyle w:val="36"/>
              <w:spacing w:line="240" w:lineRule="exact"/>
              <w:ind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国家或省明确鼓励类项目且符合园区产业发展规划</w:t>
            </w:r>
          </w:p>
        </w:tc>
        <w:tc>
          <w:tcPr>
            <w:tcW w:w="984" w:type="dxa"/>
            <w:vAlign w:val="center"/>
          </w:tcPr>
          <w:p w14:paraId="0656ED9D">
            <w:pPr>
              <w:pStyle w:val="36"/>
              <w:spacing w:line="240" w:lineRule="exact"/>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3-5</w:t>
            </w:r>
          </w:p>
        </w:tc>
        <w:tc>
          <w:tcPr>
            <w:tcW w:w="683" w:type="dxa"/>
            <w:vAlign w:val="center"/>
          </w:tcPr>
          <w:p w14:paraId="47DAF3A1">
            <w:pPr>
              <w:spacing w:line="240" w:lineRule="exact"/>
              <w:ind w:firstLine="480"/>
              <w:rPr>
                <w:rFonts w:hint="eastAsia" w:asciiTheme="minorEastAsia" w:hAnsiTheme="minorEastAsia" w:eastAsiaTheme="minorEastAsia" w:cstheme="minorEastAsia"/>
                <w:sz w:val="24"/>
                <w:szCs w:val="24"/>
              </w:rPr>
            </w:pPr>
          </w:p>
        </w:tc>
        <w:tc>
          <w:tcPr>
            <w:tcW w:w="1609" w:type="dxa"/>
            <w:vMerge w:val="restart"/>
            <w:vAlign w:val="center"/>
          </w:tcPr>
          <w:p w14:paraId="777863DC">
            <w:pPr>
              <w:spacing w:line="240" w:lineRule="exact"/>
              <w:ind w:firstLine="480"/>
              <w:rPr>
                <w:rFonts w:hint="eastAsia" w:asciiTheme="minorEastAsia" w:hAnsiTheme="minorEastAsia" w:eastAsiaTheme="minorEastAsia" w:cstheme="minorEastAsia"/>
                <w:sz w:val="24"/>
                <w:szCs w:val="24"/>
              </w:rPr>
            </w:pPr>
          </w:p>
        </w:tc>
      </w:tr>
      <w:tr w14:paraId="3EAB4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313" w:type="dxa"/>
            <w:vMerge w:val="continue"/>
            <w:tcBorders>
              <w:top w:val="nil"/>
              <w:bottom w:val="nil"/>
            </w:tcBorders>
            <w:vAlign w:val="center"/>
          </w:tcPr>
          <w:p w14:paraId="6F959FBE">
            <w:pPr>
              <w:spacing w:line="240" w:lineRule="exact"/>
              <w:ind w:firstLine="480"/>
              <w:jc w:val="center"/>
              <w:rPr>
                <w:rFonts w:hint="eastAsia" w:asciiTheme="minorEastAsia" w:hAnsiTheme="minorEastAsia" w:eastAsiaTheme="minorEastAsia" w:cstheme="minorEastAsia"/>
                <w:sz w:val="24"/>
                <w:szCs w:val="24"/>
              </w:rPr>
            </w:pPr>
          </w:p>
        </w:tc>
        <w:tc>
          <w:tcPr>
            <w:tcW w:w="817" w:type="dxa"/>
            <w:vMerge w:val="continue"/>
            <w:tcBorders>
              <w:top w:val="nil"/>
              <w:bottom w:val="nil"/>
            </w:tcBorders>
            <w:vAlign w:val="center"/>
          </w:tcPr>
          <w:p w14:paraId="49AA1BAD">
            <w:pPr>
              <w:spacing w:line="240" w:lineRule="exact"/>
              <w:ind w:firstLine="480"/>
              <w:rPr>
                <w:rFonts w:hint="eastAsia" w:asciiTheme="minorEastAsia" w:hAnsiTheme="minorEastAsia" w:eastAsiaTheme="minorEastAsia" w:cstheme="minorEastAsia"/>
                <w:sz w:val="24"/>
                <w:szCs w:val="24"/>
              </w:rPr>
            </w:pPr>
          </w:p>
        </w:tc>
        <w:tc>
          <w:tcPr>
            <w:tcW w:w="1700" w:type="dxa"/>
            <w:vMerge w:val="continue"/>
            <w:tcBorders>
              <w:top w:val="nil"/>
              <w:bottom w:val="nil"/>
            </w:tcBorders>
            <w:vAlign w:val="center"/>
          </w:tcPr>
          <w:p w14:paraId="25B96955">
            <w:pPr>
              <w:spacing w:line="240" w:lineRule="exact"/>
              <w:ind w:firstLine="480"/>
              <w:jc w:val="center"/>
              <w:rPr>
                <w:rFonts w:hint="eastAsia" w:asciiTheme="minorEastAsia" w:hAnsiTheme="minorEastAsia" w:eastAsiaTheme="minorEastAsia" w:cstheme="minorEastAsia"/>
                <w:sz w:val="24"/>
                <w:szCs w:val="24"/>
              </w:rPr>
            </w:pPr>
          </w:p>
        </w:tc>
        <w:tc>
          <w:tcPr>
            <w:tcW w:w="6783" w:type="dxa"/>
            <w:vAlign w:val="center"/>
          </w:tcPr>
          <w:p w14:paraId="3C1EFBB0">
            <w:pPr>
              <w:pStyle w:val="36"/>
              <w:spacing w:line="240" w:lineRule="exact"/>
              <w:ind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国家允许类项目且符合园区产业发展规划</w:t>
            </w:r>
          </w:p>
        </w:tc>
        <w:tc>
          <w:tcPr>
            <w:tcW w:w="984" w:type="dxa"/>
            <w:vAlign w:val="center"/>
          </w:tcPr>
          <w:p w14:paraId="2496C455">
            <w:pPr>
              <w:pStyle w:val="36"/>
              <w:spacing w:line="240" w:lineRule="exact"/>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1-2</w:t>
            </w:r>
          </w:p>
        </w:tc>
        <w:tc>
          <w:tcPr>
            <w:tcW w:w="683" w:type="dxa"/>
            <w:vAlign w:val="center"/>
          </w:tcPr>
          <w:p w14:paraId="16FC465A">
            <w:pPr>
              <w:spacing w:line="240" w:lineRule="exact"/>
              <w:ind w:firstLine="480"/>
              <w:rPr>
                <w:rFonts w:hint="eastAsia" w:asciiTheme="minorEastAsia" w:hAnsiTheme="minorEastAsia" w:eastAsiaTheme="minorEastAsia" w:cstheme="minorEastAsia"/>
                <w:sz w:val="24"/>
                <w:szCs w:val="24"/>
              </w:rPr>
            </w:pPr>
          </w:p>
        </w:tc>
        <w:tc>
          <w:tcPr>
            <w:tcW w:w="1609" w:type="dxa"/>
            <w:vMerge w:val="continue"/>
            <w:vAlign w:val="center"/>
          </w:tcPr>
          <w:p w14:paraId="0D0EFED0">
            <w:pPr>
              <w:spacing w:line="240" w:lineRule="exact"/>
              <w:ind w:firstLine="480"/>
              <w:rPr>
                <w:rFonts w:hint="eastAsia" w:asciiTheme="minorEastAsia" w:hAnsiTheme="minorEastAsia" w:eastAsiaTheme="minorEastAsia" w:cstheme="minorEastAsia"/>
                <w:sz w:val="24"/>
                <w:szCs w:val="24"/>
              </w:rPr>
            </w:pPr>
          </w:p>
        </w:tc>
      </w:tr>
      <w:tr w14:paraId="038CD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313" w:type="dxa"/>
            <w:vMerge w:val="continue"/>
            <w:tcBorders>
              <w:top w:val="nil"/>
              <w:bottom w:val="nil"/>
            </w:tcBorders>
            <w:vAlign w:val="center"/>
          </w:tcPr>
          <w:p w14:paraId="30BCC207">
            <w:pPr>
              <w:spacing w:line="240" w:lineRule="exact"/>
              <w:ind w:firstLine="480"/>
              <w:jc w:val="center"/>
              <w:rPr>
                <w:rFonts w:hint="eastAsia" w:asciiTheme="minorEastAsia" w:hAnsiTheme="minorEastAsia" w:eastAsiaTheme="minorEastAsia" w:cstheme="minorEastAsia"/>
                <w:sz w:val="24"/>
                <w:szCs w:val="24"/>
              </w:rPr>
            </w:pPr>
          </w:p>
        </w:tc>
        <w:tc>
          <w:tcPr>
            <w:tcW w:w="817" w:type="dxa"/>
            <w:vMerge w:val="continue"/>
            <w:tcBorders>
              <w:top w:val="nil"/>
            </w:tcBorders>
            <w:vAlign w:val="center"/>
          </w:tcPr>
          <w:p w14:paraId="2A64C771">
            <w:pPr>
              <w:spacing w:line="240" w:lineRule="exact"/>
              <w:ind w:firstLine="480"/>
              <w:rPr>
                <w:rFonts w:hint="eastAsia" w:asciiTheme="minorEastAsia" w:hAnsiTheme="minorEastAsia" w:eastAsiaTheme="minorEastAsia" w:cstheme="minorEastAsia"/>
                <w:sz w:val="24"/>
                <w:szCs w:val="24"/>
              </w:rPr>
            </w:pPr>
          </w:p>
        </w:tc>
        <w:tc>
          <w:tcPr>
            <w:tcW w:w="1700" w:type="dxa"/>
            <w:vMerge w:val="continue"/>
            <w:tcBorders>
              <w:top w:val="nil"/>
            </w:tcBorders>
            <w:vAlign w:val="center"/>
          </w:tcPr>
          <w:p w14:paraId="4A1C477F">
            <w:pPr>
              <w:spacing w:line="240" w:lineRule="exact"/>
              <w:ind w:firstLine="480"/>
              <w:jc w:val="center"/>
              <w:rPr>
                <w:rFonts w:hint="eastAsia" w:asciiTheme="minorEastAsia" w:hAnsiTheme="minorEastAsia" w:eastAsiaTheme="minorEastAsia" w:cstheme="minorEastAsia"/>
                <w:sz w:val="24"/>
                <w:szCs w:val="24"/>
              </w:rPr>
            </w:pPr>
          </w:p>
        </w:tc>
        <w:tc>
          <w:tcPr>
            <w:tcW w:w="6783" w:type="dxa"/>
            <w:vAlign w:val="center"/>
          </w:tcPr>
          <w:p w14:paraId="0D003AF0">
            <w:pPr>
              <w:pStyle w:val="36"/>
              <w:spacing w:line="240" w:lineRule="exact"/>
              <w:ind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国家或省限制类、禁止类项目，淘汰类生产工艺或产</w:t>
            </w:r>
            <w:r>
              <w:rPr>
                <w:rFonts w:hint="eastAsia" w:asciiTheme="minorEastAsia" w:hAnsiTheme="minorEastAsia" w:eastAsiaTheme="minorEastAsia" w:cstheme="minorEastAsia"/>
                <w:spacing w:val="-4"/>
                <w:sz w:val="24"/>
                <w:szCs w:val="24"/>
                <w:lang w:eastAsia="zh-CN"/>
              </w:rPr>
              <w:t>品，不符合园区产业发展规划</w:t>
            </w:r>
          </w:p>
        </w:tc>
        <w:tc>
          <w:tcPr>
            <w:tcW w:w="984" w:type="dxa"/>
            <w:vAlign w:val="center"/>
          </w:tcPr>
          <w:p w14:paraId="2C53C734">
            <w:pPr>
              <w:pStyle w:val="36"/>
              <w:spacing w:line="240" w:lineRule="exact"/>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w:t>
            </w:r>
          </w:p>
        </w:tc>
        <w:tc>
          <w:tcPr>
            <w:tcW w:w="683" w:type="dxa"/>
            <w:vAlign w:val="center"/>
          </w:tcPr>
          <w:p w14:paraId="1C10927F">
            <w:pPr>
              <w:spacing w:line="240" w:lineRule="exact"/>
              <w:ind w:firstLine="480"/>
              <w:rPr>
                <w:rFonts w:hint="eastAsia" w:asciiTheme="minorEastAsia" w:hAnsiTheme="minorEastAsia" w:eastAsiaTheme="minorEastAsia" w:cstheme="minorEastAsia"/>
                <w:sz w:val="24"/>
                <w:szCs w:val="24"/>
              </w:rPr>
            </w:pPr>
          </w:p>
        </w:tc>
        <w:tc>
          <w:tcPr>
            <w:tcW w:w="1609" w:type="dxa"/>
            <w:vMerge w:val="continue"/>
            <w:vAlign w:val="center"/>
          </w:tcPr>
          <w:p w14:paraId="6876A445">
            <w:pPr>
              <w:spacing w:line="240" w:lineRule="exact"/>
              <w:ind w:firstLine="480"/>
              <w:rPr>
                <w:rFonts w:hint="eastAsia" w:asciiTheme="minorEastAsia" w:hAnsiTheme="minorEastAsia" w:eastAsiaTheme="minorEastAsia" w:cstheme="minorEastAsia"/>
                <w:sz w:val="24"/>
                <w:szCs w:val="24"/>
              </w:rPr>
            </w:pPr>
          </w:p>
        </w:tc>
      </w:tr>
      <w:tr w14:paraId="55FE4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1313" w:type="dxa"/>
            <w:vMerge w:val="continue"/>
            <w:tcBorders>
              <w:top w:val="nil"/>
              <w:bottom w:val="nil"/>
            </w:tcBorders>
            <w:vAlign w:val="center"/>
          </w:tcPr>
          <w:p w14:paraId="66B99B07">
            <w:pPr>
              <w:spacing w:line="240" w:lineRule="exact"/>
              <w:ind w:firstLine="480"/>
              <w:jc w:val="center"/>
              <w:rPr>
                <w:rFonts w:hint="eastAsia" w:asciiTheme="minorEastAsia" w:hAnsiTheme="minorEastAsia" w:eastAsiaTheme="minorEastAsia" w:cstheme="minorEastAsia"/>
                <w:sz w:val="24"/>
                <w:szCs w:val="24"/>
              </w:rPr>
            </w:pPr>
          </w:p>
        </w:tc>
        <w:tc>
          <w:tcPr>
            <w:tcW w:w="817" w:type="dxa"/>
            <w:vMerge w:val="restart"/>
            <w:tcBorders>
              <w:bottom w:val="nil"/>
            </w:tcBorders>
            <w:vAlign w:val="center"/>
          </w:tcPr>
          <w:p w14:paraId="3BE2B11F">
            <w:pPr>
              <w:spacing w:line="24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700" w:type="dxa"/>
            <w:vMerge w:val="restart"/>
            <w:tcBorders>
              <w:bottom w:val="nil"/>
            </w:tcBorders>
            <w:vAlign w:val="center"/>
          </w:tcPr>
          <w:p w14:paraId="6A7BA98E">
            <w:pPr>
              <w:pStyle w:val="36"/>
              <w:spacing w:line="240" w:lineRule="exact"/>
              <w:ind w:firstLine="0" w:firstLineChars="0"/>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行业类别</w:t>
            </w:r>
          </w:p>
          <w:p w14:paraId="2813CB9F">
            <w:pPr>
              <w:pStyle w:val="36"/>
              <w:spacing w:line="240" w:lineRule="exact"/>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（5分）</w:t>
            </w:r>
          </w:p>
        </w:tc>
        <w:tc>
          <w:tcPr>
            <w:tcW w:w="6783" w:type="dxa"/>
            <w:vAlign w:val="center"/>
          </w:tcPr>
          <w:p w14:paraId="18EABFB7">
            <w:pPr>
              <w:pStyle w:val="36"/>
              <w:spacing w:line="240" w:lineRule="exact"/>
              <w:ind w:firstLine="0" w:firstLineChars="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属于符合园区产业发展规划的化工类项目</w:t>
            </w:r>
          </w:p>
        </w:tc>
        <w:tc>
          <w:tcPr>
            <w:tcW w:w="984" w:type="dxa"/>
            <w:vAlign w:val="center"/>
          </w:tcPr>
          <w:p w14:paraId="051DFAD0">
            <w:pPr>
              <w:pStyle w:val="36"/>
              <w:spacing w:line="240" w:lineRule="exact"/>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683" w:type="dxa"/>
            <w:vAlign w:val="center"/>
          </w:tcPr>
          <w:p w14:paraId="798F5D1E">
            <w:pPr>
              <w:spacing w:line="240" w:lineRule="exact"/>
              <w:ind w:firstLine="480"/>
              <w:rPr>
                <w:rFonts w:hint="eastAsia" w:asciiTheme="minorEastAsia" w:hAnsiTheme="minorEastAsia" w:eastAsiaTheme="minorEastAsia" w:cstheme="minorEastAsia"/>
                <w:sz w:val="24"/>
                <w:szCs w:val="24"/>
              </w:rPr>
            </w:pPr>
          </w:p>
        </w:tc>
        <w:tc>
          <w:tcPr>
            <w:tcW w:w="1609" w:type="dxa"/>
            <w:vMerge w:val="continue"/>
            <w:vAlign w:val="center"/>
          </w:tcPr>
          <w:p w14:paraId="6D20F8D2">
            <w:pPr>
              <w:spacing w:line="240" w:lineRule="exact"/>
              <w:ind w:firstLine="480"/>
              <w:rPr>
                <w:rFonts w:hint="eastAsia" w:asciiTheme="minorEastAsia" w:hAnsiTheme="minorEastAsia" w:eastAsiaTheme="minorEastAsia" w:cstheme="minorEastAsia"/>
                <w:sz w:val="24"/>
                <w:szCs w:val="24"/>
              </w:rPr>
            </w:pPr>
          </w:p>
        </w:tc>
      </w:tr>
      <w:tr w14:paraId="1D9F5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1313" w:type="dxa"/>
            <w:vMerge w:val="continue"/>
            <w:tcBorders>
              <w:top w:val="nil"/>
              <w:bottom w:val="nil"/>
            </w:tcBorders>
            <w:vAlign w:val="center"/>
          </w:tcPr>
          <w:p w14:paraId="306915E3">
            <w:pPr>
              <w:spacing w:line="240" w:lineRule="exact"/>
              <w:ind w:firstLine="480"/>
              <w:jc w:val="center"/>
              <w:rPr>
                <w:rFonts w:hint="eastAsia" w:asciiTheme="minorEastAsia" w:hAnsiTheme="minorEastAsia" w:eastAsiaTheme="minorEastAsia" w:cstheme="minorEastAsia"/>
                <w:sz w:val="24"/>
                <w:szCs w:val="24"/>
              </w:rPr>
            </w:pPr>
          </w:p>
        </w:tc>
        <w:tc>
          <w:tcPr>
            <w:tcW w:w="817" w:type="dxa"/>
            <w:vMerge w:val="continue"/>
            <w:tcBorders>
              <w:top w:val="nil"/>
              <w:bottom w:val="nil"/>
            </w:tcBorders>
            <w:vAlign w:val="center"/>
          </w:tcPr>
          <w:p w14:paraId="3B01F87A">
            <w:pPr>
              <w:spacing w:line="240" w:lineRule="exact"/>
              <w:ind w:firstLine="480"/>
              <w:rPr>
                <w:rFonts w:hint="eastAsia" w:asciiTheme="minorEastAsia" w:hAnsiTheme="minorEastAsia" w:eastAsiaTheme="minorEastAsia" w:cstheme="minorEastAsia"/>
                <w:sz w:val="24"/>
                <w:szCs w:val="24"/>
              </w:rPr>
            </w:pPr>
          </w:p>
        </w:tc>
        <w:tc>
          <w:tcPr>
            <w:tcW w:w="1700" w:type="dxa"/>
            <w:vMerge w:val="continue"/>
            <w:tcBorders>
              <w:top w:val="nil"/>
              <w:bottom w:val="nil"/>
            </w:tcBorders>
            <w:vAlign w:val="center"/>
          </w:tcPr>
          <w:p w14:paraId="1024BDF6">
            <w:pPr>
              <w:spacing w:line="240" w:lineRule="exact"/>
              <w:ind w:firstLine="480"/>
              <w:jc w:val="center"/>
              <w:rPr>
                <w:rFonts w:hint="eastAsia" w:asciiTheme="minorEastAsia" w:hAnsiTheme="minorEastAsia" w:eastAsiaTheme="minorEastAsia" w:cstheme="minorEastAsia"/>
                <w:sz w:val="24"/>
                <w:szCs w:val="24"/>
              </w:rPr>
            </w:pPr>
          </w:p>
        </w:tc>
        <w:tc>
          <w:tcPr>
            <w:tcW w:w="6783" w:type="dxa"/>
            <w:vAlign w:val="center"/>
          </w:tcPr>
          <w:p w14:paraId="6CE65FA6">
            <w:pPr>
              <w:pStyle w:val="36"/>
              <w:spacing w:line="240" w:lineRule="exact"/>
              <w:ind w:firstLine="0" w:firstLineChars="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属于公共基础设施、公用工程类项目、服务化工生产的配套项目和使用危险化学品、存在化工工艺的战略性新兴产业、产业链强链延链补链项目。</w:t>
            </w:r>
          </w:p>
        </w:tc>
        <w:tc>
          <w:tcPr>
            <w:tcW w:w="984" w:type="dxa"/>
            <w:vAlign w:val="center"/>
          </w:tcPr>
          <w:p w14:paraId="2D7BCFC4">
            <w:pPr>
              <w:pStyle w:val="36"/>
              <w:spacing w:line="240" w:lineRule="exact"/>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1-4</w:t>
            </w:r>
          </w:p>
        </w:tc>
        <w:tc>
          <w:tcPr>
            <w:tcW w:w="683" w:type="dxa"/>
            <w:vAlign w:val="center"/>
          </w:tcPr>
          <w:p w14:paraId="29D60934">
            <w:pPr>
              <w:spacing w:line="240" w:lineRule="exact"/>
              <w:ind w:firstLine="480"/>
              <w:rPr>
                <w:rFonts w:hint="eastAsia" w:asciiTheme="minorEastAsia" w:hAnsiTheme="minorEastAsia" w:eastAsiaTheme="minorEastAsia" w:cstheme="minorEastAsia"/>
                <w:sz w:val="24"/>
                <w:szCs w:val="24"/>
              </w:rPr>
            </w:pPr>
          </w:p>
        </w:tc>
        <w:tc>
          <w:tcPr>
            <w:tcW w:w="1609" w:type="dxa"/>
            <w:vMerge w:val="continue"/>
            <w:vAlign w:val="center"/>
          </w:tcPr>
          <w:p w14:paraId="1F85E824">
            <w:pPr>
              <w:spacing w:line="240" w:lineRule="exact"/>
              <w:ind w:firstLine="480"/>
              <w:rPr>
                <w:rFonts w:hint="eastAsia" w:asciiTheme="minorEastAsia" w:hAnsiTheme="minorEastAsia" w:eastAsiaTheme="minorEastAsia" w:cstheme="minorEastAsia"/>
                <w:sz w:val="24"/>
                <w:szCs w:val="24"/>
              </w:rPr>
            </w:pPr>
          </w:p>
        </w:tc>
      </w:tr>
      <w:tr w14:paraId="6D71A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1313" w:type="dxa"/>
            <w:vMerge w:val="continue"/>
            <w:tcBorders>
              <w:top w:val="nil"/>
              <w:bottom w:val="nil"/>
            </w:tcBorders>
            <w:vAlign w:val="center"/>
          </w:tcPr>
          <w:p w14:paraId="5DCEB281">
            <w:pPr>
              <w:spacing w:line="240" w:lineRule="exact"/>
              <w:ind w:firstLine="480"/>
              <w:jc w:val="center"/>
              <w:rPr>
                <w:rFonts w:hint="eastAsia" w:asciiTheme="minorEastAsia" w:hAnsiTheme="minorEastAsia" w:eastAsiaTheme="minorEastAsia" w:cstheme="minorEastAsia"/>
                <w:sz w:val="24"/>
                <w:szCs w:val="24"/>
              </w:rPr>
            </w:pPr>
          </w:p>
        </w:tc>
        <w:tc>
          <w:tcPr>
            <w:tcW w:w="817" w:type="dxa"/>
            <w:vMerge w:val="continue"/>
            <w:tcBorders>
              <w:top w:val="nil"/>
            </w:tcBorders>
            <w:vAlign w:val="center"/>
          </w:tcPr>
          <w:p w14:paraId="489E375A">
            <w:pPr>
              <w:spacing w:line="240" w:lineRule="exact"/>
              <w:ind w:firstLine="480"/>
              <w:rPr>
                <w:rFonts w:hint="eastAsia" w:asciiTheme="minorEastAsia" w:hAnsiTheme="minorEastAsia" w:eastAsiaTheme="minorEastAsia" w:cstheme="minorEastAsia"/>
                <w:sz w:val="24"/>
                <w:szCs w:val="24"/>
              </w:rPr>
            </w:pPr>
          </w:p>
        </w:tc>
        <w:tc>
          <w:tcPr>
            <w:tcW w:w="1700" w:type="dxa"/>
            <w:vMerge w:val="continue"/>
            <w:tcBorders>
              <w:top w:val="nil"/>
            </w:tcBorders>
            <w:vAlign w:val="center"/>
          </w:tcPr>
          <w:p w14:paraId="64FB0D5F">
            <w:pPr>
              <w:spacing w:line="240" w:lineRule="exact"/>
              <w:ind w:firstLine="480"/>
              <w:jc w:val="center"/>
              <w:rPr>
                <w:rFonts w:hint="eastAsia" w:asciiTheme="minorEastAsia" w:hAnsiTheme="minorEastAsia" w:eastAsiaTheme="minorEastAsia" w:cstheme="minorEastAsia"/>
                <w:sz w:val="24"/>
                <w:szCs w:val="24"/>
              </w:rPr>
            </w:pPr>
          </w:p>
        </w:tc>
        <w:tc>
          <w:tcPr>
            <w:tcW w:w="6783" w:type="dxa"/>
            <w:vAlign w:val="center"/>
          </w:tcPr>
          <w:p w14:paraId="7805BD07">
            <w:pPr>
              <w:pStyle w:val="36"/>
              <w:spacing w:line="240" w:lineRule="exact"/>
              <w:ind w:firstLine="0" w:firstLineChars="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不属于前两条行业类别项目</w:t>
            </w:r>
          </w:p>
        </w:tc>
        <w:tc>
          <w:tcPr>
            <w:tcW w:w="984" w:type="dxa"/>
            <w:vAlign w:val="center"/>
          </w:tcPr>
          <w:p w14:paraId="0394D8FA">
            <w:pPr>
              <w:pStyle w:val="36"/>
              <w:spacing w:line="240" w:lineRule="exact"/>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w:t>
            </w:r>
          </w:p>
        </w:tc>
        <w:tc>
          <w:tcPr>
            <w:tcW w:w="683" w:type="dxa"/>
            <w:vAlign w:val="center"/>
          </w:tcPr>
          <w:p w14:paraId="2356D80C">
            <w:pPr>
              <w:spacing w:line="240" w:lineRule="exact"/>
              <w:ind w:firstLine="480"/>
              <w:rPr>
                <w:rFonts w:hint="eastAsia" w:asciiTheme="minorEastAsia" w:hAnsiTheme="minorEastAsia" w:eastAsiaTheme="minorEastAsia" w:cstheme="minorEastAsia"/>
                <w:sz w:val="24"/>
                <w:szCs w:val="24"/>
              </w:rPr>
            </w:pPr>
          </w:p>
        </w:tc>
        <w:tc>
          <w:tcPr>
            <w:tcW w:w="1609" w:type="dxa"/>
            <w:vMerge w:val="continue"/>
            <w:vAlign w:val="center"/>
          </w:tcPr>
          <w:p w14:paraId="1EB34165">
            <w:pPr>
              <w:spacing w:line="240" w:lineRule="exact"/>
              <w:ind w:firstLine="480"/>
              <w:rPr>
                <w:rFonts w:hint="eastAsia" w:asciiTheme="minorEastAsia" w:hAnsiTheme="minorEastAsia" w:eastAsiaTheme="minorEastAsia" w:cstheme="minorEastAsia"/>
                <w:sz w:val="24"/>
                <w:szCs w:val="24"/>
              </w:rPr>
            </w:pPr>
          </w:p>
        </w:tc>
      </w:tr>
      <w:tr w14:paraId="44AA5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313" w:type="dxa"/>
            <w:vMerge w:val="continue"/>
            <w:tcBorders>
              <w:top w:val="nil"/>
              <w:bottom w:val="nil"/>
            </w:tcBorders>
            <w:vAlign w:val="center"/>
          </w:tcPr>
          <w:p w14:paraId="3A5A2668">
            <w:pPr>
              <w:spacing w:line="240" w:lineRule="exact"/>
              <w:ind w:firstLine="480"/>
              <w:jc w:val="center"/>
              <w:rPr>
                <w:rFonts w:hint="eastAsia" w:asciiTheme="minorEastAsia" w:hAnsiTheme="minorEastAsia" w:eastAsiaTheme="minorEastAsia" w:cstheme="minorEastAsia"/>
                <w:sz w:val="24"/>
                <w:szCs w:val="24"/>
              </w:rPr>
            </w:pPr>
          </w:p>
        </w:tc>
        <w:tc>
          <w:tcPr>
            <w:tcW w:w="817" w:type="dxa"/>
            <w:vMerge w:val="restart"/>
            <w:tcBorders>
              <w:bottom w:val="nil"/>
            </w:tcBorders>
            <w:vAlign w:val="center"/>
          </w:tcPr>
          <w:p w14:paraId="3D93E8A8">
            <w:pPr>
              <w:spacing w:line="24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700" w:type="dxa"/>
            <w:vMerge w:val="restart"/>
            <w:tcBorders>
              <w:bottom w:val="nil"/>
            </w:tcBorders>
            <w:vAlign w:val="center"/>
          </w:tcPr>
          <w:p w14:paraId="679DF669">
            <w:pPr>
              <w:pStyle w:val="36"/>
              <w:spacing w:line="240" w:lineRule="exact"/>
              <w:ind w:firstLine="0" w:firstLineChars="0"/>
              <w:jc w:val="center"/>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产业关联度</w:t>
            </w:r>
          </w:p>
          <w:p w14:paraId="70223C69">
            <w:pPr>
              <w:pStyle w:val="36"/>
              <w:spacing w:line="240" w:lineRule="exact"/>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（5分）</w:t>
            </w:r>
          </w:p>
        </w:tc>
        <w:tc>
          <w:tcPr>
            <w:tcW w:w="6783" w:type="dxa"/>
            <w:vAlign w:val="center"/>
          </w:tcPr>
          <w:p w14:paraId="6A5EFED1">
            <w:pPr>
              <w:pStyle w:val="36"/>
              <w:spacing w:line="240" w:lineRule="exact"/>
              <w:ind w:firstLine="0" w:firstLineChars="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与园区产业存在上下游关联性</w:t>
            </w:r>
          </w:p>
        </w:tc>
        <w:tc>
          <w:tcPr>
            <w:tcW w:w="984" w:type="dxa"/>
            <w:vAlign w:val="center"/>
          </w:tcPr>
          <w:p w14:paraId="54F33F24">
            <w:pPr>
              <w:pStyle w:val="36"/>
              <w:spacing w:line="240" w:lineRule="exact"/>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3-5</w:t>
            </w:r>
          </w:p>
        </w:tc>
        <w:tc>
          <w:tcPr>
            <w:tcW w:w="683" w:type="dxa"/>
            <w:vAlign w:val="center"/>
          </w:tcPr>
          <w:p w14:paraId="415BC043">
            <w:pPr>
              <w:spacing w:line="240" w:lineRule="exact"/>
              <w:ind w:firstLine="480"/>
              <w:rPr>
                <w:rFonts w:hint="eastAsia" w:asciiTheme="minorEastAsia" w:hAnsiTheme="minorEastAsia" w:eastAsiaTheme="minorEastAsia" w:cstheme="minorEastAsia"/>
                <w:sz w:val="24"/>
                <w:szCs w:val="24"/>
              </w:rPr>
            </w:pPr>
          </w:p>
        </w:tc>
        <w:tc>
          <w:tcPr>
            <w:tcW w:w="1609" w:type="dxa"/>
            <w:vMerge w:val="continue"/>
            <w:vAlign w:val="center"/>
          </w:tcPr>
          <w:p w14:paraId="5F17D143">
            <w:pPr>
              <w:spacing w:line="240" w:lineRule="exact"/>
              <w:ind w:firstLine="480"/>
              <w:rPr>
                <w:rFonts w:hint="eastAsia" w:asciiTheme="minorEastAsia" w:hAnsiTheme="minorEastAsia" w:eastAsiaTheme="minorEastAsia" w:cstheme="minorEastAsia"/>
                <w:sz w:val="24"/>
                <w:szCs w:val="24"/>
              </w:rPr>
            </w:pPr>
          </w:p>
        </w:tc>
      </w:tr>
      <w:tr w14:paraId="2B58D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313" w:type="dxa"/>
            <w:vMerge w:val="continue"/>
            <w:tcBorders>
              <w:top w:val="nil"/>
            </w:tcBorders>
            <w:vAlign w:val="center"/>
          </w:tcPr>
          <w:p w14:paraId="0E19D728">
            <w:pPr>
              <w:spacing w:line="240" w:lineRule="exact"/>
              <w:ind w:firstLine="480"/>
              <w:jc w:val="center"/>
              <w:rPr>
                <w:rFonts w:hint="eastAsia" w:asciiTheme="minorEastAsia" w:hAnsiTheme="minorEastAsia" w:eastAsiaTheme="minorEastAsia" w:cstheme="minorEastAsia"/>
                <w:sz w:val="24"/>
                <w:szCs w:val="24"/>
              </w:rPr>
            </w:pPr>
          </w:p>
        </w:tc>
        <w:tc>
          <w:tcPr>
            <w:tcW w:w="817" w:type="dxa"/>
            <w:vMerge w:val="continue"/>
            <w:tcBorders>
              <w:top w:val="nil"/>
            </w:tcBorders>
            <w:vAlign w:val="center"/>
          </w:tcPr>
          <w:p w14:paraId="56531EAF">
            <w:pPr>
              <w:spacing w:line="240" w:lineRule="exact"/>
              <w:ind w:firstLine="480"/>
              <w:rPr>
                <w:rFonts w:hint="eastAsia" w:asciiTheme="minorEastAsia" w:hAnsiTheme="minorEastAsia" w:eastAsiaTheme="minorEastAsia" w:cstheme="minorEastAsia"/>
                <w:sz w:val="24"/>
                <w:szCs w:val="24"/>
              </w:rPr>
            </w:pPr>
          </w:p>
        </w:tc>
        <w:tc>
          <w:tcPr>
            <w:tcW w:w="1700" w:type="dxa"/>
            <w:vMerge w:val="continue"/>
            <w:tcBorders>
              <w:top w:val="nil"/>
            </w:tcBorders>
            <w:vAlign w:val="center"/>
          </w:tcPr>
          <w:p w14:paraId="2B3A6D6A">
            <w:pPr>
              <w:spacing w:line="240" w:lineRule="exact"/>
              <w:ind w:firstLine="480"/>
              <w:jc w:val="center"/>
              <w:rPr>
                <w:rFonts w:hint="eastAsia" w:asciiTheme="minorEastAsia" w:hAnsiTheme="minorEastAsia" w:eastAsiaTheme="minorEastAsia" w:cstheme="minorEastAsia"/>
                <w:sz w:val="24"/>
                <w:szCs w:val="24"/>
              </w:rPr>
            </w:pPr>
          </w:p>
        </w:tc>
        <w:tc>
          <w:tcPr>
            <w:tcW w:w="6783" w:type="dxa"/>
            <w:vAlign w:val="center"/>
          </w:tcPr>
          <w:p w14:paraId="2DD098D7">
            <w:pPr>
              <w:pStyle w:val="36"/>
              <w:spacing w:line="240" w:lineRule="exact"/>
              <w:ind w:firstLine="0" w:firstLineChars="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与园区产业不存在关联性</w:t>
            </w:r>
          </w:p>
        </w:tc>
        <w:tc>
          <w:tcPr>
            <w:tcW w:w="984" w:type="dxa"/>
            <w:vAlign w:val="center"/>
          </w:tcPr>
          <w:p w14:paraId="75B1D570">
            <w:pPr>
              <w:pStyle w:val="36"/>
              <w:spacing w:line="240" w:lineRule="exact"/>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0-2</w:t>
            </w:r>
          </w:p>
        </w:tc>
        <w:tc>
          <w:tcPr>
            <w:tcW w:w="683" w:type="dxa"/>
            <w:vAlign w:val="center"/>
          </w:tcPr>
          <w:p w14:paraId="7A3D986C">
            <w:pPr>
              <w:spacing w:line="240" w:lineRule="exact"/>
              <w:ind w:firstLine="480"/>
              <w:rPr>
                <w:rFonts w:hint="eastAsia" w:asciiTheme="minorEastAsia" w:hAnsiTheme="minorEastAsia" w:eastAsiaTheme="minorEastAsia" w:cstheme="minorEastAsia"/>
                <w:sz w:val="24"/>
                <w:szCs w:val="24"/>
              </w:rPr>
            </w:pPr>
          </w:p>
        </w:tc>
        <w:tc>
          <w:tcPr>
            <w:tcW w:w="1609" w:type="dxa"/>
            <w:vMerge w:val="continue"/>
            <w:vAlign w:val="center"/>
          </w:tcPr>
          <w:p w14:paraId="0064CD5B">
            <w:pPr>
              <w:spacing w:line="240" w:lineRule="exact"/>
              <w:ind w:firstLine="480"/>
              <w:rPr>
                <w:rFonts w:hint="eastAsia" w:asciiTheme="minorEastAsia" w:hAnsiTheme="minorEastAsia" w:eastAsiaTheme="minorEastAsia" w:cstheme="minorEastAsia"/>
                <w:sz w:val="24"/>
                <w:szCs w:val="24"/>
              </w:rPr>
            </w:pPr>
          </w:p>
        </w:tc>
      </w:tr>
      <w:tr w14:paraId="28EA6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313" w:type="dxa"/>
            <w:vMerge w:val="restart"/>
            <w:tcBorders>
              <w:bottom w:val="nil"/>
            </w:tcBorders>
            <w:vAlign w:val="center"/>
          </w:tcPr>
          <w:p w14:paraId="76CCEAFD">
            <w:pPr>
              <w:pStyle w:val="36"/>
              <w:spacing w:line="240" w:lineRule="exact"/>
              <w:ind w:firstLine="0" w:firstLineChars="0"/>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规划要求</w:t>
            </w:r>
          </w:p>
          <w:p w14:paraId="6E95921F">
            <w:pPr>
              <w:pStyle w:val="36"/>
              <w:spacing w:line="240" w:lineRule="exact"/>
              <w:ind w:firstLine="0" w:firstLineChars="0"/>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（5分）</w:t>
            </w:r>
          </w:p>
        </w:tc>
        <w:tc>
          <w:tcPr>
            <w:tcW w:w="817" w:type="dxa"/>
            <w:vMerge w:val="restart"/>
            <w:tcBorders>
              <w:bottom w:val="nil"/>
            </w:tcBorders>
            <w:vAlign w:val="center"/>
          </w:tcPr>
          <w:p w14:paraId="5AB656F2">
            <w:pPr>
              <w:spacing w:line="24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700" w:type="dxa"/>
            <w:vMerge w:val="restart"/>
            <w:tcBorders>
              <w:bottom w:val="nil"/>
            </w:tcBorders>
            <w:vAlign w:val="center"/>
          </w:tcPr>
          <w:p w14:paraId="25E830A1">
            <w:pPr>
              <w:pStyle w:val="36"/>
              <w:spacing w:line="240" w:lineRule="exact"/>
              <w:ind w:firstLine="0" w:firstLineChars="0"/>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规划符合性</w:t>
            </w:r>
          </w:p>
          <w:p w14:paraId="7EF80EFB">
            <w:pPr>
              <w:pStyle w:val="36"/>
              <w:spacing w:line="240" w:lineRule="exact"/>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（5分）</w:t>
            </w:r>
          </w:p>
        </w:tc>
        <w:tc>
          <w:tcPr>
            <w:tcW w:w="6783" w:type="dxa"/>
            <w:vAlign w:val="center"/>
          </w:tcPr>
          <w:p w14:paraId="6506BC8D">
            <w:pPr>
              <w:pStyle w:val="36"/>
              <w:spacing w:line="240" w:lineRule="exact"/>
              <w:ind w:firstLine="0" w:firstLineChars="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符合随州市国土空间总体规划、青春化工工业园总体规划等相关规划要求。</w:t>
            </w:r>
          </w:p>
        </w:tc>
        <w:tc>
          <w:tcPr>
            <w:tcW w:w="984" w:type="dxa"/>
            <w:vAlign w:val="center"/>
          </w:tcPr>
          <w:p w14:paraId="51F0FD02">
            <w:pPr>
              <w:pStyle w:val="36"/>
              <w:spacing w:line="240" w:lineRule="exact"/>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683" w:type="dxa"/>
            <w:vAlign w:val="center"/>
          </w:tcPr>
          <w:p w14:paraId="3739F519">
            <w:pPr>
              <w:spacing w:line="240" w:lineRule="exact"/>
              <w:ind w:firstLine="480"/>
              <w:rPr>
                <w:rFonts w:hint="eastAsia" w:asciiTheme="minorEastAsia" w:hAnsiTheme="minorEastAsia" w:eastAsiaTheme="minorEastAsia" w:cstheme="minorEastAsia"/>
                <w:sz w:val="24"/>
                <w:szCs w:val="24"/>
              </w:rPr>
            </w:pPr>
          </w:p>
        </w:tc>
        <w:tc>
          <w:tcPr>
            <w:tcW w:w="1609" w:type="dxa"/>
            <w:vMerge w:val="restart"/>
            <w:vAlign w:val="center"/>
          </w:tcPr>
          <w:p w14:paraId="53B56BB7">
            <w:pPr>
              <w:spacing w:line="240" w:lineRule="exact"/>
              <w:ind w:firstLine="480"/>
              <w:rPr>
                <w:rFonts w:hint="eastAsia" w:asciiTheme="minorEastAsia" w:hAnsiTheme="minorEastAsia" w:eastAsiaTheme="minorEastAsia" w:cstheme="minorEastAsia"/>
                <w:sz w:val="24"/>
                <w:szCs w:val="24"/>
              </w:rPr>
            </w:pPr>
          </w:p>
        </w:tc>
      </w:tr>
      <w:tr w14:paraId="3805D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13" w:type="dxa"/>
            <w:vMerge w:val="continue"/>
            <w:tcBorders>
              <w:top w:val="nil"/>
            </w:tcBorders>
            <w:vAlign w:val="center"/>
          </w:tcPr>
          <w:p w14:paraId="334E0B3F">
            <w:pPr>
              <w:spacing w:line="240" w:lineRule="exact"/>
              <w:ind w:firstLine="420"/>
              <w:jc w:val="center"/>
              <w:rPr>
                <w:rFonts w:hint="eastAsia" w:asciiTheme="minorEastAsia" w:hAnsiTheme="minorEastAsia" w:eastAsiaTheme="minorEastAsia" w:cstheme="minorEastAsia"/>
                <w:sz w:val="21"/>
              </w:rPr>
            </w:pPr>
          </w:p>
        </w:tc>
        <w:tc>
          <w:tcPr>
            <w:tcW w:w="817" w:type="dxa"/>
            <w:vMerge w:val="continue"/>
            <w:tcBorders>
              <w:top w:val="nil"/>
            </w:tcBorders>
            <w:vAlign w:val="center"/>
          </w:tcPr>
          <w:p w14:paraId="019A0ADC">
            <w:pPr>
              <w:spacing w:line="240" w:lineRule="exact"/>
              <w:ind w:firstLine="420"/>
              <w:rPr>
                <w:rFonts w:hint="eastAsia" w:asciiTheme="minorEastAsia" w:hAnsiTheme="minorEastAsia" w:eastAsiaTheme="minorEastAsia" w:cstheme="minorEastAsia"/>
                <w:sz w:val="21"/>
              </w:rPr>
            </w:pPr>
          </w:p>
        </w:tc>
        <w:tc>
          <w:tcPr>
            <w:tcW w:w="1700" w:type="dxa"/>
            <w:vMerge w:val="continue"/>
            <w:tcBorders>
              <w:top w:val="nil"/>
            </w:tcBorders>
            <w:vAlign w:val="center"/>
          </w:tcPr>
          <w:p w14:paraId="6A7B39C5">
            <w:pPr>
              <w:spacing w:line="240" w:lineRule="exact"/>
              <w:ind w:firstLine="420"/>
              <w:jc w:val="center"/>
              <w:rPr>
                <w:rFonts w:hint="eastAsia" w:asciiTheme="minorEastAsia" w:hAnsiTheme="minorEastAsia" w:eastAsiaTheme="minorEastAsia" w:cstheme="minorEastAsia"/>
                <w:sz w:val="21"/>
              </w:rPr>
            </w:pPr>
          </w:p>
        </w:tc>
        <w:tc>
          <w:tcPr>
            <w:tcW w:w="6783" w:type="dxa"/>
            <w:vAlign w:val="center"/>
          </w:tcPr>
          <w:p w14:paraId="62D09515">
            <w:pPr>
              <w:pStyle w:val="36"/>
              <w:spacing w:line="240" w:lineRule="exact"/>
              <w:ind w:firstLine="0" w:firstLineChars="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不符合随州市城市总体规划、化工园区总体规划等相关规划要求。</w:t>
            </w:r>
          </w:p>
        </w:tc>
        <w:tc>
          <w:tcPr>
            <w:tcW w:w="984" w:type="dxa"/>
            <w:vAlign w:val="center"/>
          </w:tcPr>
          <w:p w14:paraId="3372DA9A">
            <w:pPr>
              <w:pStyle w:val="36"/>
              <w:spacing w:line="240" w:lineRule="exact"/>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w:t>
            </w:r>
          </w:p>
        </w:tc>
        <w:tc>
          <w:tcPr>
            <w:tcW w:w="683" w:type="dxa"/>
            <w:vAlign w:val="center"/>
          </w:tcPr>
          <w:p w14:paraId="3F6DBA97">
            <w:pPr>
              <w:spacing w:line="240" w:lineRule="exact"/>
              <w:ind w:firstLine="420"/>
              <w:rPr>
                <w:rFonts w:hint="eastAsia" w:asciiTheme="minorEastAsia" w:hAnsiTheme="minorEastAsia" w:eastAsiaTheme="minorEastAsia" w:cstheme="minorEastAsia"/>
                <w:sz w:val="21"/>
              </w:rPr>
            </w:pPr>
          </w:p>
        </w:tc>
        <w:tc>
          <w:tcPr>
            <w:tcW w:w="1609" w:type="dxa"/>
            <w:vMerge w:val="continue"/>
            <w:vAlign w:val="center"/>
          </w:tcPr>
          <w:p w14:paraId="6B792F16">
            <w:pPr>
              <w:spacing w:line="240" w:lineRule="exact"/>
              <w:ind w:firstLine="420"/>
              <w:rPr>
                <w:rFonts w:hint="eastAsia" w:asciiTheme="minorEastAsia" w:hAnsiTheme="minorEastAsia" w:eastAsiaTheme="minorEastAsia" w:cstheme="minorEastAsia"/>
                <w:sz w:val="21"/>
              </w:rPr>
            </w:pPr>
          </w:p>
        </w:tc>
      </w:tr>
      <w:tr w14:paraId="75211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313" w:type="dxa"/>
            <w:vMerge w:val="restart"/>
            <w:tcBorders>
              <w:bottom w:val="nil"/>
            </w:tcBorders>
            <w:vAlign w:val="center"/>
          </w:tcPr>
          <w:p w14:paraId="4D717D90">
            <w:pPr>
              <w:pStyle w:val="36"/>
              <w:spacing w:line="240" w:lineRule="exact"/>
              <w:ind w:firstLine="0" w:firstLineChars="0"/>
              <w:jc w:val="cente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3"/>
                <w:sz w:val="24"/>
                <w:szCs w:val="24"/>
              </w:rPr>
              <w:t>土地利用要</w:t>
            </w:r>
            <w:r>
              <w:rPr>
                <w:rFonts w:hint="eastAsia" w:asciiTheme="minorEastAsia" w:hAnsiTheme="minorEastAsia" w:eastAsiaTheme="minorEastAsia" w:cstheme="minorEastAsia"/>
                <w:spacing w:val="-4"/>
                <w:sz w:val="24"/>
                <w:szCs w:val="24"/>
              </w:rPr>
              <w:t>求</w:t>
            </w:r>
          </w:p>
          <w:p w14:paraId="792374B0">
            <w:pPr>
              <w:pStyle w:val="36"/>
              <w:spacing w:line="240" w:lineRule="exact"/>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（5分）</w:t>
            </w:r>
          </w:p>
        </w:tc>
        <w:tc>
          <w:tcPr>
            <w:tcW w:w="817" w:type="dxa"/>
            <w:vMerge w:val="restart"/>
            <w:tcBorders>
              <w:bottom w:val="nil"/>
            </w:tcBorders>
            <w:vAlign w:val="center"/>
          </w:tcPr>
          <w:p w14:paraId="4B5C6114">
            <w:pPr>
              <w:spacing w:line="240" w:lineRule="exact"/>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700" w:type="dxa"/>
            <w:vMerge w:val="restart"/>
            <w:tcBorders>
              <w:bottom w:val="nil"/>
            </w:tcBorders>
            <w:vAlign w:val="center"/>
          </w:tcPr>
          <w:p w14:paraId="01850A53">
            <w:pPr>
              <w:pStyle w:val="36"/>
              <w:spacing w:line="240" w:lineRule="exact"/>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土地利用</w:t>
            </w:r>
            <w:r>
              <w:rPr>
                <w:rFonts w:hint="eastAsia" w:asciiTheme="minorEastAsia" w:hAnsiTheme="minorEastAsia" w:eastAsiaTheme="minorEastAsia" w:cstheme="minorEastAsia"/>
                <w:spacing w:val="-3"/>
                <w:sz w:val="24"/>
                <w:szCs w:val="24"/>
              </w:rPr>
              <w:t>符合性（5分）</w:t>
            </w:r>
          </w:p>
        </w:tc>
        <w:tc>
          <w:tcPr>
            <w:tcW w:w="6783" w:type="dxa"/>
            <w:vAlign w:val="center"/>
          </w:tcPr>
          <w:p w14:paraId="422D544D">
            <w:pPr>
              <w:pStyle w:val="36"/>
              <w:spacing w:line="240" w:lineRule="exact"/>
              <w:ind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符合随州市国土空间总体规划、青春化工工业园总体</w:t>
            </w:r>
            <w:r>
              <w:rPr>
                <w:rFonts w:hint="eastAsia" w:asciiTheme="minorEastAsia" w:hAnsiTheme="minorEastAsia" w:eastAsiaTheme="minorEastAsia" w:cstheme="minorEastAsia"/>
                <w:spacing w:val="-2"/>
                <w:sz w:val="24"/>
                <w:szCs w:val="24"/>
                <w:lang w:eastAsia="zh-CN"/>
              </w:rPr>
              <w:t>规划等相关规划要求。</w:t>
            </w:r>
          </w:p>
        </w:tc>
        <w:tc>
          <w:tcPr>
            <w:tcW w:w="984" w:type="dxa"/>
            <w:vAlign w:val="center"/>
          </w:tcPr>
          <w:p w14:paraId="32C69C5F">
            <w:pPr>
              <w:pStyle w:val="36"/>
              <w:spacing w:line="240" w:lineRule="exact"/>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683" w:type="dxa"/>
            <w:vAlign w:val="center"/>
          </w:tcPr>
          <w:p w14:paraId="7779CD25">
            <w:pPr>
              <w:spacing w:line="240" w:lineRule="exact"/>
              <w:ind w:firstLine="420"/>
              <w:rPr>
                <w:rFonts w:hint="eastAsia" w:asciiTheme="minorEastAsia" w:hAnsiTheme="minorEastAsia" w:eastAsiaTheme="minorEastAsia" w:cstheme="minorEastAsia"/>
                <w:sz w:val="21"/>
              </w:rPr>
            </w:pPr>
          </w:p>
        </w:tc>
        <w:tc>
          <w:tcPr>
            <w:tcW w:w="1609" w:type="dxa"/>
            <w:vMerge w:val="restart"/>
            <w:vAlign w:val="center"/>
          </w:tcPr>
          <w:p w14:paraId="3B2554DD">
            <w:pPr>
              <w:spacing w:line="240" w:lineRule="exact"/>
              <w:ind w:firstLine="420"/>
              <w:rPr>
                <w:rFonts w:hint="eastAsia" w:asciiTheme="minorEastAsia" w:hAnsiTheme="minorEastAsia" w:eastAsiaTheme="minorEastAsia" w:cstheme="minorEastAsia"/>
                <w:sz w:val="21"/>
              </w:rPr>
            </w:pPr>
          </w:p>
        </w:tc>
      </w:tr>
      <w:tr w14:paraId="2A979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13" w:type="dxa"/>
            <w:vMerge w:val="continue"/>
            <w:tcBorders>
              <w:top w:val="nil"/>
            </w:tcBorders>
            <w:vAlign w:val="center"/>
          </w:tcPr>
          <w:p w14:paraId="5C31BC2B">
            <w:pPr>
              <w:spacing w:line="240" w:lineRule="exact"/>
              <w:ind w:firstLine="420"/>
              <w:rPr>
                <w:rFonts w:hint="eastAsia" w:asciiTheme="minorEastAsia" w:hAnsiTheme="minorEastAsia" w:eastAsiaTheme="minorEastAsia" w:cstheme="minorEastAsia"/>
                <w:sz w:val="21"/>
              </w:rPr>
            </w:pPr>
          </w:p>
        </w:tc>
        <w:tc>
          <w:tcPr>
            <w:tcW w:w="817" w:type="dxa"/>
            <w:vMerge w:val="continue"/>
            <w:tcBorders>
              <w:top w:val="nil"/>
            </w:tcBorders>
            <w:vAlign w:val="center"/>
          </w:tcPr>
          <w:p w14:paraId="4C3FBF75">
            <w:pPr>
              <w:spacing w:line="240" w:lineRule="exact"/>
              <w:ind w:firstLine="420"/>
              <w:rPr>
                <w:rFonts w:hint="eastAsia" w:asciiTheme="minorEastAsia" w:hAnsiTheme="minorEastAsia" w:eastAsiaTheme="minorEastAsia" w:cstheme="minorEastAsia"/>
                <w:sz w:val="21"/>
              </w:rPr>
            </w:pPr>
          </w:p>
        </w:tc>
        <w:tc>
          <w:tcPr>
            <w:tcW w:w="1700" w:type="dxa"/>
            <w:vMerge w:val="continue"/>
            <w:tcBorders>
              <w:top w:val="nil"/>
            </w:tcBorders>
            <w:vAlign w:val="center"/>
          </w:tcPr>
          <w:p w14:paraId="2B9CB14B">
            <w:pPr>
              <w:spacing w:line="240" w:lineRule="exact"/>
              <w:ind w:firstLine="420"/>
              <w:jc w:val="center"/>
              <w:rPr>
                <w:rFonts w:hint="eastAsia" w:asciiTheme="minorEastAsia" w:hAnsiTheme="minorEastAsia" w:eastAsiaTheme="minorEastAsia" w:cstheme="minorEastAsia"/>
                <w:sz w:val="21"/>
              </w:rPr>
            </w:pPr>
          </w:p>
        </w:tc>
        <w:tc>
          <w:tcPr>
            <w:tcW w:w="6783" w:type="dxa"/>
            <w:vAlign w:val="center"/>
          </w:tcPr>
          <w:p w14:paraId="65917D20">
            <w:pPr>
              <w:pStyle w:val="36"/>
              <w:spacing w:line="240" w:lineRule="exact"/>
              <w:ind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不符合随州市国土空间总体规划、青春化工工业园总</w:t>
            </w:r>
            <w:r>
              <w:rPr>
                <w:rFonts w:hint="eastAsia" w:asciiTheme="minorEastAsia" w:hAnsiTheme="minorEastAsia" w:eastAsiaTheme="minorEastAsia" w:cstheme="minorEastAsia"/>
                <w:spacing w:val="7"/>
                <w:sz w:val="24"/>
                <w:szCs w:val="24"/>
                <w:lang w:eastAsia="zh-CN"/>
              </w:rPr>
              <w:t xml:space="preserve"> </w:t>
            </w:r>
            <w:r>
              <w:rPr>
                <w:rFonts w:hint="eastAsia" w:asciiTheme="minorEastAsia" w:hAnsiTheme="minorEastAsia" w:eastAsiaTheme="minorEastAsia" w:cstheme="minorEastAsia"/>
                <w:spacing w:val="-1"/>
                <w:sz w:val="24"/>
                <w:szCs w:val="24"/>
                <w:lang w:eastAsia="zh-CN"/>
              </w:rPr>
              <w:t>体规划等相关规划要求。</w:t>
            </w:r>
          </w:p>
        </w:tc>
        <w:tc>
          <w:tcPr>
            <w:tcW w:w="984" w:type="dxa"/>
            <w:vAlign w:val="center"/>
          </w:tcPr>
          <w:p w14:paraId="4EF65779">
            <w:pPr>
              <w:pStyle w:val="36"/>
              <w:spacing w:line="240" w:lineRule="exact"/>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w:t>
            </w:r>
          </w:p>
        </w:tc>
        <w:tc>
          <w:tcPr>
            <w:tcW w:w="683" w:type="dxa"/>
            <w:vAlign w:val="center"/>
          </w:tcPr>
          <w:p w14:paraId="0FE06727">
            <w:pPr>
              <w:spacing w:line="240" w:lineRule="exact"/>
              <w:ind w:firstLine="420"/>
              <w:rPr>
                <w:rFonts w:hint="eastAsia" w:asciiTheme="minorEastAsia" w:hAnsiTheme="minorEastAsia" w:eastAsiaTheme="minorEastAsia" w:cstheme="minorEastAsia"/>
                <w:sz w:val="21"/>
              </w:rPr>
            </w:pPr>
          </w:p>
        </w:tc>
        <w:tc>
          <w:tcPr>
            <w:tcW w:w="1609" w:type="dxa"/>
            <w:vMerge w:val="continue"/>
            <w:vAlign w:val="center"/>
          </w:tcPr>
          <w:p w14:paraId="65C1172C">
            <w:pPr>
              <w:spacing w:line="240" w:lineRule="exact"/>
              <w:ind w:firstLine="420"/>
              <w:rPr>
                <w:rFonts w:hint="eastAsia" w:asciiTheme="minorEastAsia" w:hAnsiTheme="minorEastAsia" w:eastAsiaTheme="minorEastAsia" w:cstheme="minorEastAsia"/>
                <w:sz w:val="21"/>
              </w:rPr>
            </w:pPr>
          </w:p>
        </w:tc>
      </w:tr>
      <w:tr w14:paraId="6C3D3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1313" w:type="dxa"/>
            <w:vMerge w:val="restart"/>
            <w:tcBorders>
              <w:bottom w:val="nil"/>
            </w:tcBorders>
            <w:vAlign w:val="center"/>
          </w:tcPr>
          <w:p w14:paraId="3293C7E1">
            <w:pPr>
              <w:pStyle w:val="36"/>
              <w:spacing w:line="240" w:lineRule="exact"/>
              <w:ind w:firstLine="0" w:firstLineChars="0"/>
              <w:jc w:val="cente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3"/>
                <w:sz w:val="24"/>
                <w:szCs w:val="24"/>
              </w:rPr>
              <w:t>投入产出要</w:t>
            </w:r>
            <w:r>
              <w:rPr>
                <w:rFonts w:hint="eastAsia" w:asciiTheme="minorEastAsia" w:hAnsiTheme="minorEastAsia" w:eastAsiaTheme="minorEastAsia" w:cstheme="minorEastAsia"/>
                <w:spacing w:val="-4"/>
                <w:sz w:val="24"/>
                <w:szCs w:val="24"/>
              </w:rPr>
              <w:t>求</w:t>
            </w:r>
          </w:p>
          <w:p w14:paraId="2E9072A8">
            <w:pPr>
              <w:pStyle w:val="36"/>
              <w:spacing w:line="240" w:lineRule="exact"/>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（10分）</w:t>
            </w:r>
          </w:p>
        </w:tc>
        <w:tc>
          <w:tcPr>
            <w:tcW w:w="817" w:type="dxa"/>
            <w:vMerge w:val="restart"/>
            <w:tcBorders>
              <w:bottom w:val="nil"/>
            </w:tcBorders>
            <w:vAlign w:val="center"/>
          </w:tcPr>
          <w:p w14:paraId="385685DD">
            <w:pPr>
              <w:spacing w:line="240" w:lineRule="exact"/>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700" w:type="dxa"/>
            <w:vMerge w:val="restart"/>
            <w:tcBorders>
              <w:bottom w:val="nil"/>
            </w:tcBorders>
            <w:vAlign w:val="center"/>
          </w:tcPr>
          <w:p w14:paraId="3972F72E">
            <w:pPr>
              <w:pStyle w:val="36"/>
              <w:spacing w:line="240" w:lineRule="exact"/>
              <w:ind w:firstLine="0" w:firstLineChars="0"/>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亩均投资强度</w:t>
            </w:r>
          </w:p>
          <w:p w14:paraId="6EAEA28D">
            <w:pPr>
              <w:pStyle w:val="36"/>
              <w:spacing w:line="240" w:lineRule="exact"/>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（5分）</w:t>
            </w:r>
          </w:p>
        </w:tc>
        <w:tc>
          <w:tcPr>
            <w:tcW w:w="6783" w:type="dxa"/>
            <w:vAlign w:val="center"/>
          </w:tcPr>
          <w:p w14:paraId="7B557819">
            <w:pPr>
              <w:pStyle w:val="36"/>
              <w:spacing w:line="240" w:lineRule="exact"/>
              <w:ind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不低于300万元/亩，实现可能性高</w:t>
            </w:r>
          </w:p>
        </w:tc>
        <w:tc>
          <w:tcPr>
            <w:tcW w:w="984" w:type="dxa"/>
            <w:vAlign w:val="center"/>
          </w:tcPr>
          <w:p w14:paraId="17C57B41">
            <w:pPr>
              <w:pStyle w:val="36"/>
              <w:spacing w:line="240" w:lineRule="exact"/>
              <w:ind w:firstLine="4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3-5</w:t>
            </w:r>
          </w:p>
        </w:tc>
        <w:tc>
          <w:tcPr>
            <w:tcW w:w="683" w:type="dxa"/>
            <w:vAlign w:val="center"/>
          </w:tcPr>
          <w:p w14:paraId="58E26ED6">
            <w:pPr>
              <w:spacing w:line="240" w:lineRule="exact"/>
              <w:ind w:firstLine="0" w:firstLineChars="0"/>
              <w:rPr>
                <w:rFonts w:hint="eastAsia" w:asciiTheme="minorEastAsia" w:hAnsiTheme="minorEastAsia" w:eastAsiaTheme="minorEastAsia" w:cstheme="minorEastAsia"/>
                <w:sz w:val="21"/>
              </w:rPr>
            </w:pPr>
          </w:p>
        </w:tc>
        <w:tc>
          <w:tcPr>
            <w:tcW w:w="1609" w:type="dxa"/>
            <w:vMerge w:val="restart"/>
            <w:vAlign w:val="center"/>
          </w:tcPr>
          <w:p w14:paraId="429447BA">
            <w:pPr>
              <w:spacing w:line="240" w:lineRule="exact"/>
              <w:ind w:firstLine="0" w:firstLineChars="0"/>
              <w:rPr>
                <w:rFonts w:hint="eastAsia" w:asciiTheme="minorEastAsia" w:hAnsiTheme="minorEastAsia" w:eastAsiaTheme="minorEastAsia" w:cstheme="minorEastAsia"/>
                <w:sz w:val="21"/>
              </w:rPr>
            </w:pPr>
          </w:p>
        </w:tc>
      </w:tr>
      <w:tr w14:paraId="2FEE2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1313" w:type="dxa"/>
            <w:vMerge w:val="continue"/>
            <w:tcBorders>
              <w:top w:val="nil"/>
              <w:bottom w:val="nil"/>
            </w:tcBorders>
            <w:vAlign w:val="center"/>
          </w:tcPr>
          <w:p w14:paraId="31C63F96">
            <w:pPr>
              <w:spacing w:line="240" w:lineRule="exact"/>
              <w:ind w:firstLine="420"/>
              <w:rPr>
                <w:rFonts w:hint="eastAsia" w:asciiTheme="minorEastAsia" w:hAnsiTheme="minorEastAsia" w:eastAsiaTheme="minorEastAsia" w:cstheme="minorEastAsia"/>
                <w:sz w:val="21"/>
              </w:rPr>
            </w:pPr>
          </w:p>
        </w:tc>
        <w:tc>
          <w:tcPr>
            <w:tcW w:w="817" w:type="dxa"/>
            <w:vMerge w:val="continue"/>
            <w:tcBorders>
              <w:top w:val="nil"/>
              <w:bottom w:val="nil"/>
            </w:tcBorders>
            <w:vAlign w:val="center"/>
          </w:tcPr>
          <w:p w14:paraId="10557A81">
            <w:pPr>
              <w:spacing w:line="240" w:lineRule="exact"/>
              <w:ind w:firstLine="420"/>
              <w:rPr>
                <w:rFonts w:hint="eastAsia" w:asciiTheme="minorEastAsia" w:hAnsiTheme="minorEastAsia" w:eastAsiaTheme="minorEastAsia" w:cstheme="minorEastAsia"/>
                <w:sz w:val="21"/>
              </w:rPr>
            </w:pPr>
          </w:p>
        </w:tc>
        <w:tc>
          <w:tcPr>
            <w:tcW w:w="1700" w:type="dxa"/>
            <w:vMerge w:val="continue"/>
            <w:tcBorders>
              <w:top w:val="nil"/>
              <w:bottom w:val="nil"/>
            </w:tcBorders>
            <w:vAlign w:val="center"/>
          </w:tcPr>
          <w:p w14:paraId="1961E8E5">
            <w:pPr>
              <w:spacing w:line="240" w:lineRule="exact"/>
              <w:ind w:firstLine="420"/>
              <w:jc w:val="center"/>
              <w:rPr>
                <w:rFonts w:hint="eastAsia" w:asciiTheme="minorEastAsia" w:hAnsiTheme="minorEastAsia" w:eastAsiaTheme="minorEastAsia" w:cstheme="minorEastAsia"/>
                <w:sz w:val="21"/>
              </w:rPr>
            </w:pPr>
          </w:p>
        </w:tc>
        <w:tc>
          <w:tcPr>
            <w:tcW w:w="6783" w:type="dxa"/>
            <w:vAlign w:val="center"/>
          </w:tcPr>
          <w:p w14:paraId="7334C7EA">
            <w:pPr>
              <w:pStyle w:val="36"/>
              <w:spacing w:line="240" w:lineRule="exact"/>
              <w:ind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不低于300万元/亩，实现可能性较高</w:t>
            </w:r>
          </w:p>
        </w:tc>
        <w:tc>
          <w:tcPr>
            <w:tcW w:w="984" w:type="dxa"/>
            <w:vAlign w:val="center"/>
          </w:tcPr>
          <w:p w14:paraId="5E4397E2">
            <w:pPr>
              <w:pStyle w:val="36"/>
              <w:spacing w:line="240" w:lineRule="exact"/>
              <w:ind w:firstLine="4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0-2</w:t>
            </w:r>
          </w:p>
        </w:tc>
        <w:tc>
          <w:tcPr>
            <w:tcW w:w="683" w:type="dxa"/>
            <w:vAlign w:val="center"/>
          </w:tcPr>
          <w:p w14:paraId="4D54468D">
            <w:pPr>
              <w:spacing w:line="240" w:lineRule="exact"/>
              <w:ind w:firstLine="420"/>
              <w:rPr>
                <w:rFonts w:hint="eastAsia" w:asciiTheme="minorEastAsia" w:hAnsiTheme="minorEastAsia" w:eastAsiaTheme="minorEastAsia" w:cstheme="minorEastAsia"/>
                <w:sz w:val="21"/>
              </w:rPr>
            </w:pPr>
          </w:p>
        </w:tc>
        <w:tc>
          <w:tcPr>
            <w:tcW w:w="1609" w:type="dxa"/>
            <w:vMerge w:val="continue"/>
            <w:vAlign w:val="center"/>
          </w:tcPr>
          <w:p w14:paraId="1E7BD448">
            <w:pPr>
              <w:spacing w:line="240" w:lineRule="exact"/>
              <w:ind w:firstLine="420"/>
              <w:rPr>
                <w:rFonts w:hint="eastAsia" w:asciiTheme="minorEastAsia" w:hAnsiTheme="minorEastAsia" w:eastAsiaTheme="minorEastAsia" w:cstheme="minorEastAsia"/>
                <w:sz w:val="21"/>
              </w:rPr>
            </w:pPr>
          </w:p>
        </w:tc>
      </w:tr>
      <w:tr w14:paraId="46C4A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313" w:type="dxa"/>
            <w:vMerge w:val="continue"/>
            <w:tcBorders>
              <w:top w:val="nil"/>
              <w:bottom w:val="nil"/>
            </w:tcBorders>
            <w:vAlign w:val="center"/>
          </w:tcPr>
          <w:p w14:paraId="0245BED0">
            <w:pPr>
              <w:spacing w:line="240" w:lineRule="exact"/>
              <w:ind w:firstLine="420"/>
              <w:rPr>
                <w:rFonts w:hint="eastAsia" w:asciiTheme="minorEastAsia" w:hAnsiTheme="minorEastAsia" w:eastAsiaTheme="minorEastAsia" w:cstheme="minorEastAsia"/>
                <w:sz w:val="21"/>
              </w:rPr>
            </w:pPr>
          </w:p>
        </w:tc>
        <w:tc>
          <w:tcPr>
            <w:tcW w:w="817" w:type="dxa"/>
            <w:vMerge w:val="continue"/>
            <w:tcBorders>
              <w:top w:val="nil"/>
            </w:tcBorders>
            <w:vAlign w:val="center"/>
          </w:tcPr>
          <w:p w14:paraId="70B62ABF">
            <w:pPr>
              <w:spacing w:line="240" w:lineRule="exact"/>
              <w:ind w:firstLine="420"/>
              <w:rPr>
                <w:rFonts w:hint="eastAsia" w:asciiTheme="minorEastAsia" w:hAnsiTheme="minorEastAsia" w:eastAsiaTheme="minorEastAsia" w:cstheme="minorEastAsia"/>
                <w:sz w:val="21"/>
              </w:rPr>
            </w:pPr>
          </w:p>
        </w:tc>
        <w:tc>
          <w:tcPr>
            <w:tcW w:w="1700" w:type="dxa"/>
            <w:vMerge w:val="continue"/>
            <w:tcBorders>
              <w:top w:val="nil"/>
            </w:tcBorders>
            <w:vAlign w:val="center"/>
          </w:tcPr>
          <w:p w14:paraId="73108C89">
            <w:pPr>
              <w:spacing w:line="240" w:lineRule="exact"/>
              <w:ind w:firstLine="420"/>
              <w:jc w:val="center"/>
              <w:rPr>
                <w:rFonts w:hint="eastAsia" w:asciiTheme="minorEastAsia" w:hAnsiTheme="minorEastAsia" w:eastAsiaTheme="minorEastAsia" w:cstheme="minorEastAsia"/>
                <w:sz w:val="21"/>
              </w:rPr>
            </w:pPr>
          </w:p>
        </w:tc>
        <w:tc>
          <w:tcPr>
            <w:tcW w:w="6783" w:type="dxa"/>
            <w:vAlign w:val="center"/>
          </w:tcPr>
          <w:p w14:paraId="7C3A0EE9">
            <w:pPr>
              <w:pStyle w:val="36"/>
              <w:spacing w:line="240" w:lineRule="exact"/>
              <w:ind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不低于300万元/亩，实现可能性一般</w:t>
            </w:r>
          </w:p>
        </w:tc>
        <w:tc>
          <w:tcPr>
            <w:tcW w:w="984" w:type="dxa"/>
            <w:vAlign w:val="center"/>
          </w:tcPr>
          <w:p w14:paraId="60011B60">
            <w:pPr>
              <w:pStyle w:val="36"/>
              <w:spacing w:line="24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w:t>
            </w:r>
          </w:p>
        </w:tc>
        <w:tc>
          <w:tcPr>
            <w:tcW w:w="683" w:type="dxa"/>
            <w:vAlign w:val="center"/>
          </w:tcPr>
          <w:p w14:paraId="7C29713F">
            <w:pPr>
              <w:spacing w:line="240" w:lineRule="exact"/>
              <w:ind w:firstLine="420"/>
              <w:rPr>
                <w:rFonts w:hint="eastAsia" w:asciiTheme="minorEastAsia" w:hAnsiTheme="minorEastAsia" w:eastAsiaTheme="minorEastAsia" w:cstheme="minorEastAsia"/>
                <w:sz w:val="21"/>
              </w:rPr>
            </w:pPr>
          </w:p>
        </w:tc>
        <w:tc>
          <w:tcPr>
            <w:tcW w:w="1609" w:type="dxa"/>
            <w:vMerge w:val="continue"/>
            <w:vAlign w:val="center"/>
          </w:tcPr>
          <w:p w14:paraId="54C36E49">
            <w:pPr>
              <w:spacing w:line="240" w:lineRule="exact"/>
              <w:ind w:firstLine="420"/>
              <w:rPr>
                <w:rFonts w:hint="eastAsia" w:asciiTheme="minorEastAsia" w:hAnsiTheme="minorEastAsia" w:eastAsiaTheme="minorEastAsia" w:cstheme="minorEastAsia"/>
                <w:sz w:val="21"/>
              </w:rPr>
            </w:pPr>
          </w:p>
        </w:tc>
      </w:tr>
      <w:tr w14:paraId="6352D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13" w:type="dxa"/>
            <w:vMerge w:val="continue"/>
            <w:tcBorders>
              <w:top w:val="nil"/>
              <w:bottom w:val="nil"/>
            </w:tcBorders>
            <w:vAlign w:val="center"/>
          </w:tcPr>
          <w:p w14:paraId="0DEFB800">
            <w:pPr>
              <w:spacing w:line="240" w:lineRule="exact"/>
              <w:ind w:firstLine="420"/>
              <w:rPr>
                <w:rFonts w:hint="eastAsia" w:asciiTheme="minorEastAsia" w:hAnsiTheme="minorEastAsia" w:eastAsiaTheme="minorEastAsia" w:cstheme="minorEastAsia"/>
                <w:sz w:val="21"/>
              </w:rPr>
            </w:pPr>
          </w:p>
        </w:tc>
        <w:tc>
          <w:tcPr>
            <w:tcW w:w="817" w:type="dxa"/>
            <w:vMerge w:val="restart"/>
            <w:tcBorders>
              <w:bottom w:val="nil"/>
            </w:tcBorders>
            <w:vAlign w:val="center"/>
          </w:tcPr>
          <w:p w14:paraId="53DB295D">
            <w:pPr>
              <w:spacing w:line="240" w:lineRule="exact"/>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700" w:type="dxa"/>
            <w:vMerge w:val="restart"/>
            <w:tcBorders>
              <w:bottom w:val="nil"/>
            </w:tcBorders>
            <w:vAlign w:val="center"/>
          </w:tcPr>
          <w:p w14:paraId="3F4D8231">
            <w:pPr>
              <w:pStyle w:val="36"/>
              <w:spacing w:line="240" w:lineRule="exact"/>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亩均税收</w:t>
            </w:r>
          </w:p>
          <w:p w14:paraId="28968324">
            <w:pPr>
              <w:pStyle w:val="36"/>
              <w:spacing w:line="240" w:lineRule="exact"/>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（5分）</w:t>
            </w:r>
          </w:p>
        </w:tc>
        <w:tc>
          <w:tcPr>
            <w:tcW w:w="6783" w:type="dxa"/>
            <w:vAlign w:val="center"/>
          </w:tcPr>
          <w:p w14:paraId="73D94A1A">
            <w:pPr>
              <w:pStyle w:val="36"/>
              <w:spacing w:line="240" w:lineRule="exact"/>
              <w:ind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不低于30万元/亩，实现可能性高</w:t>
            </w:r>
          </w:p>
        </w:tc>
        <w:tc>
          <w:tcPr>
            <w:tcW w:w="984" w:type="dxa"/>
            <w:vAlign w:val="center"/>
          </w:tcPr>
          <w:p w14:paraId="780EC28F">
            <w:pPr>
              <w:pStyle w:val="36"/>
              <w:spacing w:line="240" w:lineRule="exact"/>
              <w:ind w:firstLine="4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3-5</w:t>
            </w:r>
          </w:p>
        </w:tc>
        <w:tc>
          <w:tcPr>
            <w:tcW w:w="683" w:type="dxa"/>
            <w:vAlign w:val="center"/>
          </w:tcPr>
          <w:p w14:paraId="32FD99CE">
            <w:pPr>
              <w:spacing w:line="240" w:lineRule="exact"/>
              <w:ind w:firstLine="420"/>
              <w:rPr>
                <w:rFonts w:hint="eastAsia" w:asciiTheme="minorEastAsia" w:hAnsiTheme="minorEastAsia" w:eastAsiaTheme="minorEastAsia" w:cstheme="minorEastAsia"/>
                <w:sz w:val="21"/>
              </w:rPr>
            </w:pPr>
          </w:p>
        </w:tc>
        <w:tc>
          <w:tcPr>
            <w:tcW w:w="1609" w:type="dxa"/>
            <w:vMerge w:val="continue"/>
            <w:vAlign w:val="center"/>
          </w:tcPr>
          <w:p w14:paraId="5326B679">
            <w:pPr>
              <w:spacing w:line="240" w:lineRule="exact"/>
              <w:ind w:firstLine="420"/>
              <w:rPr>
                <w:rFonts w:hint="eastAsia" w:asciiTheme="minorEastAsia" w:hAnsiTheme="minorEastAsia" w:eastAsiaTheme="minorEastAsia" w:cstheme="minorEastAsia"/>
                <w:sz w:val="21"/>
              </w:rPr>
            </w:pPr>
          </w:p>
        </w:tc>
      </w:tr>
      <w:tr w14:paraId="245D3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1313" w:type="dxa"/>
            <w:vMerge w:val="continue"/>
            <w:tcBorders>
              <w:top w:val="nil"/>
              <w:bottom w:val="nil"/>
            </w:tcBorders>
            <w:vAlign w:val="center"/>
          </w:tcPr>
          <w:p w14:paraId="4A1B85E1">
            <w:pPr>
              <w:spacing w:line="240" w:lineRule="exact"/>
              <w:ind w:firstLine="420"/>
              <w:rPr>
                <w:rFonts w:hint="eastAsia" w:asciiTheme="minorEastAsia" w:hAnsiTheme="minorEastAsia" w:eastAsiaTheme="minorEastAsia" w:cstheme="minorEastAsia"/>
                <w:sz w:val="21"/>
              </w:rPr>
            </w:pPr>
          </w:p>
        </w:tc>
        <w:tc>
          <w:tcPr>
            <w:tcW w:w="817" w:type="dxa"/>
            <w:vMerge w:val="continue"/>
            <w:tcBorders>
              <w:top w:val="nil"/>
              <w:bottom w:val="nil"/>
            </w:tcBorders>
            <w:vAlign w:val="center"/>
          </w:tcPr>
          <w:p w14:paraId="1CF965F9">
            <w:pPr>
              <w:spacing w:line="240" w:lineRule="exact"/>
              <w:ind w:firstLine="420"/>
              <w:rPr>
                <w:rFonts w:hint="eastAsia" w:asciiTheme="minorEastAsia" w:hAnsiTheme="minorEastAsia" w:eastAsiaTheme="minorEastAsia" w:cstheme="minorEastAsia"/>
                <w:sz w:val="21"/>
              </w:rPr>
            </w:pPr>
          </w:p>
        </w:tc>
        <w:tc>
          <w:tcPr>
            <w:tcW w:w="1700" w:type="dxa"/>
            <w:vMerge w:val="continue"/>
            <w:tcBorders>
              <w:top w:val="nil"/>
              <w:bottom w:val="nil"/>
            </w:tcBorders>
            <w:vAlign w:val="center"/>
          </w:tcPr>
          <w:p w14:paraId="34CF8053">
            <w:pPr>
              <w:spacing w:line="240" w:lineRule="exact"/>
              <w:ind w:firstLine="420"/>
              <w:rPr>
                <w:rFonts w:hint="eastAsia" w:asciiTheme="minorEastAsia" w:hAnsiTheme="minorEastAsia" w:eastAsiaTheme="minorEastAsia" w:cstheme="minorEastAsia"/>
                <w:sz w:val="21"/>
              </w:rPr>
            </w:pPr>
          </w:p>
        </w:tc>
        <w:tc>
          <w:tcPr>
            <w:tcW w:w="6783" w:type="dxa"/>
            <w:vAlign w:val="center"/>
          </w:tcPr>
          <w:p w14:paraId="71096551">
            <w:pPr>
              <w:pStyle w:val="36"/>
              <w:spacing w:line="240" w:lineRule="exact"/>
              <w:ind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不低于30万元/亩，实现可能性较高</w:t>
            </w:r>
          </w:p>
        </w:tc>
        <w:tc>
          <w:tcPr>
            <w:tcW w:w="984" w:type="dxa"/>
            <w:vAlign w:val="center"/>
          </w:tcPr>
          <w:p w14:paraId="62058481">
            <w:pPr>
              <w:pStyle w:val="36"/>
              <w:spacing w:line="240" w:lineRule="exact"/>
              <w:ind w:firstLine="4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0-2</w:t>
            </w:r>
          </w:p>
        </w:tc>
        <w:tc>
          <w:tcPr>
            <w:tcW w:w="683" w:type="dxa"/>
            <w:vAlign w:val="center"/>
          </w:tcPr>
          <w:p w14:paraId="2DE179E1">
            <w:pPr>
              <w:spacing w:line="240" w:lineRule="exact"/>
              <w:ind w:firstLine="420"/>
              <w:rPr>
                <w:rFonts w:hint="eastAsia" w:asciiTheme="minorEastAsia" w:hAnsiTheme="minorEastAsia" w:eastAsiaTheme="minorEastAsia" w:cstheme="minorEastAsia"/>
                <w:sz w:val="21"/>
              </w:rPr>
            </w:pPr>
          </w:p>
        </w:tc>
        <w:tc>
          <w:tcPr>
            <w:tcW w:w="1609" w:type="dxa"/>
            <w:vMerge w:val="continue"/>
            <w:vAlign w:val="center"/>
          </w:tcPr>
          <w:p w14:paraId="3C82CAE5">
            <w:pPr>
              <w:spacing w:line="240" w:lineRule="exact"/>
              <w:ind w:firstLine="420"/>
              <w:rPr>
                <w:rFonts w:hint="eastAsia" w:asciiTheme="minorEastAsia" w:hAnsiTheme="minorEastAsia" w:eastAsiaTheme="minorEastAsia" w:cstheme="minorEastAsia"/>
                <w:sz w:val="21"/>
              </w:rPr>
            </w:pPr>
          </w:p>
        </w:tc>
      </w:tr>
      <w:tr w14:paraId="511DB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1313" w:type="dxa"/>
            <w:vMerge w:val="continue"/>
            <w:tcBorders>
              <w:top w:val="nil"/>
            </w:tcBorders>
            <w:vAlign w:val="center"/>
          </w:tcPr>
          <w:p w14:paraId="58423ED3">
            <w:pPr>
              <w:spacing w:line="240" w:lineRule="exact"/>
              <w:ind w:firstLine="420"/>
              <w:rPr>
                <w:rFonts w:hint="eastAsia" w:asciiTheme="minorEastAsia" w:hAnsiTheme="minorEastAsia" w:eastAsiaTheme="minorEastAsia" w:cstheme="minorEastAsia"/>
                <w:sz w:val="21"/>
              </w:rPr>
            </w:pPr>
          </w:p>
        </w:tc>
        <w:tc>
          <w:tcPr>
            <w:tcW w:w="817" w:type="dxa"/>
            <w:vMerge w:val="continue"/>
            <w:tcBorders>
              <w:top w:val="nil"/>
            </w:tcBorders>
            <w:vAlign w:val="center"/>
          </w:tcPr>
          <w:p w14:paraId="728DD1C3">
            <w:pPr>
              <w:spacing w:line="240" w:lineRule="exact"/>
              <w:ind w:firstLine="420"/>
              <w:rPr>
                <w:rFonts w:hint="eastAsia" w:asciiTheme="minorEastAsia" w:hAnsiTheme="minorEastAsia" w:eastAsiaTheme="minorEastAsia" w:cstheme="minorEastAsia"/>
                <w:sz w:val="21"/>
              </w:rPr>
            </w:pPr>
          </w:p>
        </w:tc>
        <w:tc>
          <w:tcPr>
            <w:tcW w:w="1700" w:type="dxa"/>
            <w:vMerge w:val="continue"/>
            <w:tcBorders>
              <w:top w:val="nil"/>
            </w:tcBorders>
            <w:vAlign w:val="center"/>
          </w:tcPr>
          <w:p w14:paraId="7AEBDDCC">
            <w:pPr>
              <w:spacing w:line="240" w:lineRule="exact"/>
              <w:ind w:firstLine="420"/>
              <w:rPr>
                <w:rFonts w:hint="eastAsia" w:asciiTheme="minorEastAsia" w:hAnsiTheme="minorEastAsia" w:eastAsiaTheme="minorEastAsia" w:cstheme="minorEastAsia"/>
                <w:sz w:val="21"/>
              </w:rPr>
            </w:pPr>
          </w:p>
        </w:tc>
        <w:tc>
          <w:tcPr>
            <w:tcW w:w="6783" w:type="dxa"/>
            <w:vAlign w:val="center"/>
          </w:tcPr>
          <w:p w14:paraId="5B6DF0C2">
            <w:pPr>
              <w:pStyle w:val="36"/>
              <w:spacing w:line="240" w:lineRule="exact"/>
              <w:ind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不低于30万元/亩，实现可能性一般</w:t>
            </w:r>
          </w:p>
        </w:tc>
        <w:tc>
          <w:tcPr>
            <w:tcW w:w="984" w:type="dxa"/>
            <w:vAlign w:val="center"/>
          </w:tcPr>
          <w:p w14:paraId="454468E7">
            <w:pPr>
              <w:pStyle w:val="36"/>
              <w:spacing w:line="24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w:t>
            </w:r>
          </w:p>
        </w:tc>
        <w:tc>
          <w:tcPr>
            <w:tcW w:w="683" w:type="dxa"/>
            <w:vAlign w:val="center"/>
          </w:tcPr>
          <w:p w14:paraId="29CEB2C5">
            <w:pPr>
              <w:spacing w:line="240" w:lineRule="exact"/>
              <w:ind w:firstLine="420"/>
              <w:rPr>
                <w:rFonts w:hint="eastAsia" w:asciiTheme="minorEastAsia" w:hAnsiTheme="minorEastAsia" w:eastAsiaTheme="minorEastAsia" w:cstheme="minorEastAsia"/>
                <w:sz w:val="21"/>
              </w:rPr>
            </w:pPr>
          </w:p>
        </w:tc>
        <w:tc>
          <w:tcPr>
            <w:tcW w:w="1609" w:type="dxa"/>
            <w:vMerge w:val="continue"/>
            <w:vAlign w:val="center"/>
          </w:tcPr>
          <w:p w14:paraId="209A2731">
            <w:pPr>
              <w:spacing w:line="240" w:lineRule="exact"/>
              <w:ind w:firstLine="420"/>
              <w:rPr>
                <w:rFonts w:hint="eastAsia" w:asciiTheme="minorEastAsia" w:hAnsiTheme="minorEastAsia" w:eastAsiaTheme="minorEastAsia" w:cstheme="minorEastAsia"/>
                <w:sz w:val="21"/>
              </w:rPr>
            </w:pPr>
          </w:p>
        </w:tc>
      </w:tr>
      <w:tr w14:paraId="786AE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313" w:type="dxa"/>
            <w:vAlign w:val="center"/>
          </w:tcPr>
          <w:p w14:paraId="4B54AC00">
            <w:pPr>
              <w:spacing w:line="240" w:lineRule="exact"/>
              <w:ind w:firstLine="0" w:firstLineChars="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4"/>
                <w:sz w:val="24"/>
                <w:szCs w:val="24"/>
              </w:rPr>
              <w:t>评价要素</w:t>
            </w:r>
          </w:p>
        </w:tc>
        <w:tc>
          <w:tcPr>
            <w:tcW w:w="817" w:type="dxa"/>
            <w:vAlign w:val="center"/>
          </w:tcPr>
          <w:p w14:paraId="001DFD2E">
            <w:pPr>
              <w:spacing w:line="240" w:lineRule="exact"/>
              <w:ind w:firstLine="0" w:firstLineChars="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7"/>
                <w:sz w:val="24"/>
                <w:szCs w:val="24"/>
              </w:rPr>
              <w:t>序号</w:t>
            </w:r>
          </w:p>
        </w:tc>
        <w:tc>
          <w:tcPr>
            <w:tcW w:w="1700" w:type="dxa"/>
            <w:vAlign w:val="center"/>
          </w:tcPr>
          <w:p w14:paraId="0F793A70">
            <w:pPr>
              <w:spacing w:line="240" w:lineRule="exact"/>
              <w:ind w:firstLine="0" w:firstLineChars="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4"/>
                <w:sz w:val="24"/>
                <w:szCs w:val="24"/>
              </w:rPr>
              <w:t>评审因素</w:t>
            </w:r>
          </w:p>
        </w:tc>
        <w:tc>
          <w:tcPr>
            <w:tcW w:w="6783" w:type="dxa"/>
            <w:vAlign w:val="center"/>
          </w:tcPr>
          <w:p w14:paraId="6B00D5A0">
            <w:pPr>
              <w:spacing w:line="240" w:lineRule="exact"/>
              <w:ind w:firstLine="466"/>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4"/>
                <w:sz w:val="24"/>
                <w:szCs w:val="24"/>
              </w:rPr>
              <w:t>评分标准</w:t>
            </w:r>
          </w:p>
        </w:tc>
        <w:tc>
          <w:tcPr>
            <w:tcW w:w="984" w:type="dxa"/>
            <w:vAlign w:val="center"/>
          </w:tcPr>
          <w:p w14:paraId="70DF203B">
            <w:pPr>
              <w:spacing w:line="240" w:lineRule="exact"/>
              <w:ind w:firstLine="0" w:firstLineChars="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3"/>
                <w:sz w:val="24"/>
                <w:szCs w:val="24"/>
              </w:rPr>
              <w:t>标准分值</w:t>
            </w:r>
          </w:p>
        </w:tc>
        <w:tc>
          <w:tcPr>
            <w:tcW w:w="683" w:type="dxa"/>
            <w:vAlign w:val="center"/>
          </w:tcPr>
          <w:p w14:paraId="4A75BDCF">
            <w:pPr>
              <w:spacing w:line="240" w:lineRule="exact"/>
              <w:ind w:firstLine="0" w:firstLineChars="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7"/>
                <w:sz w:val="24"/>
                <w:szCs w:val="24"/>
              </w:rPr>
              <w:t>评分</w:t>
            </w:r>
          </w:p>
        </w:tc>
        <w:tc>
          <w:tcPr>
            <w:tcW w:w="1609" w:type="dxa"/>
            <w:vAlign w:val="center"/>
          </w:tcPr>
          <w:p w14:paraId="3013B252">
            <w:pPr>
              <w:spacing w:line="240" w:lineRule="exact"/>
              <w:ind w:firstLine="0" w:firstLineChars="0"/>
              <w:jc w:val="center"/>
              <w:rPr>
                <w:rFonts w:hint="eastAsia" w:asciiTheme="minorEastAsia" w:hAnsiTheme="minorEastAsia" w:eastAsiaTheme="minorEastAsia" w:cstheme="minorEastAsia"/>
                <w:b/>
                <w:bCs/>
                <w:spacing w:val="-7"/>
                <w:sz w:val="24"/>
                <w:szCs w:val="24"/>
              </w:rPr>
            </w:pPr>
            <w:r>
              <w:rPr>
                <w:rFonts w:hint="eastAsia" w:asciiTheme="minorEastAsia" w:hAnsiTheme="minorEastAsia" w:eastAsiaTheme="minorEastAsia" w:cstheme="minorEastAsia"/>
                <w:b/>
                <w:bCs/>
                <w:spacing w:val="-7"/>
                <w:sz w:val="24"/>
                <w:szCs w:val="24"/>
              </w:rPr>
              <w:t>备注</w:t>
            </w:r>
          </w:p>
        </w:tc>
      </w:tr>
      <w:tr w14:paraId="6C091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313" w:type="dxa"/>
            <w:vMerge w:val="restart"/>
            <w:tcBorders>
              <w:bottom w:val="nil"/>
            </w:tcBorders>
            <w:vAlign w:val="center"/>
          </w:tcPr>
          <w:p w14:paraId="5D3B04D0">
            <w:pPr>
              <w:pStyle w:val="36"/>
              <w:spacing w:line="240" w:lineRule="exact"/>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工艺设备要求（10分）</w:t>
            </w:r>
          </w:p>
        </w:tc>
        <w:tc>
          <w:tcPr>
            <w:tcW w:w="817" w:type="dxa"/>
            <w:vMerge w:val="restart"/>
            <w:tcBorders>
              <w:bottom w:val="nil"/>
            </w:tcBorders>
            <w:vAlign w:val="center"/>
          </w:tcPr>
          <w:p w14:paraId="0B9442E1">
            <w:pPr>
              <w:spacing w:line="24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8</w:t>
            </w:r>
          </w:p>
        </w:tc>
        <w:tc>
          <w:tcPr>
            <w:tcW w:w="1700" w:type="dxa"/>
            <w:vMerge w:val="restart"/>
            <w:tcBorders>
              <w:bottom w:val="nil"/>
            </w:tcBorders>
            <w:vAlign w:val="center"/>
          </w:tcPr>
          <w:p w14:paraId="7EB90CE4">
            <w:pPr>
              <w:pStyle w:val="36"/>
              <w:spacing w:line="240" w:lineRule="exact"/>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技术路线先进性（4分）</w:t>
            </w:r>
          </w:p>
        </w:tc>
        <w:tc>
          <w:tcPr>
            <w:tcW w:w="6783" w:type="dxa"/>
            <w:vAlign w:val="center"/>
          </w:tcPr>
          <w:p w14:paraId="25768D24">
            <w:pPr>
              <w:pStyle w:val="36"/>
              <w:spacing w:line="240" w:lineRule="exact"/>
              <w:ind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技术路线体现先进性特点，技术水平超出或达到国际</w:t>
            </w:r>
            <w:r>
              <w:rPr>
                <w:rFonts w:hint="eastAsia" w:asciiTheme="minorEastAsia" w:hAnsiTheme="minorEastAsia" w:eastAsiaTheme="minorEastAsia" w:cstheme="minorEastAsia"/>
                <w:spacing w:val="-3"/>
                <w:sz w:val="24"/>
                <w:szCs w:val="24"/>
                <w:lang w:eastAsia="zh-CN"/>
              </w:rPr>
              <w:t>专业或工业水平</w:t>
            </w:r>
          </w:p>
        </w:tc>
        <w:tc>
          <w:tcPr>
            <w:tcW w:w="984" w:type="dxa"/>
            <w:vAlign w:val="center"/>
          </w:tcPr>
          <w:p w14:paraId="1127DFA0">
            <w:pPr>
              <w:pStyle w:val="36"/>
              <w:spacing w:line="240" w:lineRule="exact"/>
              <w:ind w:firstLine="4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lang w:eastAsia="zh-CN"/>
              </w:rPr>
              <w:t>3</w:t>
            </w:r>
            <w:r>
              <w:rPr>
                <w:rFonts w:hint="eastAsia" w:asciiTheme="minorEastAsia" w:hAnsiTheme="minorEastAsia" w:eastAsiaTheme="minorEastAsia" w:cstheme="minorEastAsia"/>
                <w:spacing w:val="-10"/>
                <w:sz w:val="24"/>
                <w:szCs w:val="24"/>
              </w:rPr>
              <w:t>-4</w:t>
            </w:r>
          </w:p>
        </w:tc>
        <w:tc>
          <w:tcPr>
            <w:tcW w:w="683" w:type="dxa"/>
            <w:vAlign w:val="center"/>
          </w:tcPr>
          <w:p w14:paraId="7D2F7426">
            <w:pPr>
              <w:spacing w:line="240" w:lineRule="exact"/>
              <w:ind w:firstLine="420"/>
              <w:rPr>
                <w:rFonts w:hint="eastAsia" w:asciiTheme="minorEastAsia" w:hAnsiTheme="minorEastAsia" w:eastAsiaTheme="minorEastAsia" w:cstheme="minorEastAsia"/>
                <w:sz w:val="21"/>
              </w:rPr>
            </w:pPr>
          </w:p>
        </w:tc>
        <w:tc>
          <w:tcPr>
            <w:tcW w:w="1609" w:type="dxa"/>
            <w:vMerge w:val="restart"/>
            <w:tcBorders>
              <w:bottom w:val="nil"/>
            </w:tcBorders>
            <w:vAlign w:val="center"/>
          </w:tcPr>
          <w:p w14:paraId="19192154">
            <w:pPr>
              <w:spacing w:line="240" w:lineRule="exact"/>
              <w:ind w:firstLine="420"/>
              <w:rPr>
                <w:rFonts w:hint="eastAsia" w:asciiTheme="minorEastAsia" w:hAnsiTheme="minorEastAsia" w:eastAsiaTheme="minorEastAsia" w:cstheme="minorEastAsia"/>
                <w:sz w:val="21"/>
              </w:rPr>
            </w:pPr>
          </w:p>
        </w:tc>
      </w:tr>
      <w:tr w14:paraId="6C79E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313" w:type="dxa"/>
            <w:vMerge w:val="continue"/>
            <w:tcBorders>
              <w:top w:val="nil"/>
              <w:bottom w:val="nil"/>
            </w:tcBorders>
            <w:vAlign w:val="center"/>
          </w:tcPr>
          <w:p w14:paraId="685C9BD3">
            <w:pPr>
              <w:spacing w:line="240" w:lineRule="exact"/>
              <w:ind w:firstLine="420"/>
              <w:jc w:val="center"/>
              <w:rPr>
                <w:rFonts w:hint="eastAsia" w:asciiTheme="minorEastAsia" w:hAnsiTheme="minorEastAsia" w:eastAsiaTheme="minorEastAsia" w:cstheme="minorEastAsia"/>
                <w:sz w:val="21"/>
              </w:rPr>
            </w:pPr>
          </w:p>
        </w:tc>
        <w:tc>
          <w:tcPr>
            <w:tcW w:w="817" w:type="dxa"/>
            <w:vMerge w:val="continue"/>
            <w:tcBorders>
              <w:top w:val="nil"/>
              <w:bottom w:val="nil"/>
            </w:tcBorders>
            <w:vAlign w:val="center"/>
          </w:tcPr>
          <w:p w14:paraId="660DA29C">
            <w:pPr>
              <w:spacing w:line="240" w:lineRule="exact"/>
              <w:ind w:firstLine="420"/>
              <w:jc w:val="center"/>
              <w:rPr>
                <w:rFonts w:hint="eastAsia" w:asciiTheme="minorEastAsia" w:hAnsiTheme="minorEastAsia" w:eastAsiaTheme="minorEastAsia" w:cstheme="minorEastAsia"/>
                <w:sz w:val="21"/>
              </w:rPr>
            </w:pPr>
          </w:p>
        </w:tc>
        <w:tc>
          <w:tcPr>
            <w:tcW w:w="1700" w:type="dxa"/>
            <w:vMerge w:val="continue"/>
            <w:tcBorders>
              <w:top w:val="nil"/>
              <w:bottom w:val="nil"/>
            </w:tcBorders>
            <w:vAlign w:val="center"/>
          </w:tcPr>
          <w:p w14:paraId="5F3108E2">
            <w:pPr>
              <w:spacing w:line="240" w:lineRule="exact"/>
              <w:ind w:firstLine="420"/>
              <w:jc w:val="center"/>
              <w:rPr>
                <w:rFonts w:hint="eastAsia" w:asciiTheme="minorEastAsia" w:hAnsiTheme="minorEastAsia" w:eastAsiaTheme="minorEastAsia" w:cstheme="minorEastAsia"/>
                <w:sz w:val="21"/>
              </w:rPr>
            </w:pPr>
          </w:p>
        </w:tc>
        <w:tc>
          <w:tcPr>
            <w:tcW w:w="6783" w:type="dxa"/>
            <w:vAlign w:val="center"/>
          </w:tcPr>
          <w:p w14:paraId="1C208E1D">
            <w:pPr>
              <w:pStyle w:val="36"/>
              <w:spacing w:line="240" w:lineRule="exact"/>
              <w:ind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技术路线体现先进性特点，技术水平超出或达到国内</w:t>
            </w:r>
            <w:r>
              <w:rPr>
                <w:rFonts w:hint="eastAsia" w:asciiTheme="minorEastAsia" w:hAnsiTheme="minorEastAsia" w:eastAsiaTheme="minorEastAsia" w:cstheme="minorEastAsia"/>
                <w:spacing w:val="-3"/>
                <w:sz w:val="24"/>
                <w:szCs w:val="24"/>
                <w:lang w:eastAsia="zh-CN"/>
              </w:rPr>
              <w:t>专业或工业水平</w:t>
            </w:r>
          </w:p>
        </w:tc>
        <w:tc>
          <w:tcPr>
            <w:tcW w:w="984" w:type="dxa"/>
            <w:vAlign w:val="center"/>
          </w:tcPr>
          <w:p w14:paraId="0AF82A1D">
            <w:pPr>
              <w:pStyle w:val="36"/>
              <w:spacing w:line="240" w:lineRule="exact"/>
              <w:ind w:firstLine="4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lang w:eastAsia="zh-CN"/>
              </w:rPr>
              <w:t>0</w:t>
            </w:r>
            <w:r>
              <w:rPr>
                <w:rFonts w:hint="eastAsia" w:asciiTheme="minorEastAsia" w:hAnsiTheme="minorEastAsia" w:eastAsiaTheme="minorEastAsia" w:cstheme="minorEastAsia"/>
                <w:spacing w:val="-9"/>
                <w:sz w:val="24"/>
                <w:szCs w:val="24"/>
              </w:rPr>
              <w:t>-2</w:t>
            </w:r>
          </w:p>
        </w:tc>
        <w:tc>
          <w:tcPr>
            <w:tcW w:w="683" w:type="dxa"/>
            <w:vAlign w:val="center"/>
          </w:tcPr>
          <w:p w14:paraId="716863A4">
            <w:pPr>
              <w:spacing w:line="240" w:lineRule="exact"/>
              <w:ind w:firstLine="420"/>
              <w:rPr>
                <w:rFonts w:hint="eastAsia" w:asciiTheme="minorEastAsia" w:hAnsiTheme="minorEastAsia" w:eastAsiaTheme="minorEastAsia" w:cstheme="minorEastAsia"/>
                <w:sz w:val="21"/>
              </w:rPr>
            </w:pPr>
          </w:p>
        </w:tc>
        <w:tc>
          <w:tcPr>
            <w:tcW w:w="1609" w:type="dxa"/>
            <w:vMerge w:val="continue"/>
            <w:tcBorders>
              <w:top w:val="nil"/>
              <w:bottom w:val="nil"/>
            </w:tcBorders>
            <w:vAlign w:val="center"/>
          </w:tcPr>
          <w:p w14:paraId="19CC48DB">
            <w:pPr>
              <w:spacing w:line="240" w:lineRule="exact"/>
              <w:ind w:firstLine="420"/>
              <w:rPr>
                <w:rFonts w:hint="eastAsia" w:asciiTheme="minorEastAsia" w:hAnsiTheme="minorEastAsia" w:eastAsiaTheme="minorEastAsia" w:cstheme="minorEastAsia"/>
                <w:sz w:val="21"/>
              </w:rPr>
            </w:pPr>
          </w:p>
        </w:tc>
      </w:tr>
      <w:tr w14:paraId="286E4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313" w:type="dxa"/>
            <w:vMerge w:val="continue"/>
            <w:tcBorders>
              <w:top w:val="nil"/>
              <w:bottom w:val="nil"/>
            </w:tcBorders>
            <w:vAlign w:val="center"/>
          </w:tcPr>
          <w:p w14:paraId="46A810DD">
            <w:pPr>
              <w:spacing w:line="240" w:lineRule="exact"/>
              <w:ind w:firstLine="420"/>
              <w:jc w:val="center"/>
              <w:rPr>
                <w:rFonts w:hint="eastAsia" w:asciiTheme="minorEastAsia" w:hAnsiTheme="minorEastAsia" w:eastAsiaTheme="minorEastAsia" w:cstheme="minorEastAsia"/>
                <w:sz w:val="21"/>
              </w:rPr>
            </w:pPr>
          </w:p>
        </w:tc>
        <w:tc>
          <w:tcPr>
            <w:tcW w:w="817" w:type="dxa"/>
            <w:vMerge w:val="continue"/>
            <w:tcBorders>
              <w:top w:val="nil"/>
            </w:tcBorders>
            <w:vAlign w:val="center"/>
          </w:tcPr>
          <w:p w14:paraId="443F29A5">
            <w:pPr>
              <w:spacing w:line="240" w:lineRule="exact"/>
              <w:ind w:firstLine="420"/>
              <w:jc w:val="center"/>
              <w:rPr>
                <w:rFonts w:hint="eastAsia" w:asciiTheme="minorEastAsia" w:hAnsiTheme="minorEastAsia" w:eastAsiaTheme="minorEastAsia" w:cstheme="minorEastAsia"/>
                <w:sz w:val="21"/>
              </w:rPr>
            </w:pPr>
          </w:p>
        </w:tc>
        <w:tc>
          <w:tcPr>
            <w:tcW w:w="1700" w:type="dxa"/>
            <w:vMerge w:val="continue"/>
            <w:tcBorders>
              <w:top w:val="nil"/>
            </w:tcBorders>
            <w:vAlign w:val="center"/>
          </w:tcPr>
          <w:p w14:paraId="2105DD87">
            <w:pPr>
              <w:spacing w:line="240" w:lineRule="exact"/>
              <w:ind w:firstLine="420"/>
              <w:jc w:val="center"/>
              <w:rPr>
                <w:rFonts w:hint="eastAsia" w:asciiTheme="minorEastAsia" w:hAnsiTheme="minorEastAsia" w:eastAsiaTheme="minorEastAsia" w:cstheme="minorEastAsia"/>
                <w:sz w:val="21"/>
              </w:rPr>
            </w:pPr>
          </w:p>
        </w:tc>
        <w:tc>
          <w:tcPr>
            <w:tcW w:w="6783" w:type="dxa"/>
            <w:vAlign w:val="center"/>
          </w:tcPr>
          <w:p w14:paraId="76DD59D5">
            <w:pPr>
              <w:pStyle w:val="36"/>
              <w:spacing w:line="240" w:lineRule="exact"/>
              <w:ind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技术路线未能体现先进性特点，技术水平没有达到目</w:t>
            </w:r>
            <w:r>
              <w:rPr>
                <w:rFonts w:hint="eastAsia" w:asciiTheme="minorEastAsia" w:hAnsiTheme="minorEastAsia" w:eastAsiaTheme="minorEastAsia" w:cstheme="minorEastAsia"/>
                <w:spacing w:val="-2"/>
                <w:sz w:val="24"/>
                <w:szCs w:val="24"/>
                <w:lang w:eastAsia="zh-CN"/>
              </w:rPr>
              <w:t>前专业或工业水平</w:t>
            </w:r>
          </w:p>
        </w:tc>
        <w:tc>
          <w:tcPr>
            <w:tcW w:w="984" w:type="dxa"/>
            <w:vAlign w:val="center"/>
          </w:tcPr>
          <w:p w14:paraId="278F113E">
            <w:pPr>
              <w:pStyle w:val="36"/>
              <w:spacing w:line="24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w:t>
            </w:r>
          </w:p>
        </w:tc>
        <w:tc>
          <w:tcPr>
            <w:tcW w:w="683" w:type="dxa"/>
            <w:vAlign w:val="center"/>
          </w:tcPr>
          <w:p w14:paraId="4A352018">
            <w:pPr>
              <w:spacing w:line="240" w:lineRule="exact"/>
              <w:ind w:firstLine="420"/>
              <w:rPr>
                <w:rFonts w:hint="eastAsia" w:asciiTheme="minorEastAsia" w:hAnsiTheme="minorEastAsia" w:eastAsiaTheme="minorEastAsia" w:cstheme="minorEastAsia"/>
                <w:sz w:val="21"/>
              </w:rPr>
            </w:pPr>
          </w:p>
        </w:tc>
        <w:tc>
          <w:tcPr>
            <w:tcW w:w="1609" w:type="dxa"/>
            <w:vMerge w:val="continue"/>
            <w:tcBorders>
              <w:top w:val="nil"/>
            </w:tcBorders>
            <w:vAlign w:val="center"/>
          </w:tcPr>
          <w:p w14:paraId="45678F8E">
            <w:pPr>
              <w:spacing w:line="240" w:lineRule="exact"/>
              <w:ind w:firstLine="420"/>
              <w:rPr>
                <w:rFonts w:hint="eastAsia" w:asciiTheme="minorEastAsia" w:hAnsiTheme="minorEastAsia" w:eastAsiaTheme="minorEastAsia" w:cstheme="minorEastAsia"/>
                <w:sz w:val="21"/>
              </w:rPr>
            </w:pPr>
          </w:p>
        </w:tc>
      </w:tr>
      <w:tr w14:paraId="37089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313" w:type="dxa"/>
            <w:vMerge w:val="continue"/>
            <w:tcBorders>
              <w:top w:val="nil"/>
              <w:bottom w:val="nil"/>
            </w:tcBorders>
            <w:vAlign w:val="center"/>
          </w:tcPr>
          <w:p w14:paraId="03844AC8">
            <w:pPr>
              <w:spacing w:line="240" w:lineRule="exact"/>
              <w:ind w:firstLine="420"/>
              <w:jc w:val="center"/>
              <w:rPr>
                <w:rFonts w:hint="eastAsia" w:asciiTheme="minorEastAsia" w:hAnsiTheme="minorEastAsia" w:eastAsiaTheme="minorEastAsia" w:cstheme="minorEastAsia"/>
                <w:sz w:val="21"/>
              </w:rPr>
            </w:pPr>
          </w:p>
        </w:tc>
        <w:tc>
          <w:tcPr>
            <w:tcW w:w="817" w:type="dxa"/>
            <w:vMerge w:val="restart"/>
            <w:tcBorders>
              <w:bottom w:val="nil"/>
            </w:tcBorders>
            <w:vAlign w:val="center"/>
          </w:tcPr>
          <w:p w14:paraId="5DE5DFE7">
            <w:pPr>
              <w:spacing w:line="240" w:lineRule="exact"/>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700" w:type="dxa"/>
            <w:vMerge w:val="restart"/>
            <w:tcBorders>
              <w:bottom w:val="nil"/>
            </w:tcBorders>
            <w:vAlign w:val="center"/>
          </w:tcPr>
          <w:p w14:paraId="2AF7A030">
            <w:pPr>
              <w:pStyle w:val="36"/>
              <w:spacing w:line="240" w:lineRule="exact"/>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工艺技术适用性（4分）</w:t>
            </w:r>
          </w:p>
        </w:tc>
        <w:tc>
          <w:tcPr>
            <w:tcW w:w="6783" w:type="dxa"/>
            <w:vAlign w:val="center"/>
          </w:tcPr>
          <w:p w14:paraId="398C075E">
            <w:pPr>
              <w:pStyle w:val="36"/>
              <w:spacing w:line="240" w:lineRule="exact"/>
              <w:ind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采用的设备、工艺、技术知识产权清晰，有自主知识</w:t>
            </w:r>
            <w:r>
              <w:rPr>
                <w:rFonts w:hint="eastAsia" w:asciiTheme="minorEastAsia" w:hAnsiTheme="minorEastAsia" w:eastAsiaTheme="minorEastAsia" w:cstheme="minorEastAsia"/>
                <w:spacing w:val="-5"/>
                <w:sz w:val="24"/>
                <w:szCs w:val="24"/>
                <w:lang w:eastAsia="zh-CN"/>
              </w:rPr>
              <w:t>产权</w:t>
            </w:r>
          </w:p>
        </w:tc>
        <w:tc>
          <w:tcPr>
            <w:tcW w:w="984" w:type="dxa"/>
            <w:vAlign w:val="center"/>
          </w:tcPr>
          <w:p w14:paraId="0EC507FC">
            <w:pPr>
              <w:pStyle w:val="36"/>
              <w:spacing w:line="240" w:lineRule="exact"/>
              <w:ind w:firstLine="4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3-4</w:t>
            </w:r>
          </w:p>
        </w:tc>
        <w:tc>
          <w:tcPr>
            <w:tcW w:w="683" w:type="dxa"/>
            <w:vAlign w:val="center"/>
          </w:tcPr>
          <w:p w14:paraId="5C18E870">
            <w:pPr>
              <w:spacing w:line="240" w:lineRule="exact"/>
              <w:ind w:firstLine="420"/>
              <w:rPr>
                <w:rFonts w:hint="eastAsia" w:asciiTheme="minorEastAsia" w:hAnsiTheme="minorEastAsia" w:eastAsiaTheme="minorEastAsia" w:cstheme="minorEastAsia"/>
                <w:sz w:val="21"/>
              </w:rPr>
            </w:pPr>
          </w:p>
        </w:tc>
        <w:tc>
          <w:tcPr>
            <w:tcW w:w="1609" w:type="dxa"/>
            <w:vMerge w:val="restart"/>
            <w:tcBorders>
              <w:bottom w:val="nil"/>
            </w:tcBorders>
            <w:vAlign w:val="center"/>
          </w:tcPr>
          <w:p w14:paraId="683EB50A">
            <w:pPr>
              <w:spacing w:line="240" w:lineRule="exact"/>
              <w:ind w:firstLine="420"/>
              <w:rPr>
                <w:rFonts w:hint="eastAsia" w:asciiTheme="minorEastAsia" w:hAnsiTheme="minorEastAsia" w:eastAsiaTheme="minorEastAsia" w:cstheme="minorEastAsia"/>
                <w:sz w:val="21"/>
              </w:rPr>
            </w:pPr>
          </w:p>
        </w:tc>
      </w:tr>
      <w:tr w14:paraId="306ED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313" w:type="dxa"/>
            <w:vMerge w:val="continue"/>
            <w:tcBorders>
              <w:top w:val="nil"/>
              <w:bottom w:val="nil"/>
            </w:tcBorders>
            <w:vAlign w:val="center"/>
          </w:tcPr>
          <w:p w14:paraId="6AAC24E1">
            <w:pPr>
              <w:spacing w:line="240" w:lineRule="exact"/>
              <w:ind w:firstLine="420"/>
              <w:jc w:val="center"/>
              <w:rPr>
                <w:rFonts w:hint="eastAsia" w:asciiTheme="minorEastAsia" w:hAnsiTheme="minorEastAsia" w:eastAsiaTheme="minorEastAsia" w:cstheme="minorEastAsia"/>
                <w:sz w:val="21"/>
              </w:rPr>
            </w:pPr>
          </w:p>
        </w:tc>
        <w:tc>
          <w:tcPr>
            <w:tcW w:w="817" w:type="dxa"/>
            <w:vMerge w:val="continue"/>
            <w:tcBorders>
              <w:top w:val="nil"/>
              <w:bottom w:val="nil"/>
            </w:tcBorders>
            <w:vAlign w:val="center"/>
          </w:tcPr>
          <w:p w14:paraId="7984FE0E">
            <w:pPr>
              <w:spacing w:line="240" w:lineRule="exact"/>
              <w:ind w:firstLine="420"/>
              <w:jc w:val="center"/>
              <w:rPr>
                <w:rFonts w:hint="eastAsia" w:asciiTheme="minorEastAsia" w:hAnsiTheme="minorEastAsia" w:eastAsiaTheme="minorEastAsia" w:cstheme="minorEastAsia"/>
                <w:sz w:val="21"/>
              </w:rPr>
            </w:pPr>
          </w:p>
        </w:tc>
        <w:tc>
          <w:tcPr>
            <w:tcW w:w="1700" w:type="dxa"/>
            <w:vMerge w:val="continue"/>
            <w:tcBorders>
              <w:top w:val="nil"/>
              <w:bottom w:val="nil"/>
            </w:tcBorders>
            <w:vAlign w:val="center"/>
          </w:tcPr>
          <w:p w14:paraId="19E34CCC">
            <w:pPr>
              <w:spacing w:line="240" w:lineRule="exact"/>
              <w:ind w:firstLine="420"/>
              <w:jc w:val="center"/>
              <w:rPr>
                <w:rFonts w:hint="eastAsia" w:asciiTheme="minorEastAsia" w:hAnsiTheme="minorEastAsia" w:eastAsiaTheme="minorEastAsia" w:cstheme="minorEastAsia"/>
                <w:sz w:val="21"/>
              </w:rPr>
            </w:pPr>
          </w:p>
        </w:tc>
        <w:tc>
          <w:tcPr>
            <w:tcW w:w="6783" w:type="dxa"/>
            <w:vAlign w:val="center"/>
          </w:tcPr>
          <w:p w14:paraId="136CBB25">
            <w:pPr>
              <w:pStyle w:val="36"/>
              <w:spacing w:line="240" w:lineRule="exact"/>
              <w:ind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采用的设备、工艺、技术知识产权基本清晰，属引进</w:t>
            </w:r>
            <w:r>
              <w:rPr>
                <w:rFonts w:hint="eastAsia" w:asciiTheme="minorEastAsia" w:hAnsiTheme="minorEastAsia" w:eastAsiaTheme="minorEastAsia" w:cstheme="minorEastAsia"/>
                <w:spacing w:val="-7"/>
                <w:sz w:val="24"/>
                <w:szCs w:val="24"/>
                <w:lang w:eastAsia="zh-CN"/>
              </w:rPr>
              <w:t>技术</w:t>
            </w:r>
          </w:p>
        </w:tc>
        <w:tc>
          <w:tcPr>
            <w:tcW w:w="984" w:type="dxa"/>
            <w:vAlign w:val="center"/>
          </w:tcPr>
          <w:p w14:paraId="2432EECA">
            <w:pPr>
              <w:pStyle w:val="36"/>
              <w:spacing w:line="240" w:lineRule="exact"/>
              <w:ind w:firstLine="4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0-2</w:t>
            </w:r>
          </w:p>
        </w:tc>
        <w:tc>
          <w:tcPr>
            <w:tcW w:w="683" w:type="dxa"/>
            <w:vAlign w:val="center"/>
          </w:tcPr>
          <w:p w14:paraId="49E0C743">
            <w:pPr>
              <w:spacing w:line="240" w:lineRule="exact"/>
              <w:ind w:firstLine="420"/>
              <w:rPr>
                <w:rFonts w:hint="eastAsia" w:asciiTheme="minorEastAsia" w:hAnsiTheme="minorEastAsia" w:eastAsiaTheme="minorEastAsia" w:cstheme="minorEastAsia"/>
                <w:sz w:val="21"/>
              </w:rPr>
            </w:pPr>
          </w:p>
        </w:tc>
        <w:tc>
          <w:tcPr>
            <w:tcW w:w="1609" w:type="dxa"/>
            <w:vMerge w:val="continue"/>
            <w:tcBorders>
              <w:top w:val="nil"/>
              <w:bottom w:val="nil"/>
            </w:tcBorders>
            <w:vAlign w:val="center"/>
          </w:tcPr>
          <w:p w14:paraId="38FC2EAB">
            <w:pPr>
              <w:spacing w:line="240" w:lineRule="exact"/>
              <w:ind w:firstLine="420"/>
              <w:rPr>
                <w:rFonts w:hint="eastAsia" w:asciiTheme="minorEastAsia" w:hAnsiTheme="minorEastAsia" w:eastAsiaTheme="minorEastAsia" w:cstheme="minorEastAsia"/>
                <w:sz w:val="21"/>
              </w:rPr>
            </w:pPr>
          </w:p>
        </w:tc>
      </w:tr>
      <w:tr w14:paraId="1F2F4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13" w:type="dxa"/>
            <w:vMerge w:val="continue"/>
            <w:tcBorders>
              <w:top w:val="nil"/>
              <w:bottom w:val="nil"/>
            </w:tcBorders>
            <w:vAlign w:val="center"/>
          </w:tcPr>
          <w:p w14:paraId="63CBD6E7">
            <w:pPr>
              <w:spacing w:line="240" w:lineRule="exact"/>
              <w:ind w:firstLine="420"/>
              <w:jc w:val="center"/>
              <w:rPr>
                <w:rFonts w:hint="eastAsia" w:asciiTheme="minorEastAsia" w:hAnsiTheme="minorEastAsia" w:eastAsiaTheme="minorEastAsia" w:cstheme="minorEastAsia"/>
                <w:sz w:val="21"/>
              </w:rPr>
            </w:pPr>
          </w:p>
        </w:tc>
        <w:tc>
          <w:tcPr>
            <w:tcW w:w="817" w:type="dxa"/>
            <w:vMerge w:val="continue"/>
            <w:tcBorders>
              <w:top w:val="nil"/>
            </w:tcBorders>
            <w:vAlign w:val="center"/>
          </w:tcPr>
          <w:p w14:paraId="475E4846">
            <w:pPr>
              <w:spacing w:line="240" w:lineRule="exact"/>
              <w:ind w:firstLine="420"/>
              <w:jc w:val="center"/>
              <w:rPr>
                <w:rFonts w:hint="eastAsia" w:asciiTheme="minorEastAsia" w:hAnsiTheme="minorEastAsia" w:eastAsiaTheme="minorEastAsia" w:cstheme="minorEastAsia"/>
                <w:sz w:val="21"/>
              </w:rPr>
            </w:pPr>
          </w:p>
        </w:tc>
        <w:tc>
          <w:tcPr>
            <w:tcW w:w="1700" w:type="dxa"/>
            <w:vMerge w:val="continue"/>
            <w:tcBorders>
              <w:top w:val="nil"/>
            </w:tcBorders>
            <w:vAlign w:val="center"/>
          </w:tcPr>
          <w:p w14:paraId="1585B05C">
            <w:pPr>
              <w:spacing w:line="240" w:lineRule="exact"/>
              <w:ind w:firstLine="420"/>
              <w:jc w:val="center"/>
              <w:rPr>
                <w:rFonts w:hint="eastAsia" w:asciiTheme="minorEastAsia" w:hAnsiTheme="minorEastAsia" w:eastAsiaTheme="minorEastAsia" w:cstheme="minorEastAsia"/>
                <w:sz w:val="21"/>
              </w:rPr>
            </w:pPr>
          </w:p>
        </w:tc>
        <w:tc>
          <w:tcPr>
            <w:tcW w:w="6783" w:type="dxa"/>
            <w:vAlign w:val="center"/>
          </w:tcPr>
          <w:p w14:paraId="308DD924">
            <w:pPr>
              <w:pStyle w:val="36"/>
              <w:spacing w:line="240" w:lineRule="exact"/>
              <w:ind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采用的设备、工艺、技术知识产权较模糊，属消化吸</w:t>
            </w:r>
            <w:r>
              <w:rPr>
                <w:rFonts w:hint="eastAsia" w:asciiTheme="minorEastAsia" w:hAnsiTheme="minorEastAsia" w:eastAsiaTheme="minorEastAsia" w:cstheme="minorEastAsia"/>
                <w:spacing w:val="-11"/>
                <w:sz w:val="24"/>
                <w:szCs w:val="24"/>
                <w:lang w:eastAsia="zh-CN"/>
              </w:rPr>
              <w:t>引技术</w:t>
            </w:r>
          </w:p>
        </w:tc>
        <w:tc>
          <w:tcPr>
            <w:tcW w:w="984" w:type="dxa"/>
            <w:vAlign w:val="center"/>
          </w:tcPr>
          <w:p w14:paraId="30277C3B">
            <w:pPr>
              <w:pStyle w:val="36"/>
              <w:spacing w:line="24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w:t>
            </w:r>
          </w:p>
        </w:tc>
        <w:tc>
          <w:tcPr>
            <w:tcW w:w="683" w:type="dxa"/>
            <w:vAlign w:val="center"/>
          </w:tcPr>
          <w:p w14:paraId="63BDB2CD">
            <w:pPr>
              <w:spacing w:line="240" w:lineRule="exact"/>
              <w:ind w:firstLine="420"/>
              <w:rPr>
                <w:rFonts w:hint="eastAsia" w:asciiTheme="minorEastAsia" w:hAnsiTheme="minorEastAsia" w:eastAsiaTheme="minorEastAsia" w:cstheme="minorEastAsia"/>
                <w:sz w:val="21"/>
              </w:rPr>
            </w:pPr>
          </w:p>
        </w:tc>
        <w:tc>
          <w:tcPr>
            <w:tcW w:w="1609" w:type="dxa"/>
            <w:vMerge w:val="continue"/>
            <w:tcBorders>
              <w:top w:val="nil"/>
            </w:tcBorders>
            <w:vAlign w:val="center"/>
          </w:tcPr>
          <w:p w14:paraId="71B8647B">
            <w:pPr>
              <w:spacing w:line="240" w:lineRule="exact"/>
              <w:ind w:firstLine="420"/>
              <w:rPr>
                <w:rFonts w:hint="eastAsia" w:asciiTheme="minorEastAsia" w:hAnsiTheme="minorEastAsia" w:eastAsiaTheme="minorEastAsia" w:cstheme="minorEastAsia"/>
                <w:sz w:val="21"/>
              </w:rPr>
            </w:pPr>
          </w:p>
        </w:tc>
      </w:tr>
      <w:tr w14:paraId="5FA8A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13" w:type="dxa"/>
            <w:vMerge w:val="continue"/>
            <w:tcBorders>
              <w:top w:val="nil"/>
              <w:bottom w:val="nil"/>
            </w:tcBorders>
            <w:vAlign w:val="center"/>
          </w:tcPr>
          <w:p w14:paraId="3F68CBD1">
            <w:pPr>
              <w:spacing w:line="240" w:lineRule="exact"/>
              <w:ind w:firstLine="420"/>
              <w:jc w:val="center"/>
              <w:rPr>
                <w:rFonts w:hint="eastAsia" w:asciiTheme="minorEastAsia" w:hAnsiTheme="minorEastAsia" w:eastAsiaTheme="minorEastAsia" w:cstheme="minorEastAsia"/>
                <w:sz w:val="21"/>
              </w:rPr>
            </w:pPr>
          </w:p>
        </w:tc>
        <w:tc>
          <w:tcPr>
            <w:tcW w:w="817" w:type="dxa"/>
            <w:vMerge w:val="restart"/>
            <w:tcBorders>
              <w:bottom w:val="nil"/>
            </w:tcBorders>
            <w:vAlign w:val="center"/>
          </w:tcPr>
          <w:p w14:paraId="3FB2DF75">
            <w:pPr>
              <w:spacing w:line="240" w:lineRule="exact"/>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10</w:t>
            </w:r>
          </w:p>
        </w:tc>
        <w:tc>
          <w:tcPr>
            <w:tcW w:w="1700" w:type="dxa"/>
            <w:vMerge w:val="restart"/>
            <w:tcBorders>
              <w:bottom w:val="nil"/>
            </w:tcBorders>
            <w:vAlign w:val="center"/>
          </w:tcPr>
          <w:p w14:paraId="272CA55C">
            <w:pPr>
              <w:pStyle w:val="36"/>
              <w:spacing w:line="240" w:lineRule="exact"/>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技术基础及条</w:t>
            </w:r>
            <w:r>
              <w:rPr>
                <w:rFonts w:hint="eastAsia" w:asciiTheme="minorEastAsia" w:hAnsiTheme="minorEastAsia" w:eastAsiaTheme="minorEastAsia" w:cstheme="minorEastAsia"/>
                <w:spacing w:val="-2"/>
                <w:sz w:val="24"/>
                <w:szCs w:val="24"/>
                <w:lang w:eastAsia="zh-CN"/>
              </w:rPr>
              <w:t>件（2分）</w:t>
            </w:r>
          </w:p>
        </w:tc>
        <w:tc>
          <w:tcPr>
            <w:tcW w:w="6783" w:type="dxa"/>
            <w:vAlign w:val="center"/>
          </w:tcPr>
          <w:p w14:paraId="699EF267">
            <w:pPr>
              <w:pStyle w:val="36"/>
              <w:spacing w:line="240" w:lineRule="exact"/>
              <w:ind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在该领域有前期研究积累，技术基础较好，研发投入</w:t>
            </w:r>
            <w:r>
              <w:rPr>
                <w:rFonts w:hint="eastAsia" w:asciiTheme="minorEastAsia" w:hAnsiTheme="minorEastAsia" w:eastAsiaTheme="minorEastAsia" w:cstheme="minorEastAsia"/>
                <w:spacing w:val="-2"/>
                <w:sz w:val="24"/>
                <w:szCs w:val="24"/>
                <w:lang w:eastAsia="zh-CN"/>
              </w:rPr>
              <w:t>高，技术条件保障充分</w:t>
            </w:r>
          </w:p>
        </w:tc>
        <w:tc>
          <w:tcPr>
            <w:tcW w:w="984" w:type="dxa"/>
            <w:vAlign w:val="center"/>
          </w:tcPr>
          <w:p w14:paraId="6BD83F87">
            <w:pPr>
              <w:pStyle w:val="36"/>
              <w:spacing w:line="24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683" w:type="dxa"/>
            <w:vAlign w:val="center"/>
          </w:tcPr>
          <w:p w14:paraId="7CEFD557">
            <w:pPr>
              <w:spacing w:line="240" w:lineRule="exact"/>
              <w:ind w:firstLine="420"/>
              <w:rPr>
                <w:rFonts w:hint="eastAsia" w:asciiTheme="minorEastAsia" w:hAnsiTheme="minorEastAsia" w:eastAsiaTheme="minorEastAsia" w:cstheme="minorEastAsia"/>
                <w:sz w:val="21"/>
              </w:rPr>
            </w:pPr>
          </w:p>
        </w:tc>
        <w:tc>
          <w:tcPr>
            <w:tcW w:w="1609" w:type="dxa"/>
            <w:vMerge w:val="restart"/>
            <w:tcBorders>
              <w:bottom w:val="nil"/>
            </w:tcBorders>
            <w:vAlign w:val="center"/>
          </w:tcPr>
          <w:p w14:paraId="7FCEBB5A">
            <w:pPr>
              <w:spacing w:line="240" w:lineRule="exact"/>
              <w:ind w:firstLine="420"/>
              <w:rPr>
                <w:rFonts w:hint="eastAsia" w:asciiTheme="minorEastAsia" w:hAnsiTheme="minorEastAsia" w:eastAsiaTheme="minorEastAsia" w:cstheme="minorEastAsia"/>
                <w:sz w:val="21"/>
              </w:rPr>
            </w:pPr>
          </w:p>
        </w:tc>
      </w:tr>
      <w:tr w14:paraId="44962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13" w:type="dxa"/>
            <w:vMerge w:val="continue"/>
            <w:tcBorders>
              <w:top w:val="nil"/>
              <w:bottom w:val="nil"/>
            </w:tcBorders>
            <w:vAlign w:val="center"/>
          </w:tcPr>
          <w:p w14:paraId="7E0F0BBE">
            <w:pPr>
              <w:spacing w:line="240" w:lineRule="exact"/>
              <w:ind w:firstLine="420"/>
              <w:jc w:val="center"/>
              <w:rPr>
                <w:rFonts w:hint="eastAsia" w:asciiTheme="minorEastAsia" w:hAnsiTheme="minorEastAsia" w:eastAsiaTheme="minorEastAsia" w:cstheme="minorEastAsia"/>
                <w:sz w:val="21"/>
              </w:rPr>
            </w:pPr>
          </w:p>
        </w:tc>
        <w:tc>
          <w:tcPr>
            <w:tcW w:w="817" w:type="dxa"/>
            <w:vMerge w:val="continue"/>
            <w:tcBorders>
              <w:top w:val="nil"/>
              <w:bottom w:val="nil"/>
            </w:tcBorders>
            <w:vAlign w:val="center"/>
          </w:tcPr>
          <w:p w14:paraId="7DDC7226">
            <w:pPr>
              <w:spacing w:line="240" w:lineRule="exact"/>
              <w:ind w:firstLine="420"/>
              <w:rPr>
                <w:rFonts w:hint="eastAsia" w:asciiTheme="minorEastAsia" w:hAnsiTheme="minorEastAsia" w:eastAsiaTheme="minorEastAsia" w:cstheme="minorEastAsia"/>
                <w:sz w:val="21"/>
              </w:rPr>
            </w:pPr>
          </w:p>
        </w:tc>
        <w:tc>
          <w:tcPr>
            <w:tcW w:w="1700" w:type="dxa"/>
            <w:vMerge w:val="continue"/>
            <w:tcBorders>
              <w:top w:val="nil"/>
              <w:bottom w:val="nil"/>
            </w:tcBorders>
            <w:vAlign w:val="center"/>
          </w:tcPr>
          <w:p w14:paraId="4482962E">
            <w:pPr>
              <w:spacing w:line="240" w:lineRule="exact"/>
              <w:ind w:firstLine="420"/>
              <w:rPr>
                <w:rFonts w:hint="eastAsia" w:asciiTheme="minorEastAsia" w:hAnsiTheme="minorEastAsia" w:eastAsiaTheme="minorEastAsia" w:cstheme="minorEastAsia"/>
                <w:sz w:val="21"/>
              </w:rPr>
            </w:pPr>
          </w:p>
        </w:tc>
        <w:tc>
          <w:tcPr>
            <w:tcW w:w="6783" w:type="dxa"/>
            <w:vAlign w:val="center"/>
          </w:tcPr>
          <w:p w14:paraId="5895A151">
            <w:pPr>
              <w:pStyle w:val="36"/>
              <w:spacing w:line="240" w:lineRule="exact"/>
              <w:ind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有一定研究积累，技术基础一般，研发投入一般，技</w:t>
            </w:r>
            <w:r>
              <w:rPr>
                <w:rFonts w:hint="eastAsia" w:asciiTheme="minorEastAsia" w:hAnsiTheme="minorEastAsia" w:eastAsiaTheme="minorEastAsia" w:cstheme="minorEastAsia"/>
                <w:spacing w:val="-2"/>
                <w:sz w:val="24"/>
                <w:szCs w:val="24"/>
                <w:lang w:eastAsia="zh-CN"/>
              </w:rPr>
              <w:t>术条件基本有保障</w:t>
            </w:r>
          </w:p>
        </w:tc>
        <w:tc>
          <w:tcPr>
            <w:tcW w:w="984" w:type="dxa"/>
            <w:vAlign w:val="center"/>
          </w:tcPr>
          <w:p w14:paraId="39058CCA">
            <w:pPr>
              <w:pStyle w:val="36"/>
              <w:spacing w:line="240" w:lineRule="exact"/>
              <w:ind w:firstLine="4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0-1</w:t>
            </w:r>
          </w:p>
        </w:tc>
        <w:tc>
          <w:tcPr>
            <w:tcW w:w="683" w:type="dxa"/>
            <w:vAlign w:val="center"/>
          </w:tcPr>
          <w:p w14:paraId="4F522F32">
            <w:pPr>
              <w:spacing w:line="240" w:lineRule="exact"/>
              <w:ind w:firstLine="420"/>
              <w:rPr>
                <w:rFonts w:hint="eastAsia" w:asciiTheme="minorEastAsia" w:hAnsiTheme="minorEastAsia" w:eastAsiaTheme="minorEastAsia" w:cstheme="minorEastAsia"/>
                <w:sz w:val="21"/>
              </w:rPr>
            </w:pPr>
          </w:p>
        </w:tc>
        <w:tc>
          <w:tcPr>
            <w:tcW w:w="1609" w:type="dxa"/>
            <w:vMerge w:val="continue"/>
            <w:tcBorders>
              <w:top w:val="nil"/>
              <w:bottom w:val="nil"/>
            </w:tcBorders>
            <w:vAlign w:val="center"/>
          </w:tcPr>
          <w:p w14:paraId="36D26DB3">
            <w:pPr>
              <w:spacing w:line="240" w:lineRule="exact"/>
              <w:ind w:firstLine="420"/>
              <w:rPr>
                <w:rFonts w:hint="eastAsia" w:asciiTheme="minorEastAsia" w:hAnsiTheme="minorEastAsia" w:eastAsiaTheme="minorEastAsia" w:cstheme="minorEastAsia"/>
                <w:sz w:val="21"/>
              </w:rPr>
            </w:pPr>
          </w:p>
        </w:tc>
      </w:tr>
      <w:tr w14:paraId="097C3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13" w:type="dxa"/>
            <w:vMerge w:val="continue"/>
            <w:tcBorders>
              <w:top w:val="nil"/>
            </w:tcBorders>
            <w:vAlign w:val="center"/>
          </w:tcPr>
          <w:p w14:paraId="62FE5A29">
            <w:pPr>
              <w:spacing w:line="240" w:lineRule="exact"/>
              <w:ind w:firstLine="420"/>
              <w:jc w:val="center"/>
              <w:rPr>
                <w:rFonts w:hint="eastAsia" w:asciiTheme="minorEastAsia" w:hAnsiTheme="minorEastAsia" w:eastAsiaTheme="minorEastAsia" w:cstheme="minorEastAsia"/>
                <w:sz w:val="21"/>
              </w:rPr>
            </w:pPr>
          </w:p>
        </w:tc>
        <w:tc>
          <w:tcPr>
            <w:tcW w:w="817" w:type="dxa"/>
            <w:vMerge w:val="continue"/>
            <w:tcBorders>
              <w:top w:val="nil"/>
            </w:tcBorders>
            <w:vAlign w:val="center"/>
          </w:tcPr>
          <w:p w14:paraId="0C930864">
            <w:pPr>
              <w:spacing w:line="240" w:lineRule="exact"/>
              <w:ind w:firstLine="420"/>
              <w:rPr>
                <w:rFonts w:hint="eastAsia" w:asciiTheme="minorEastAsia" w:hAnsiTheme="minorEastAsia" w:eastAsiaTheme="minorEastAsia" w:cstheme="minorEastAsia"/>
                <w:sz w:val="21"/>
              </w:rPr>
            </w:pPr>
          </w:p>
        </w:tc>
        <w:tc>
          <w:tcPr>
            <w:tcW w:w="1700" w:type="dxa"/>
            <w:vMerge w:val="continue"/>
            <w:tcBorders>
              <w:top w:val="nil"/>
            </w:tcBorders>
            <w:vAlign w:val="center"/>
          </w:tcPr>
          <w:p w14:paraId="2BC051E2">
            <w:pPr>
              <w:spacing w:line="240" w:lineRule="exact"/>
              <w:ind w:firstLine="420"/>
              <w:rPr>
                <w:rFonts w:hint="eastAsia" w:asciiTheme="minorEastAsia" w:hAnsiTheme="minorEastAsia" w:eastAsiaTheme="minorEastAsia" w:cstheme="minorEastAsia"/>
                <w:sz w:val="21"/>
              </w:rPr>
            </w:pPr>
          </w:p>
        </w:tc>
        <w:tc>
          <w:tcPr>
            <w:tcW w:w="6783" w:type="dxa"/>
            <w:vAlign w:val="center"/>
          </w:tcPr>
          <w:p w14:paraId="7E12D236">
            <w:pPr>
              <w:pStyle w:val="36"/>
              <w:spacing w:line="240" w:lineRule="exact"/>
              <w:ind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前期研究积累较少，技术基础较差，研发投入较少，</w:t>
            </w:r>
            <w:r>
              <w:rPr>
                <w:rFonts w:hint="eastAsia" w:asciiTheme="minorEastAsia" w:hAnsiTheme="minorEastAsia" w:eastAsiaTheme="minorEastAsia" w:cstheme="minorEastAsia"/>
                <w:spacing w:val="-2"/>
                <w:sz w:val="24"/>
                <w:szCs w:val="24"/>
                <w:lang w:eastAsia="zh-CN"/>
              </w:rPr>
              <w:t>技术条件保障一般</w:t>
            </w:r>
          </w:p>
        </w:tc>
        <w:tc>
          <w:tcPr>
            <w:tcW w:w="984" w:type="dxa"/>
            <w:vAlign w:val="center"/>
          </w:tcPr>
          <w:p w14:paraId="681585B3">
            <w:pPr>
              <w:pStyle w:val="36"/>
              <w:spacing w:line="24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w:t>
            </w:r>
          </w:p>
        </w:tc>
        <w:tc>
          <w:tcPr>
            <w:tcW w:w="683" w:type="dxa"/>
            <w:vAlign w:val="center"/>
          </w:tcPr>
          <w:p w14:paraId="4F35CB39">
            <w:pPr>
              <w:spacing w:line="240" w:lineRule="exact"/>
              <w:ind w:firstLine="420"/>
              <w:rPr>
                <w:rFonts w:hint="eastAsia" w:asciiTheme="minorEastAsia" w:hAnsiTheme="minorEastAsia" w:eastAsiaTheme="minorEastAsia" w:cstheme="minorEastAsia"/>
                <w:sz w:val="21"/>
              </w:rPr>
            </w:pPr>
          </w:p>
        </w:tc>
        <w:tc>
          <w:tcPr>
            <w:tcW w:w="1609" w:type="dxa"/>
            <w:vMerge w:val="continue"/>
            <w:tcBorders>
              <w:top w:val="nil"/>
            </w:tcBorders>
            <w:vAlign w:val="center"/>
          </w:tcPr>
          <w:p w14:paraId="30EFDA0C">
            <w:pPr>
              <w:spacing w:line="240" w:lineRule="exact"/>
              <w:ind w:firstLine="420"/>
              <w:rPr>
                <w:rFonts w:hint="eastAsia" w:asciiTheme="minorEastAsia" w:hAnsiTheme="minorEastAsia" w:eastAsiaTheme="minorEastAsia" w:cstheme="minorEastAsia"/>
                <w:sz w:val="21"/>
              </w:rPr>
            </w:pPr>
          </w:p>
        </w:tc>
      </w:tr>
      <w:tr w14:paraId="0F896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313" w:type="dxa"/>
            <w:vMerge w:val="restart"/>
            <w:tcBorders>
              <w:bottom w:val="nil"/>
            </w:tcBorders>
            <w:vAlign w:val="center"/>
          </w:tcPr>
          <w:p w14:paraId="0B8E2592">
            <w:pPr>
              <w:kinsoku w:val="0"/>
              <w:autoSpaceDE w:val="0"/>
              <w:autoSpaceDN w:val="0"/>
              <w:adjustRightInd w:val="0"/>
              <w:snapToGrid w:val="0"/>
              <w:spacing w:before="78" w:line="216" w:lineRule="auto"/>
              <w:ind w:firstLine="0" w:firstLineChars="0"/>
              <w:jc w:val="center"/>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spacing w:val="-8"/>
                <w:kern w:val="0"/>
                <w:sz w:val="24"/>
                <w:szCs w:val="24"/>
                <w:lang w:eastAsia="en-US"/>
              </w:rPr>
              <w:t>能耗要求</w:t>
            </w:r>
          </w:p>
          <w:p w14:paraId="05CF7010">
            <w:pPr>
              <w:kinsoku w:val="0"/>
              <w:autoSpaceDE w:val="0"/>
              <w:autoSpaceDN w:val="0"/>
              <w:adjustRightInd w:val="0"/>
              <w:snapToGrid w:val="0"/>
              <w:spacing w:before="19" w:line="217" w:lineRule="auto"/>
              <w:ind w:firstLine="0" w:firstLineChars="0"/>
              <w:jc w:val="center"/>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spacing w:val="-1"/>
                <w:kern w:val="0"/>
                <w:sz w:val="24"/>
                <w:szCs w:val="24"/>
                <w:lang w:eastAsia="en-US"/>
              </w:rPr>
              <w:t>（10分）</w:t>
            </w:r>
          </w:p>
        </w:tc>
        <w:tc>
          <w:tcPr>
            <w:tcW w:w="817" w:type="dxa"/>
            <w:vMerge w:val="restart"/>
            <w:tcBorders>
              <w:bottom w:val="nil"/>
            </w:tcBorders>
            <w:vAlign w:val="center"/>
          </w:tcPr>
          <w:p w14:paraId="6DCCADAF">
            <w:pPr>
              <w:widowControl/>
              <w:kinsoku w:val="0"/>
              <w:autoSpaceDE w:val="0"/>
              <w:autoSpaceDN w:val="0"/>
              <w:adjustRightInd w:val="0"/>
              <w:snapToGrid w:val="0"/>
              <w:spacing w:before="69" w:line="188" w:lineRule="auto"/>
              <w:ind w:left="326" w:firstLine="0" w:firstLineChars="0"/>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spacing w:val="-15"/>
                <w:kern w:val="0"/>
                <w:sz w:val="24"/>
                <w:szCs w:val="24"/>
                <w:lang w:eastAsia="en-US"/>
              </w:rPr>
              <w:t>11</w:t>
            </w:r>
          </w:p>
        </w:tc>
        <w:tc>
          <w:tcPr>
            <w:tcW w:w="1700" w:type="dxa"/>
            <w:vMerge w:val="restart"/>
            <w:tcBorders>
              <w:bottom w:val="nil"/>
            </w:tcBorders>
            <w:vAlign w:val="center"/>
          </w:tcPr>
          <w:p w14:paraId="10F5F70E">
            <w:pPr>
              <w:kinsoku w:val="0"/>
              <w:autoSpaceDE w:val="0"/>
              <w:autoSpaceDN w:val="0"/>
              <w:adjustRightInd w:val="0"/>
              <w:snapToGrid w:val="0"/>
              <w:spacing w:before="78" w:line="214" w:lineRule="auto"/>
              <w:ind w:firstLine="0" w:firstLineChars="0"/>
              <w:textAlignment w:val="baseline"/>
              <w:rPr>
                <w:rFonts w:hint="eastAsia"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spacing w:val="-4"/>
                <w:kern w:val="0"/>
                <w:sz w:val="24"/>
                <w:szCs w:val="24"/>
              </w:rPr>
              <w:t>综合能耗及高</w:t>
            </w:r>
          </w:p>
          <w:p w14:paraId="58FBF543">
            <w:pPr>
              <w:kinsoku w:val="0"/>
              <w:autoSpaceDE w:val="0"/>
              <w:autoSpaceDN w:val="0"/>
              <w:adjustRightInd w:val="0"/>
              <w:snapToGrid w:val="0"/>
              <w:spacing w:before="22" w:line="216" w:lineRule="auto"/>
              <w:ind w:firstLine="0" w:firstLineChars="0"/>
              <w:textAlignment w:val="baseline"/>
              <w:rPr>
                <w:rFonts w:hint="eastAsia"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spacing w:val="-2"/>
                <w:kern w:val="0"/>
                <w:sz w:val="24"/>
                <w:szCs w:val="24"/>
              </w:rPr>
              <w:t>耗能行业能效</w:t>
            </w:r>
          </w:p>
          <w:p w14:paraId="11341375">
            <w:pPr>
              <w:kinsoku w:val="0"/>
              <w:autoSpaceDE w:val="0"/>
              <w:autoSpaceDN w:val="0"/>
              <w:adjustRightInd w:val="0"/>
              <w:snapToGrid w:val="0"/>
              <w:spacing w:before="19" w:line="217" w:lineRule="auto"/>
              <w:ind w:firstLine="0" w:firstLineChars="0"/>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spacing w:val="-2"/>
                <w:kern w:val="0"/>
                <w:sz w:val="24"/>
                <w:szCs w:val="24"/>
                <w:lang w:eastAsia="en-US"/>
              </w:rPr>
              <w:t>（4分）</w:t>
            </w:r>
          </w:p>
        </w:tc>
        <w:tc>
          <w:tcPr>
            <w:tcW w:w="6783" w:type="dxa"/>
            <w:vAlign w:val="center"/>
          </w:tcPr>
          <w:p w14:paraId="04713A0B">
            <w:pPr>
              <w:kinsoku w:val="0"/>
              <w:autoSpaceDE w:val="0"/>
              <w:autoSpaceDN w:val="0"/>
              <w:adjustRightInd w:val="0"/>
              <w:snapToGrid w:val="0"/>
              <w:spacing w:before="91" w:line="231" w:lineRule="auto"/>
              <w:ind w:right="181" w:firstLine="0" w:firstLineChars="0"/>
              <w:jc w:val="left"/>
              <w:textAlignment w:val="baseline"/>
              <w:rPr>
                <w:rFonts w:hint="eastAsia"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spacing w:val="-1"/>
                <w:kern w:val="0"/>
                <w:sz w:val="24"/>
                <w:szCs w:val="24"/>
              </w:rPr>
              <w:t>行业综合能耗标准先进值以上（含</w:t>
            </w:r>
            <w:r>
              <w:rPr>
                <w:rFonts w:hint="eastAsia" w:asciiTheme="minorEastAsia" w:hAnsiTheme="minorEastAsia" w:eastAsiaTheme="minorEastAsia" w:cstheme="minorEastAsia"/>
                <w:snapToGrid w:val="0"/>
                <w:color w:val="000000"/>
                <w:spacing w:val="5"/>
                <w:kern w:val="0"/>
                <w:sz w:val="24"/>
                <w:szCs w:val="24"/>
              </w:rPr>
              <w:t>），</w:t>
            </w:r>
            <w:r>
              <w:rPr>
                <w:rFonts w:hint="eastAsia" w:asciiTheme="minorEastAsia" w:hAnsiTheme="minorEastAsia" w:eastAsiaTheme="minorEastAsia" w:cstheme="minorEastAsia"/>
                <w:snapToGrid w:val="0"/>
                <w:color w:val="000000"/>
                <w:spacing w:val="-1"/>
                <w:kern w:val="0"/>
                <w:sz w:val="24"/>
                <w:szCs w:val="24"/>
              </w:rPr>
              <w:t>或高耗能行业</w:t>
            </w:r>
            <w:r>
              <w:rPr>
                <w:rFonts w:hint="eastAsia" w:asciiTheme="minorEastAsia" w:hAnsiTheme="minorEastAsia" w:eastAsiaTheme="minorEastAsia" w:cstheme="minorEastAsia"/>
                <w:snapToGrid w:val="0"/>
                <w:color w:val="000000"/>
                <w:spacing w:val="-3"/>
                <w:kern w:val="0"/>
                <w:sz w:val="24"/>
                <w:szCs w:val="24"/>
              </w:rPr>
              <w:t>能效标杆水平以上（含）</w:t>
            </w:r>
          </w:p>
        </w:tc>
        <w:tc>
          <w:tcPr>
            <w:tcW w:w="984" w:type="dxa"/>
            <w:vAlign w:val="center"/>
          </w:tcPr>
          <w:p w14:paraId="29FCC933">
            <w:pPr>
              <w:kinsoku w:val="0"/>
              <w:autoSpaceDE w:val="0"/>
              <w:autoSpaceDN w:val="0"/>
              <w:adjustRightInd w:val="0"/>
              <w:snapToGrid w:val="0"/>
              <w:spacing w:before="243" w:line="242" w:lineRule="auto"/>
              <w:ind w:firstLine="440"/>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spacing w:val="-10"/>
                <w:kern w:val="0"/>
                <w:sz w:val="24"/>
                <w:szCs w:val="24"/>
                <w:lang w:eastAsia="en-US"/>
              </w:rPr>
              <w:t>3-4</w:t>
            </w:r>
          </w:p>
        </w:tc>
        <w:tc>
          <w:tcPr>
            <w:tcW w:w="683" w:type="dxa"/>
            <w:vAlign w:val="center"/>
          </w:tcPr>
          <w:p w14:paraId="4E262A43">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1609" w:type="dxa"/>
            <w:vMerge w:val="restart"/>
            <w:tcBorders>
              <w:bottom w:val="nil"/>
            </w:tcBorders>
            <w:vAlign w:val="center"/>
          </w:tcPr>
          <w:p w14:paraId="5798283A">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r>
      <w:tr w14:paraId="6F9FE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1313" w:type="dxa"/>
            <w:vMerge w:val="continue"/>
            <w:tcBorders>
              <w:top w:val="nil"/>
              <w:bottom w:val="nil"/>
            </w:tcBorders>
            <w:vAlign w:val="center"/>
          </w:tcPr>
          <w:p w14:paraId="76D8A102">
            <w:pPr>
              <w:widowControl/>
              <w:kinsoku w:val="0"/>
              <w:autoSpaceDE w:val="0"/>
              <w:autoSpaceDN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817" w:type="dxa"/>
            <w:vMerge w:val="continue"/>
            <w:tcBorders>
              <w:top w:val="nil"/>
            </w:tcBorders>
            <w:vAlign w:val="center"/>
          </w:tcPr>
          <w:p w14:paraId="33E43EE3">
            <w:pPr>
              <w:widowControl/>
              <w:kinsoku w:val="0"/>
              <w:autoSpaceDE w:val="0"/>
              <w:autoSpaceDN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1700" w:type="dxa"/>
            <w:vMerge w:val="continue"/>
            <w:tcBorders>
              <w:top w:val="nil"/>
            </w:tcBorders>
            <w:vAlign w:val="center"/>
          </w:tcPr>
          <w:p w14:paraId="63A8EAAA">
            <w:pPr>
              <w:widowControl/>
              <w:kinsoku w:val="0"/>
              <w:autoSpaceDE w:val="0"/>
              <w:autoSpaceDN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6783" w:type="dxa"/>
            <w:vAlign w:val="center"/>
          </w:tcPr>
          <w:p w14:paraId="7EB2EFAA">
            <w:pPr>
              <w:kinsoku w:val="0"/>
              <w:autoSpaceDE w:val="0"/>
              <w:autoSpaceDN w:val="0"/>
              <w:adjustRightInd w:val="0"/>
              <w:snapToGrid w:val="0"/>
              <w:spacing w:before="123" w:line="231" w:lineRule="auto"/>
              <w:ind w:right="181" w:firstLine="0" w:firstLineChars="0"/>
              <w:jc w:val="left"/>
              <w:textAlignment w:val="baseline"/>
              <w:rPr>
                <w:rFonts w:hint="eastAsia"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spacing w:val="-1"/>
                <w:kern w:val="0"/>
                <w:sz w:val="24"/>
                <w:szCs w:val="24"/>
              </w:rPr>
              <w:t>行业综合能耗标准准入值或基准值以上（含）、先进</w:t>
            </w:r>
            <w:r>
              <w:rPr>
                <w:rFonts w:hint="eastAsia" w:asciiTheme="minorEastAsia" w:hAnsiTheme="minorEastAsia" w:eastAsiaTheme="minorEastAsia" w:cstheme="minorEastAsia"/>
                <w:snapToGrid w:val="0"/>
                <w:color w:val="000000"/>
                <w:spacing w:val="12"/>
                <w:kern w:val="0"/>
                <w:sz w:val="24"/>
                <w:szCs w:val="24"/>
              </w:rPr>
              <w:t xml:space="preserve"> </w:t>
            </w:r>
            <w:r>
              <w:rPr>
                <w:rFonts w:hint="eastAsia" w:asciiTheme="minorEastAsia" w:hAnsiTheme="minorEastAsia" w:eastAsiaTheme="minorEastAsia" w:cstheme="minorEastAsia"/>
                <w:snapToGrid w:val="0"/>
                <w:color w:val="000000"/>
                <w:spacing w:val="-4"/>
                <w:kern w:val="0"/>
                <w:sz w:val="24"/>
                <w:szCs w:val="24"/>
              </w:rPr>
              <w:t>值以下</w:t>
            </w:r>
          </w:p>
        </w:tc>
        <w:tc>
          <w:tcPr>
            <w:tcW w:w="984" w:type="dxa"/>
            <w:vAlign w:val="center"/>
          </w:tcPr>
          <w:p w14:paraId="2C8F9998">
            <w:pPr>
              <w:kinsoku w:val="0"/>
              <w:autoSpaceDE w:val="0"/>
              <w:autoSpaceDN w:val="0"/>
              <w:adjustRightInd w:val="0"/>
              <w:snapToGrid w:val="0"/>
              <w:spacing w:before="273" w:line="242" w:lineRule="auto"/>
              <w:ind w:firstLine="444"/>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spacing w:val="-9"/>
                <w:kern w:val="0"/>
                <w:sz w:val="24"/>
                <w:szCs w:val="24"/>
                <w:lang w:eastAsia="en-US"/>
              </w:rPr>
              <w:t>0-2</w:t>
            </w:r>
          </w:p>
        </w:tc>
        <w:tc>
          <w:tcPr>
            <w:tcW w:w="683" w:type="dxa"/>
            <w:vAlign w:val="center"/>
          </w:tcPr>
          <w:p w14:paraId="2F33F6E1">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1609" w:type="dxa"/>
            <w:vMerge w:val="continue"/>
            <w:tcBorders>
              <w:top w:val="nil"/>
              <w:bottom w:val="nil"/>
            </w:tcBorders>
            <w:vAlign w:val="center"/>
          </w:tcPr>
          <w:p w14:paraId="75B2EFC8">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r>
      <w:tr w14:paraId="7C3F3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13" w:type="dxa"/>
            <w:vMerge w:val="continue"/>
            <w:tcBorders>
              <w:top w:val="nil"/>
              <w:bottom w:val="nil"/>
            </w:tcBorders>
            <w:vAlign w:val="center"/>
          </w:tcPr>
          <w:p w14:paraId="4FDEAA3D">
            <w:pPr>
              <w:widowControl/>
              <w:kinsoku w:val="0"/>
              <w:autoSpaceDE w:val="0"/>
              <w:autoSpaceDN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817" w:type="dxa"/>
            <w:vMerge w:val="restart"/>
            <w:tcBorders>
              <w:bottom w:val="nil"/>
            </w:tcBorders>
            <w:vAlign w:val="center"/>
          </w:tcPr>
          <w:p w14:paraId="71B91FAB">
            <w:pPr>
              <w:widowControl/>
              <w:kinsoku w:val="0"/>
              <w:autoSpaceDE w:val="0"/>
              <w:autoSpaceDN w:val="0"/>
              <w:adjustRightInd w:val="0"/>
              <w:snapToGrid w:val="0"/>
              <w:spacing w:before="69" w:line="188" w:lineRule="auto"/>
              <w:ind w:left="326" w:firstLine="0" w:firstLineChars="0"/>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spacing w:val="-15"/>
                <w:kern w:val="0"/>
                <w:sz w:val="24"/>
                <w:szCs w:val="24"/>
                <w:lang w:eastAsia="en-US"/>
              </w:rPr>
              <w:t>12</w:t>
            </w:r>
          </w:p>
        </w:tc>
        <w:tc>
          <w:tcPr>
            <w:tcW w:w="1700" w:type="dxa"/>
            <w:vMerge w:val="restart"/>
            <w:tcBorders>
              <w:bottom w:val="nil"/>
            </w:tcBorders>
            <w:vAlign w:val="center"/>
          </w:tcPr>
          <w:p w14:paraId="6403BF29">
            <w:pPr>
              <w:kinsoku w:val="0"/>
              <w:autoSpaceDE w:val="0"/>
              <w:autoSpaceDN w:val="0"/>
              <w:adjustRightInd w:val="0"/>
              <w:snapToGrid w:val="0"/>
              <w:spacing w:before="260" w:line="230" w:lineRule="auto"/>
              <w:ind w:right="35" w:firstLine="0" w:firstLineChars="0"/>
              <w:textAlignment w:val="baseline"/>
              <w:rPr>
                <w:rFonts w:hint="eastAsia"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spacing w:val="-3"/>
                <w:kern w:val="0"/>
                <w:sz w:val="24"/>
                <w:szCs w:val="24"/>
              </w:rPr>
              <w:t>节能措施合理</w:t>
            </w:r>
            <w:r>
              <w:rPr>
                <w:rFonts w:hint="eastAsia" w:asciiTheme="minorEastAsia" w:hAnsiTheme="minorEastAsia" w:eastAsiaTheme="minorEastAsia" w:cstheme="minorEastAsia"/>
                <w:snapToGrid w:val="0"/>
                <w:color w:val="000000"/>
                <w:spacing w:val="-4"/>
                <w:kern w:val="0"/>
                <w:sz w:val="24"/>
                <w:szCs w:val="24"/>
              </w:rPr>
              <w:t>可行性（6分）</w:t>
            </w:r>
          </w:p>
        </w:tc>
        <w:tc>
          <w:tcPr>
            <w:tcW w:w="6783" w:type="dxa"/>
            <w:vAlign w:val="center"/>
          </w:tcPr>
          <w:p w14:paraId="132E7E01">
            <w:pPr>
              <w:kinsoku w:val="0"/>
              <w:autoSpaceDE w:val="0"/>
              <w:autoSpaceDN w:val="0"/>
              <w:adjustRightInd w:val="0"/>
              <w:snapToGrid w:val="0"/>
              <w:spacing w:before="58" w:line="213" w:lineRule="auto"/>
              <w:ind w:firstLine="0" w:firstLineChars="0"/>
              <w:jc w:val="left"/>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spacing w:val="-7"/>
                <w:kern w:val="0"/>
                <w:sz w:val="24"/>
                <w:szCs w:val="24"/>
                <w:lang w:eastAsia="en-US"/>
              </w:rPr>
              <w:t>合理</w:t>
            </w:r>
          </w:p>
        </w:tc>
        <w:tc>
          <w:tcPr>
            <w:tcW w:w="984" w:type="dxa"/>
            <w:vAlign w:val="center"/>
          </w:tcPr>
          <w:p w14:paraId="2DB26C56">
            <w:pPr>
              <w:kinsoku w:val="0"/>
              <w:autoSpaceDE w:val="0"/>
              <w:autoSpaceDN w:val="0"/>
              <w:adjustRightInd w:val="0"/>
              <w:snapToGrid w:val="0"/>
              <w:spacing w:before="58" w:line="213" w:lineRule="auto"/>
              <w:ind w:firstLine="448"/>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spacing w:val="-8"/>
                <w:kern w:val="0"/>
                <w:sz w:val="24"/>
                <w:szCs w:val="24"/>
                <w:lang w:eastAsia="en-US"/>
              </w:rPr>
              <w:t>5-6</w:t>
            </w:r>
          </w:p>
        </w:tc>
        <w:tc>
          <w:tcPr>
            <w:tcW w:w="683" w:type="dxa"/>
            <w:vAlign w:val="center"/>
          </w:tcPr>
          <w:p w14:paraId="30AAF1CF">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1609" w:type="dxa"/>
            <w:vMerge w:val="continue"/>
            <w:tcBorders>
              <w:top w:val="nil"/>
              <w:bottom w:val="nil"/>
            </w:tcBorders>
            <w:vAlign w:val="center"/>
          </w:tcPr>
          <w:p w14:paraId="055F5136">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r>
      <w:tr w14:paraId="11737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13" w:type="dxa"/>
            <w:vMerge w:val="continue"/>
            <w:tcBorders>
              <w:top w:val="nil"/>
              <w:bottom w:val="nil"/>
            </w:tcBorders>
            <w:vAlign w:val="center"/>
          </w:tcPr>
          <w:p w14:paraId="075EC003">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817" w:type="dxa"/>
            <w:vMerge w:val="continue"/>
            <w:tcBorders>
              <w:top w:val="nil"/>
              <w:bottom w:val="nil"/>
            </w:tcBorders>
            <w:vAlign w:val="center"/>
          </w:tcPr>
          <w:p w14:paraId="1949CE91">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1700" w:type="dxa"/>
            <w:vMerge w:val="continue"/>
            <w:tcBorders>
              <w:top w:val="nil"/>
              <w:bottom w:val="nil"/>
            </w:tcBorders>
            <w:vAlign w:val="center"/>
          </w:tcPr>
          <w:p w14:paraId="5BF07133">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6783" w:type="dxa"/>
            <w:vAlign w:val="center"/>
          </w:tcPr>
          <w:p w14:paraId="59AE384B">
            <w:pPr>
              <w:kinsoku w:val="0"/>
              <w:autoSpaceDE w:val="0"/>
              <w:autoSpaceDN w:val="0"/>
              <w:adjustRightInd w:val="0"/>
              <w:snapToGrid w:val="0"/>
              <w:spacing w:before="58" w:line="213" w:lineRule="auto"/>
              <w:ind w:firstLine="0" w:firstLineChars="0"/>
              <w:jc w:val="left"/>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spacing w:val="-2"/>
                <w:kern w:val="0"/>
                <w:sz w:val="24"/>
                <w:szCs w:val="24"/>
                <w:lang w:eastAsia="en-US"/>
              </w:rPr>
              <w:t>基本合理</w:t>
            </w:r>
          </w:p>
        </w:tc>
        <w:tc>
          <w:tcPr>
            <w:tcW w:w="984" w:type="dxa"/>
            <w:vAlign w:val="center"/>
          </w:tcPr>
          <w:p w14:paraId="04EE4D32">
            <w:pPr>
              <w:kinsoku w:val="0"/>
              <w:autoSpaceDE w:val="0"/>
              <w:autoSpaceDN w:val="0"/>
              <w:adjustRightInd w:val="0"/>
              <w:snapToGrid w:val="0"/>
              <w:spacing w:before="58" w:line="213" w:lineRule="auto"/>
              <w:ind w:firstLine="440"/>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spacing w:val="-10"/>
                <w:kern w:val="0"/>
                <w:sz w:val="24"/>
                <w:szCs w:val="24"/>
                <w:lang w:eastAsia="en-US"/>
              </w:rPr>
              <w:t>3-4</w:t>
            </w:r>
          </w:p>
        </w:tc>
        <w:tc>
          <w:tcPr>
            <w:tcW w:w="683" w:type="dxa"/>
            <w:vAlign w:val="center"/>
          </w:tcPr>
          <w:p w14:paraId="11401E79">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1609" w:type="dxa"/>
            <w:vMerge w:val="continue"/>
            <w:tcBorders>
              <w:top w:val="nil"/>
              <w:bottom w:val="nil"/>
            </w:tcBorders>
            <w:vAlign w:val="center"/>
          </w:tcPr>
          <w:p w14:paraId="419214DB">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r>
      <w:tr w14:paraId="4A09D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13" w:type="dxa"/>
            <w:vMerge w:val="continue"/>
            <w:tcBorders>
              <w:top w:val="nil"/>
            </w:tcBorders>
            <w:vAlign w:val="center"/>
          </w:tcPr>
          <w:p w14:paraId="6BE39002">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817" w:type="dxa"/>
            <w:vMerge w:val="continue"/>
            <w:tcBorders>
              <w:top w:val="nil"/>
            </w:tcBorders>
            <w:vAlign w:val="center"/>
          </w:tcPr>
          <w:p w14:paraId="3B1C0FCE">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1700" w:type="dxa"/>
            <w:vMerge w:val="continue"/>
            <w:tcBorders>
              <w:top w:val="nil"/>
            </w:tcBorders>
            <w:vAlign w:val="center"/>
          </w:tcPr>
          <w:p w14:paraId="2F51A256">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6783" w:type="dxa"/>
            <w:vAlign w:val="center"/>
          </w:tcPr>
          <w:p w14:paraId="59C113C4">
            <w:pPr>
              <w:kinsoku w:val="0"/>
              <w:autoSpaceDE w:val="0"/>
              <w:autoSpaceDN w:val="0"/>
              <w:adjustRightInd w:val="0"/>
              <w:snapToGrid w:val="0"/>
              <w:spacing w:before="58" w:line="213" w:lineRule="auto"/>
              <w:ind w:firstLine="0" w:firstLineChars="0"/>
              <w:jc w:val="left"/>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spacing w:val="-2"/>
                <w:kern w:val="0"/>
                <w:sz w:val="24"/>
                <w:szCs w:val="24"/>
                <w:lang w:eastAsia="en-US"/>
              </w:rPr>
              <w:t>存在问题</w:t>
            </w:r>
          </w:p>
        </w:tc>
        <w:tc>
          <w:tcPr>
            <w:tcW w:w="984" w:type="dxa"/>
            <w:vAlign w:val="center"/>
          </w:tcPr>
          <w:p w14:paraId="0EF43532">
            <w:pPr>
              <w:kinsoku w:val="0"/>
              <w:autoSpaceDE w:val="0"/>
              <w:autoSpaceDN w:val="0"/>
              <w:adjustRightInd w:val="0"/>
              <w:snapToGrid w:val="0"/>
              <w:spacing w:before="58" w:line="213" w:lineRule="auto"/>
              <w:ind w:firstLine="444"/>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spacing w:val="-9"/>
                <w:kern w:val="0"/>
                <w:sz w:val="24"/>
                <w:szCs w:val="24"/>
                <w:lang w:eastAsia="en-US"/>
              </w:rPr>
              <w:t>0-2</w:t>
            </w:r>
          </w:p>
        </w:tc>
        <w:tc>
          <w:tcPr>
            <w:tcW w:w="683" w:type="dxa"/>
            <w:vAlign w:val="center"/>
          </w:tcPr>
          <w:p w14:paraId="02EA62B3">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1609" w:type="dxa"/>
            <w:vMerge w:val="continue"/>
            <w:tcBorders>
              <w:top w:val="nil"/>
            </w:tcBorders>
            <w:vAlign w:val="center"/>
          </w:tcPr>
          <w:p w14:paraId="2A5F4540">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r>
    </w:tbl>
    <w:p w14:paraId="5ABB7EFB">
      <w:pPr>
        <w:spacing w:line="240" w:lineRule="exact"/>
        <w:ind w:firstLine="0" w:firstLineChars="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br w:type="page"/>
      </w:r>
    </w:p>
    <w:tbl>
      <w:tblPr>
        <w:tblStyle w:val="35"/>
        <w:tblW w:w="138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3"/>
        <w:gridCol w:w="817"/>
        <w:gridCol w:w="1700"/>
        <w:gridCol w:w="6783"/>
        <w:gridCol w:w="984"/>
        <w:gridCol w:w="683"/>
        <w:gridCol w:w="1609"/>
      </w:tblGrid>
      <w:tr w14:paraId="71C03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313" w:type="dxa"/>
            <w:vAlign w:val="center"/>
          </w:tcPr>
          <w:p w14:paraId="1B06ECCD">
            <w:pPr>
              <w:spacing w:line="240" w:lineRule="exact"/>
              <w:ind w:firstLine="0" w:firstLineChars="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4"/>
                <w:sz w:val="24"/>
                <w:szCs w:val="24"/>
              </w:rPr>
              <w:t>评价要素</w:t>
            </w:r>
          </w:p>
        </w:tc>
        <w:tc>
          <w:tcPr>
            <w:tcW w:w="817" w:type="dxa"/>
            <w:vAlign w:val="center"/>
          </w:tcPr>
          <w:p w14:paraId="3403AA43">
            <w:pPr>
              <w:spacing w:line="240" w:lineRule="exact"/>
              <w:ind w:firstLine="0" w:firstLineChars="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7"/>
                <w:sz w:val="24"/>
                <w:szCs w:val="24"/>
              </w:rPr>
              <w:t>序号</w:t>
            </w:r>
          </w:p>
        </w:tc>
        <w:tc>
          <w:tcPr>
            <w:tcW w:w="1700" w:type="dxa"/>
            <w:vAlign w:val="center"/>
          </w:tcPr>
          <w:p w14:paraId="09362E46">
            <w:pPr>
              <w:spacing w:line="240" w:lineRule="exact"/>
              <w:ind w:firstLine="0" w:firstLineChars="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4"/>
                <w:sz w:val="24"/>
                <w:szCs w:val="24"/>
              </w:rPr>
              <w:t>评审因素</w:t>
            </w:r>
          </w:p>
        </w:tc>
        <w:tc>
          <w:tcPr>
            <w:tcW w:w="6783" w:type="dxa"/>
            <w:vAlign w:val="center"/>
          </w:tcPr>
          <w:p w14:paraId="3C780445">
            <w:pPr>
              <w:spacing w:line="240" w:lineRule="exact"/>
              <w:ind w:firstLine="466"/>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4"/>
                <w:sz w:val="24"/>
                <w:szCs w:val="24"/>
              </w:rPr>
              <w:t>评分标准</w:t>
            </w:r>
          </w:p>
        </w:tc>
        <w:tc>
          <w:tcPr>
            <w:tcW w:w="984" w:type="dxa"/>
            <w:vAlign w:val="center"/>
          </w:tcPr>
          <w:p w14:paraId="1E5E971B">
            <w:pPr>
              <w:spacing w:line="240" w:lineRule="exact"/>
              <w:ind w:firstLine="0" w:firstLineChars="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3"/>
                <w:sz w:val="24"/>
                <w:szCs w:val="24"/>
              </w:rPr>
              <w:t>标准分值</w:t>
            </w:r>
          </w:p>
        </w:tc>
        <w:tc>
          <w:tcPr>
            <w:tcW w:w="683" w:type="dxa"/>
            <w:vAlign w:val="center"/>
          </w:tcPr>
          <w:p w14:paraId="1C74A44F">
            <w:pPr>
              <w:spacing w:line="240" w:lineRule="exact"/>
              <w:ind w:firstLine="0" w:firstLineChars="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7"/>
                <w:sz w:val="24"/>
                <w:szCs w:val="24"/>
              </w:rPr>
              <w:t>评分</w:t>
            </w:r>
          </w:p>
        </w:tc>
        <w:tc>
          <w:tcPr>
            <w:tcW w:w="1609" w:type="dxa"/>
            <w:vAlign w:val="center"/>
          </w:tcPr>
          <w:p w14:paraId="33579859">
            <w:pPr>
              <w:spacing w:line="240" w:lineRule="exact"/>
              <w:ind w:firstLine="0" w:firstLineChars="0"/>
              <w:jc w:val="center"/>
              <w:rPr>
                <w:rFonts w:hint="eastAsia" w:asciiTheme="minorEastAsia" w:hAnsiTheme="minorEastAsia" w:eastAsiaTheme="minorEastAsia" w:cstheme="minorEastAsia"/>
                <w:b/>
                <w:bCs/>
                <w:spacing w:val="-7"/>
                <w:sz w:val="24"/>
                <w:szCs w:val="24"/>
              </w:rPr>
            </w:pPr>
            <w:r>
              <w:rPr>
                <w:rFonts w:hint="eastAsia" w:asciiTheme="minorEastAsia" w:hAnsiTheme="minorEastAsia" w:eastAsiaTheme="minorEastAsia" w:cstheme="minorEastAsia"/>
                <w:b/>
                <w:bCs/>
                <w:spacing w:val="-7"/>
                <w:sz w:val="24"/>
                <w:szCs w:val="24"/>
              </w:rPr>
              <w:t>备注</w:t>
            </w:r>
          </w:p>
        </w:tc>
      </w:tr>
      <w:tr w14:paraId="4D586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13" w:type="dxa"/>
            <w:vMerge w:val="restart"/>
            <w:tcBorders>
              <w:bottom w:val="nil"/>
            </w:tcBorders>
            <w:vAlign w:val="center"/>
          </w:tcPr>
          <w:p w14:paraId="2C585346">
            <w:pPr>
              <w:kinsoku w:val="0"/>
              <w:autoSpaceDE w:val="0"/>
              <w:autoSpaceDN w:val="0"/>
              <w:adjustRightInd w:val="0"/>
              <w:snapToGrid w:val="0"/>
              <w:spacing w:before="78" w:line="231" w:lineRule="auto"/>
              <w:ind w:right="160" w:firstLine="0" w:firstLineChars="0"/>
              <w:jc w:val="center"/>
              <w:textAlignment w:val="baseline"/>
              <w:rPr>
                <w:rFonts w:hint="eastAsia" w:asciiTheme="minorEastAsia" w:hAnsiTheme="minorEastAsia" w:eastAsiaTheme="minorEastAsia" w:cstheme="minorEastAsia"/>
                <w:snapToGrid w:val="0"/>
                <w:color w:val="000000"/>
                <w:spacing w:val="-4"/>
                <w:kern w:val="0"/>
                <w:sz w:val="24"/>
                <w:szCs w:val="24"/>
                <w:lang w:eastAsia="en-US"/>
              </w:rPr>
            </w:pPr>
            <w:r>
              <w:rPr>
                <w:rFonts w:hint="eastAsia" w:asciiTheme="minorEastAsia" w:hAnsiTheme="minorEastAsia" w:eastAsiaTheme="minorEastAsia" w:cstheme="minorEastAsia"/>
                <w:snapToGrid w:val="0"/>
                <w:color w:val="000000"/>
                <w:spacing w:val="-5"/>
                <w:kern w:val="0"/>
                <w:sz w:val="24"/>
                <w:szCs w:val="24"/>
                <w:lang w:eastAsia="en-US"/>
              </w:rPr>
              <w:t>生态环保要</w:t>
            </w:r>
            <w:r>
              <w:rPr>
                <w:rFonts w:hint="eastAsia" w:asciiTheme="minorEastAsia" w:hAnsiTheme="minorEastAsia" w:eastAsiaTheme="minorEastAsia" w:cstheme="minorEastAsia"/>
                <w:snapToGrid w:val="0"/>
                <w:color w:val="000000"/>
                <w:spacing w:val="-4"/>
                <w:kern w:val="0"/>
                <w:sz w:val="24"/>
                <w:szCs w:val="24"/>
                <w:lang w:eastAsia="en-US"/>
              </w:rPr>
              <w:t>求</w:t>
            </w:r>
          </w:p>
          <w:p w14:paraId="2860F516">
            <w:pPr>
              <w:kinsoku w:val="0"/>
              <w:autoSpaceDE w:val="0"/>
              <w:autoSpaceDN w:val="0"/>
              <w:adjustRightInd w:val="0"/>
              <w:snapToGrid w:val="0"/>
              <w:spacing w:before="78" w:line="231" w:lineRule="auto"/>
              <w:ind w:right="160" w:firstLine="0" w:firstLineChars="0"/>
              <w:jc w:val="center"/>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spacing w:val="-4"/>
                <w:kern w:val="0"/>
                <w:sz w:val="24"/>
                <w:szCs w:val="24"/>
                <w:lang w:eastAsia="en-US"/>
              </w:rPr>
              <w:t>（20分）</w:t>
            </w:r>
          </w:p>
        </w:tc>
        <w:tc>
          <w:tcPr>
            <w:tcW w:w="817" w:type="dxa"/>
            <w:vMerge w:val="restart"/>
            <w:tcBorders>
              <w:bottom w:val="nil"/>
            </w:tcBorders>
            <w:vAlign w:val="center"/>
          </w:tcPr>
          <w:p w14:paraId="514479A7">
            <w:pPr>
              <w:widowControl/>
              <w:kinsoku w:val="0"/>
              <w:autoSpaceDE w:val="0"/>
              <w:autoSpaceDN w:val="0"/>
              <w:adjustRightInd w:val="0"/>
              <w:snapToGrid w:val="0"/>
              <w:spacing w:before="272" w:line="188" w:lineRule="auto"/>
              <w:ind w:firstLine="0" w:firstLineChars="0"/>
              <w:jc w:val="center"/>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spacing w:val="-15"/>
                <w:kern w:val="0"/>
                <w:sz w:val="24"/>
                <w:szCs w:val="24"/>
                <w:lang w:eastAsia="en-US"/>
              </w:rPr>
              <w:t>13</w:t>
            </w:r>
          </w:p>
        </w:tc>
        <w:tc>
          <w:tcPr>
            <w:tcW w:w="1700" w:type="dxa"/>
            <w:vMerge w:val="restart"/>
            <w:tcBorders>
              <w:bottom w:val="nil"/>
            </w:tcBorders>
            <w:vAlign w:val="center"/>
          </w:tcPr>
          <w:p w14:paraId="2AFF4D94">
            <w:pPr>
              <w:kinsoku w:val="0"/>
              <w:autoSpaceDE w:val="0"/>
              <w:autoSpaceDN w:val="0"/>
              <w:adjustRightInd w:val="0"/>
              <w:snapToGrid w:val="0"/>
              <w:spacing w:before="83" w:line="230" w:lineRule="auto"/>
              <w:ind w:right="128" w:firstLine="0" w:firstLineChars="0"/>
              <w:jc w:val="center"/>
              <w:textAlignment w:val="baseline"/>
              <w:rPr>
                <w:rFonts w:hint="eastAsia"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spacing w:val="-3"/>
                <w:kern w:val="0"/>
                <w:sz w:val="24"/>
                <w:szCs w:val="24"/>
              </w:rPr>
              <w:t>工艺和产品绿色性（5分）</w:t>
            </w:r>
          </w:p>
        </w:tc>
        <w:tc>
          <w:tcPr>
            <w:tcW w:w="6783" w:type="dxa"/>
          </w:tcPr>
          <w:p w14:paraId="470AF18F">
            <w:pPr>
              <w:kinsoku w:val="0"/>
              <w:autoSpaceDE w:val="0"/>
              <w:autoSpaceDN w:val="0"/>
              <w:adjustRightInd w:val="0"/>
              <w:snapToGrid w:val="0"/>
              <w:spacing w:before="59" w:line="212" w:lineRule="auto"/>
              <w:ind w:firstLine="0" w:firstLineChars="0"/>
              <w:jc w:val="left"/>
              <w:textAlignment w:val="baseline"/>
              <w:rPr>
                <w:rFonts w:hint="eastAsia"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spacing w:val="-1"/>
                <w:kern w:val="0"/>
                <w:sz w:val="24"/>
                <w:szCs w:val="24"/>
              </w:rPr>
              <w:t>未列入《环境保护综合名录》</w:t>
            </w:r>
          </w:p>
        </w:tc>
        <w:tc>
          <w:tcPr>
            <w:tcW w:w="984" w:type="dxa"/>
            <w:vAlign w:val="center"/>
          </w:tcPr>
          <w:p w14:paraId="4DB0A0E7">
            <w:pPr>
              <w:kinsoku w:val="0"/>
              <w:autoSpaceDE w:val="0"/>
              <w:autoSpaceDN w:val="0"/>
              <w:adjustRightInd w:val="0"/>
              <w:snapToGrid w:val="0"/>
              <w:spacing w:before="59" w:line="212" w:lineRule="auto"/>
              <w:ind w:firstLine="480"/>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kern w:val="0"/>
                <w:sz w:val="24"/>
                <w:szCs w:val="24"/>
                <w:lang w:eastAsia="en-US"/>
              </w:rPr>
              <w:t>5</w:t>
            </w:r>
          </w:p>
        </w:tc>
        <w:tc>
          <w:tcPr>
            <w:tcW w:w="683" w:type="dxa"/>
          </w:tcPr>
          <w:p w14:paraId="5FBF4B67">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1609" w:type="dxa"/>
            <w:vMerge w:val="restart"/>
            <w:tcBorders>
              <w:bottom w:val="nil"/>
            </w:tcBorders>
          </w:tcPr>
          <w:p w14:paraId="0E4EDF19">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r>
      <w:tr w14:paraId="3C46C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13" w:type="dxa"/>
            <w:vMerge w:val="continue"/>
            <w:tcBorders>
              <w:top w:val="nil"/>
              <w:bottom w:val="nil"/>
            </w:tcBorders>
            <w:vAlign w:val="center"/>
          </w:tcPr>
          <w:p w14:paraId="4C3AB8C9">
            <w:pPr>
              <w:widowControl/>
              <w:kinsoku w:val="0"/>
              <w:autoSpaceDE w:val="0"/>
              <w:autoSpaceDN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817" w:type="dxa"/>
            <w:vMerge w:val="continue"/>
            <w:tcBorders>
              <w:top w:val="nil"/>
            </w:tcBorders>
            <w:vAlign w:val="center"/>
          </w:tcPr>
          <w:p w14:paraId="09BDBB97">
            <w:pPr>
              <w:widowControl/>
              <w:kinsoku w:val="0"/>
              <w:autoSpaceDE w:val="0"/>
              <w:autoSpaceDN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1700" w:type="dxa"/>
            <w:vMerge w:val="continue"/>
            <w:tcBorders>
              <w:top w:val="nil"/>
            </w:tcBorders>
            <w:vAlign w:val="center"/>
          </w:tcPr>
          <w:p w14:paraId="41738CC1">
            <w:pPr>
              <w:widowControl/>
              <w:kinsoku w:val="0"/>
              <w:autoSpaceDE w:val="0"/>
              <w:autoSpaceDN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6783" w:type="dxa"/>
          </w:tcPr>
          <w:p w14:paraId="0965C05D">
            <w:pPr>
              <w:kinsoku w:val="0"/>
              <w:autoSpaceDE w:val="0"/>
              <w:autoSpaceDN w:val="0"/>
              <w:adjustRightInd w:val="0"/>
              <w:snapToGrid w:val="0"/>
              <w:spacing w:before="59" w:line="212" w:lineRule="auto"/>
              <w:ind w:firstLine="0" w:firstLineChars="0"/>
              <w:jc w:val="left"/>
              <w:textAlignment w:val="baseline"/>
              <w:rPr>
                <w:rFonts w:hint="eastAsia"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spacing w:val="-2"/>
                <w:kern w:val="0"/>
                <w:sz w:val="24"/>
                <w:szCs w:val="24"/>
              </w:rPr>
              <w:t>列入《环境保护综合名录》</w:t>
            </w:r>
          </w:p>
        </w:tc>
        <w:tc>
          <w:tcPr>
            <w:tcW w:w="984" w:type="dxa"/>
            <w:vAlign w:val="center"/>
          </w:tcPr>
          <w:p w14:paraId="1A9C4B7C">
            <w:pPr>
              <w:kinsoku w:val="0"/>
              <w:autoSpaceDE w:val="0"/>
              <w:autoSpaceDN w:val="0"/>
              <w:adjustRightInd w:val="0"/>
              <w:snapToGrid w:val="0"/>
              <w:spacing w:before="59" w:line="212" w:lineRule="auto"/>
              <w:ind w:firstLine="480"/>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kern w:val="0"/>
                <w:sz w:val="24"/>
                <w:szCs w:val="24"/>
                <w:lang w:eastAsia="en-US"/>
              </w:rPr>
              <w:t>0</w:t>
            </w:r>
          </w:p>
        </w:tc>
        <w:tc>
          <w:tcPr>
            <w:tcW w:w="683" w:type="dxa"/>
          </w:tcPr>
          <w:p w14:paraId="7F4CB14C">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1609" w:type="dxa"/>
            <w:vMerge w:val="continue"/>
            <w:tcBorders>
              <w:top w:val="nil"/>
              <w:bottom w:val="nil"/>
            </w:tcBorders>
          </w:tcPr>
          <w:p w14:paraId="4C043D2C">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r>
      <w:tr w14:paraId="5CC1B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13" w:type="dxa"/>
            <w:vMerge w:val="continue"/>
            <w:tcBorders>
              <w:top w:val="nil"/>
              <w:bottom w:val="nil"/>
            </w:tcBorders>
            <w:vAlign w:val="center"/>
          </w:tcPr>
          <w:p w14:paraId="1EEB6F9A">
            <w:pPr>
              <w:widowControl/>
              <w:kinsoku w:val="0"/>
              <w:autoSpaceDE w:val="0"/>
              <w:autoSpaceDN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817" w:type="dxa"/>
            <w:vMerge w:val="restart"/>
            <w:tcBorders>
              <w:bottom w:val="nil"/>
            </w:tcBorders>
            <w:vAlign w:val="center"/>
          </w:tcPr>
          <w:p w14:paraId="62E6D63B">
            <w:pPr>
              <w:widowControl/>
              <w:kinsoku w:val="0"/>
              <w:autoSpaceDE w:val="0"/>
              <w:autoSpaceDN w:val="0"/>
              <w:adjustRightInd w:val="0"/>
              <w:snapToGrid w:val="0"/>
              <w:spacing w:before="69" w:line="188" w:lineRule="auto"/>
              <w:ind w:left="326" w:firstLine="0" w:firstLineChars="0"/>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spacing w:val="-15"/>
                <w:kern w:val="0"/>
                <w:sz w:val="24"/>
                <w:szCs w:val="24"/>
                <w:lang w:eastAsia="en-US"/>
              </w:rPr>
              <w:t>14</w:t>
            </w:r>
          </w:p>
        </w:tc>
        <w:tc>
          <w:tcPr>
            <w:tcW w:w="1700" w:type="dxa"/>
            <w:vMerge w:val="restart"/>
            <w:tcBorders>
              <w:bottom w:val="nil"/>
            </w:tcBorders>
            <w:vAlign w:val="center"/>
          </w:tcPr>
          <w:p w14:paraId="5C826352">
            <w:pPr>
              <w:kinsoku w:val="0"/>
              <w:autoSpaceDE w:val="0"/>
              <w:autoSpaceDN w:val="0"/>
              <w:adjustRightInd w:val="0"/>
              <w:snapToGrid w:val="0"/>
              <w:spacing w:before="259" w:line="230" w:lineRule="auto"/>
              <w:ind w:firstLine="0" w:firstLineChars="0"/>
              <w:jc w:val="center"/>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spacing w:val="-5"/>
                <w:kern w:val="0"/>
                <w:sz w:val="24"/>
                <w:szCs w:val="24"/>
                <w:lang w:eastAsia="en-US"/>
              </w:rPr>
              <w:t>污染治理措施</w:t>
            </w:r>
            <w:r>
              <w:rPr>
                <w:rFonts w:hint="eastAsia" w:asciiTheme="minorEastAsia" w:hAnsiTheme="minorEastAsia" w:eastAsiaTheme="minorEastAsia" w:cstheme="minorEastAsia"/>
                <w:snapToGrid w:val="0"/>
                <w:color w:val="000000"/>
                <w:spacing w:val="-13"/>
                <w:kern w:val="0"/>
                <w:sz w:val="24"/>
                <w:szCs w:val="24"/>
                <w:lang w:eastAsia="en-US"/>
              </w:rPr>
              <w:t>合理性（10分）</w:t>
            </w:r>
          </w:p>
        </w:tc>
        <w:tc>
          <w:tcPr>
            <w:tcW w:w="6783" w:type="dxa"/>
          </w:tcPr>
          <w:p w14:paraId="40E9745B">
            <w:pPr>
              <w:kinsoku w:val="0"/>
              <w:autoSpaceDE w:val="0"/>
              <w:autoSpaceDN w:val="0"/>
              <w:adjustRightInd w:val="0"/>
              <w:snapToGrid w:val="0"/>
              <w:spacing w:before="59" w:line="212" w:lineRule="auto"/>
              <w:ind w:firstLine="0" w:firstLineChars="0"/>
              <w:jc w:val="left"/>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spacing w:val="-7"/>
                <w:kern w:val="0"/>
                <w:sz w:val="24"/>
                <w:szCs w:val="24"/>
                <w:lang w:eastAsia="en-US"/>
              </w:rPr>
              <w:t>合理</w:t>
            </w:r>
          </w:p>
        </w:tc>
        <w:tc>
          <w:tcPr>
            <w:tcW w:w="984" w:type="dxa"/>
            <w:vAlign w:val="center"/>
          </w:tcPr>
          <w:p w14:paraId="5717A25D">
            <w:pPr>
              <w:kinsoku w:val="0"/>
              <w:autoSpaceDE w:val="0"/>
              <w:autoSpaceDN w:val="0"/>
              <w:adjustRightInd w:val="0"/>
              <w:snapToGrid w:val="0"/>
              <w:spacing w:before="59" w:line="212" w:lineRule="auto"/>
              <w:ind w:firstLine="456"/>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spacing w:val="-6"/>
                <w:kern w:val="0"/>
                <w:sz w:val="24"/>
                <w:szCs w:val="24"/>
                <w:lang w:eastAsia="en-US"/>
              </w:rPr>
              <w:t>8-10</w:t>
            </w:r>
          </w:p>
        </w:tc>
        <w:tc>
          <w:tcPr>
            <w:tcW w:w="683" w:type="dxa"/>
          </w:tcPr>
          <w:p w14:paraId="093A9344">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1609" w:type="dxa"/>
            <w:vMerge w:val="continue"/>
            <w:tcBorders>
              <w:top w:val="nil"/>
              <w:bottom w:val="nil"/>
            </w:tcBorders>
          </w:tcPr>
          <w:p w14:paraId="65A48E54">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r>
      <w:tr w14:paraId="3CDC3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13" w:type="dxa"/>
            <w:vMerge w:val="continue"/>
            <w:tcBorders>
              <w:top w:val="nil"/>
              <w:bottom w:val="nil"/>
            </w:tcBorders>
            <w:vAlign w:val="center"/>
          </w:tcPr>
          <w:p w14:paraId="49158173">
            <w:pPr>
              <w:widowControl/>
              <w:kinsoku w:val="0"/>
              <w:autoSpaceDE w:val="0"/>
              <w:autoSpaceDN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817" w:type="dxa"/>
            <w:vMerge w:val="continue"/>
            <w:tcBorders>
              <w:top w:val="nil"/>
              <w:bottom w:val="nil"/>
            </w:tcBorders>
            <w:vAlign w:val="center"/>
          </w:tcPr>
          <w:p w14:paraId="4D004D9E">
            <w:pPr>
              <w:widowControl/>
              <w:kinsoku w:val="0"/>
              <w:autoSpaceDE w:val="0"/>
              <w:autoSpaceDN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1700" w:type="dxa"/>
            <w:vMerge w:val="continue"/>
            <w:tcBorders>
              <w:top w:val="nil"/>
              <w:bottom w:val="nil"/>
            </w:tcBorders>
            <w:vAlign w:val="center"/>
          </w:tcPr>
          <w:p w14:paraId="6A48AECC">
            <w:pPr>
              <w:widowControl/>
              <w:kinsoku w:val="0"/>
              <w:autoSpaceDE w:val="0"/>
              <w:autoSpaceDN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6783" w:type="dxa"/>
          </w:tcPr>
          <w:p w14:paraId="655935EB">
            <w:pPr>
              <w:kinsoku w:val="0"/>
              <w:autoSpaceDE w:val="0"/>
              <w:autoSpaceDN w:val="0"/>
              <w:adjustRightInd w:val="0"/>
              <w:snapToGrid w:val="0"/>
              <w:spacing w:before="58" w:line="213" w:lineRule="auto"/>
              <w:ind w:firstLine="0" w:firstLineChars="0"/>
              <w:jc w:val="left"/>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spacing w:val="-2"/>
                <w:kern w:val="0"/>
                <w:sz w:val="24"/>
                <w:szCs w:val="24"/>
                <w:lang w:eastAsia="en-US"/>
              </w:rPr>
              <w:t>基本合理</w:t>
            </w:r>
          </w:p>
        </w:tc>
        <w:tc>
          <w:tcPr>
            <w:tcW w:w="984" w:type="dxa"/>
            <w:vAlign w:val="center"/>
          </w:tcPr>
          <w:p w14:paraId="22B68F83">
            <w:pPr>
              <w:kinsoku w:val="0"/>
              <w:autoSpaceDE w:val="0"/>
              <w:autoSpaceDN w:val="0"/>
              <w:adjustRightInd w:val="0"/>
              <w:snapToGrid w:val="0"/>
              <w:spacing w:before="58" w:line="213" w:lineRule="auto"/>
              <w:ind w:firstLine="456"/>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spacing w:val="-6"/>
                <w:kern w:val="0"/>
                <w:sz w:val="24"/>
                <w:szCs w:val="24"/>
                <w:lang w:eastAsia="en-US"/>
              </w:rPr>
              <w:t>4-7</w:t>
            </w:r>
          </w:p>
        </w:tc>
        <w:tc>
          <w:tcPr>
            <w:tcW w:w="683" w:type="dxa"/>
          </w:tcPr>
          <w:p w14:paraId="3DF4E0D1">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1609" w:type="dxa"/>
            <w:vMerge w:val="continue"/>
            <w:tcBorders>
              <w:top w:val="nil"/>
              <w:bottom w:val="nil"/>
            </w:tcBorders>
          </w:tcPr>
          <w:p w14:paraId="35859AD8">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r>
      <w:tr w14:paraId="45F22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13" w:type="dxa"/>
            <w:vMerge w:val="continue"/>
            <w:tcBorders>
              <w:top w:val="nil"/>
              <w:bottom w:val="nil"/>
            </w:tcBorders>
            <w:vAlign w:val="center"/>
          </w:tcPr>
          <w:p w14:paraId="3F984E03">
            <w:pPr>
              <w:widowControl/>
              <w:kinsoku w:val="0"/>
              <w:autoSpaceDE w:val="0"/>
              <w:autoSpaceDN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817" w:type="dxa"/>
            <w:vMerge w:val="continue"/>
            <w:tcBorders>
              <w:top w:val="nil"/>
            </w:tcBorders>
            <w:vAlign w:val="center"/>
          </w:tcPr>
          <w:p w14:paraId="11E721B6">
            <w:pPr>
              <w:widowControl/>
              <w:kinsoku w:val="0"/>
              <w:autoSpaceDE w:val="0"/>
              <w:autoSpaceDN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1700" w:type="dxa"/>
            <w:vMerge w:val="continue"/>
            <w:tcBorders>
              <w:top w:val="nil"/>
            </w:tcBorders>
            <w:vAlign w:val="center"/>
          </w:tcPr>
          <w:p w14:paraId="057987E3">
            <w:pPr>
              <w:widowControl/>
              <w:kinsoku w:val="0"/>
              <w:autoSpaceDE w:val="0"/>
              <w:autoSpaceDN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6783" w:type="dxa"/>
          </w:tcPr>
          <w:p w14:paraId="305AB282">
            <w:pPr>
              <w:kinsoku w:val="0"/>
              <w:autoSpaceDE w:val="0"/>
              <w:autoSpaceDN w:val="0"/>
              <w:adjustRightInd w:val="0"/>
              <w:snapToGrid w:val="0"/>
              <w:spacing w:before="58" w:line="213" w:lineRule="auto"/>
              <w:ind w:firstLine="0" w:firstLineChars="0"/>
              <w:jc w:val="left"/>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spacing w:val="-2"/>
                <w:kern w:val="0"/>
                <w:sz w:val="24"/>
                <w:szCs w:val="24"/>
                <w:lang w:eastAsia="en-US"/>
              </w:rPr>
              <w:t>存在问题</w:t>
            </w:r>
          </w:p>
        </w:tc>
        <w:tc>
          <w:tcPr>
            <w:tcW w:w="984" w:type="dxa"/>
            <w:vAlign w:val="center"/>
          </w:tcPr>
          <w:p w14:paraId="2E2147EB">
            <w:pPr>
              <w:kinsoku w:val="0"/>
              <w:autoSpaceDE w:val="0"/>
              <w:autoSpaceDN w:val="0"/>
              <w:adjustRightInd w:val="0"/>
              <w:snapToGrid w:val="0"/>
              <w:spacing w:before="58" w:line="213" w:lineRule="auto"/>
              <w:ind w:firstLine="444"/>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spacing w:val="-9"/>
                <w:kern w:val="0"/>
                <w:sz w:val="24"/>
                <w:szCs w:val="24"/>
                <w:lang w:eastAsia="en-US"/>
              </w:rPr>
              <w:t>0-3</w:t>
            </w:r>
          </w:p>
        </w:tc>
        <w:tc>
          <w:tcPr>
            <w:tcW w:w="683" w:type="dxa"/>
          </w:tcPr>
          <w:p w14:paraId="160F5485">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1609" w:type="dxa"/>
            <w:vMerge w:val="continue"/>
            <w:tcBorders>
              <w:top w:val="nil"/>
              <w:bottom w:val="nil"/>
            </w:tcBorders>
          </w:tcPr>
          <w:p w14:paraId="35A2C6C2">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r>
      <w:tr w14:paraId="57AB3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13" w:type="dxa"/>
            <w:vMerge w:val="continue"/>
            <w:tcBorders>
              <w:top w:val="nil"/>
              <w:bottom w:val="nil"/>
            </w:tcBorders>
            <w:vAlign w:val="center"/>
          </w:tcPr>
          <w:p w14:paraId="37CCC8D9">
            <w:pPr>
              <w:widowControl/>
              <w:kinsoku w:val="0"/>
              <w:autoSpaceDE w:val="0"/>
              <w:autoSpaceDN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817" w:type="dxa"/>
            <w:vMerge w:val="restart"/>
            <w:tcBorders>
              <w:bottom w:val="nil"/>
            </w:tcBorders>
            <w:vAlign w:val="center"/>
          </w:tcPr>
          <w:p w14:paraId="1B2FBC1E">
            <w:pPr>
              <w:widowControl/>
              <w:kinsoku w:val="0"/>
              <w:autoSpaceDE w:val="0"/>
              <w:autoSpaceDN w:val="0"/>
              <w:adjustRightInd w:val="0"/>
              <w:snapToGrid w:val="0"/>
              <w:spacing w:before="69" w:line="188" w:lineRule="auto"/>
              <w:ind w:left="326" w:firstLine="0" w:firstLineChars="0"/>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spacing w:val="-15"/>
                <w:kern w:val="0"/>
                <w:sz w:val="24"/>
                <w:szCs w:val="24"/>
                <w:lang w:eastAsia="en-US"/>
              </w:rPr>
              <w:t>15</w:t>
            </w:r>
          </w:p>
        </w:tc>
        <w:tc>
          <w:tcPr>
            <w:tcW w:w="1700" w:type="dxa"/>
            <w:vMerge w:val="restart"/>
            <w:tcBorders>
              <w:bottom w:val="nil"/>
            </w:tcBorders>
            <w:vAlign w:val="center"/>
          </w:tcPr>
          <w:p w14:paraId="6649AF8B">
            <w:pPr>
              <w:kinsoku w:val="0"/>
              <w:autoSpaceDE w:val="0"/>
              <w:autoSpaceDN w:val="0"/>
              <w:adjustRightInd w:val="0"/>
              <w:snapToGrid w:val="0"/>
              <w:spacing w:before="257" w:line="215" w:lineRule="auto"/>
              <w:ind w:firstLine="0" w:firstLineChars="0"/>
              <w:jc w:val="center"/>
              <w:textAlignment w:val="baseline"/>
              <w:rPr>
                <w:rFonts w:hint="eastAsia" w:asciiTheme="minorEastAsia" w:hAnsiTheme="minorEastAsia" w:eastAsiaTheme="minorEastAsia" w:cstheme="minorEastAsia"/>
                <w:snapToGrid w:val="0"/>
                <w:color w:val="000000"/>
                <w:spacing w:val="-4"/>
                <w:kern w:val="0"/>
                <w:sz w:val="24"/>
                <w:szCs w:val="24"/>
                <w:lang w:eastAsia="en-US"/>
              </w:rPr>
            </w:pPr>
            <w:r>
              <w:rPr>
                <w:rFonts w:hint="eastAsia" w:asciiTheme="minorEastAsia" w:hAnsiTheme="minorEastAsia" w:eastAsiaTheme="minorEastAsia" w:cstheme="minorEastAsia"/>
                <w:snapToGrid w:val="0"/>
                <w:color w:val="000000"/>
                <w:spacing w:val="-4"/>
                <w:kern w:val="0"/>
                <w:sz w:val="24"/>
                <w:szCs w:val="24"/>
                <w:lang w:eastAsia="en-US"/>
              </w:rPr>
              <w:t>清洁生产水平</w:t>
            </w:r>
          </w:p>
          <w:p w14:paraId="49E8AB86">
            <w:pPr>
              <w:kinsoku w:val="0"/>
              <w:autoSpaceDE w:val="0"/>
              <w:autoSpaceDN w:val="0"/>
              <w:adjustRightInd w:val="0"/>
              <w:snapToGrid w:val="0"/>
              <w:spacing w:before="257" w:line="215" w:lineRule="auto"/>
              <w:ind w:firstLine="0" w:firstLineChars="0"/>
              <w:jc w:val="center"/>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spacing w:val="-2"/>
                <w:kern w:val="0"/>
                <w:sz w:val="24"/>
                <w:szCs w:val="24"/>
                <w:lang w:eastAsia="en-US"/>
              </w:rPr>
              <w:t>（5分）</w:t>
            </w:r>
          </w:p>
        </w:tc>
        <w:tc>
          <w:tcPr>
            <w:tcW w:w="6783" w:type="dxa"/>
          </w:tcPr>
          <w:p w14:paraId="08D6EEEC">
            <w:pPr>
              <w:kinsoku w:val="0"/>
              <w:autoSpaceDE w:val="0"/>
              <w:autoSpaceDN w:val="0"/>
              <w:adjustRightInd w:val="0"/>
              <w:snapToGrid w:val="0"/>
              <w:spacing w:before="58" w:line="213" w:lineRule="auto"/>
              <w:ind w:firstLine="0" w:firstLineChars="0"/>
              <w:jc w:val="left"/>
              <w:textAlignment w:val="baseline"/>
              <w:rPr>
                <w:rFonts w:hint="eastAsia"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spacing w:val="-1"/>
                <w:kern w:val="0"/>
                <w:sz w:val="24"/>
                <w:szCs w:val="24"/>
              </w:rPr>
              <w:t>达到标杆水平或世界领先水平</w:t>
            </w:r>
          </w:p>
        </w:tc>
        <w:tc>
          <w:tcPr>
            <w:tcW w:w="984" w:type="dxa"/>
            <w:vAlign w:val="center"/>
          </w:tcPr>
          <w:p w14:paraId="47F3B17A">
            <w:pPr>
              <w:kinsoku w:val="0"/>
              <w:autoSpaceDE w:val="0"/>
              <w:autoSpaceDN w:val="0"/>
              <w:adjustRightInd w:val="0"/>
              <w:snapToGrid w:val="0"/>
              <w:spacing w:before="58" w:line="213" w:lineRule="auto"/>
              <w:ind w:firstLine="456"/>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spacing w:val="-6"/>
                <w:kern w:val="0"/>
                <w:sz w:val="24"/>
                <w:szCs w:val="24"/>
                <w:lang w:eastAsia="en-US"/>
              </w:rPr>
              <w:t>4-5</w:t>
            </w:r>
          </w:p>
        </w:tc>
        <w:tc>
          <w:tcPr>
            <w:tcW w:w="683" w:type="dxa"/>
          </w:tcPr>
          <w:p w14:paraId="08BF667C">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1609" w:type="dxa"/>
            <w:vMerge w:val="continue"/>
            <w:tcBorders>
              <w:top w:val="nil"/>
              <w:bottom w:val="nil"/>
            </w:tcBorders>
          </w:tcPr>
          <w:p w14:paraId="02DEC1EA">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r>
      <w:tr w14:paraId="358AF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13" w:type="dxa"/>
            <w:vMerge w:val="continue"/>
            <w:tcBorders>
              <w:top w:val="nil"/>
              <w:bottom w:val="nil"/>
            </w:tcBorders>
            <w:vAlign w:val="center"/>
          </w:tcPr>
          <w:p w14:paraId="6E651A2A">
            <w:pPr>
              <w:widowControl/>
              <w:kinsoku w:val="0"/>
              <w:autoSpaceDE w:val="0"/>
              <w:autoSpaceDN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817" w:type="dxa"/>
            <w:vMerge w:val="continue"/>
            <w:tcBorders>
              <w:top w:val="nil"/>
              <w:bottom w:val="nil"/>
            </w:tcBorders>
            <w:vAlign w:val="center"/>
          </w:tcPr>
          <w:p w14:paraId="1C0D16F1">
            <w:pPr>
              <w:widowControl/>
              <w:kinsoku w:val="0"/>
              <w:autoSpaceDE w:val="0"/>
              <w:autoSpaceDN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1700" w:type="dxa"/>
            <w:vMerge w:val="continue"/>
            <w:tcBorders>
              <w:top w:val="nil"/>
              <w:bottom w:val="nil"/>
            </w:tcBorders>
            <w:vAlign w:val="center"/>
          </w:tcPr>
          <w:p w14:paraId="09281BB8">
            <w:pPr>
              <w:widowControl/>
              <w:kinsoku w:val="0"/>
              <w:autoSpaceDE w:val="0"/>
              <w:autoSpaceDN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6783" w:type="dxa"/>
          </w:tcPr>
          <w:p w14:paraId="3A2B5D79">
            <w:pPr>
              <w:kinsoku w:val="0"/>
              <w:autoSpaceDE w:val="0"/>
              <w:autoSpaceDN w:val="0"/>
              <w:adjustRightInd w:val="0"/>
              <w:snapToGrid w:val="0"/>
              <w:spacing w:before="59" w:line="212" w:lineRule="auto"/>
              <w:ind w:firstLine="0" w:firstLineChars="0"/>
              <w:jc w:val="left"/>
              <w:textAlignment w:val="baseline"/>
              <w:rPr>
                <w:rFonts w:hint="eastAsia"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spacing w:val="-1"/>
                <w:kern w:val="0"/>
                <w:sz w:val="24"/>
                <w:szCs w:val="24"/>
              </w:rPr>
              <w:t>达到国内清洁生产先进水平</w:t>
            </w:r>
          </w:p>
        </w:tc>
        <w:tc>
          <w:tcPr>
            <w:tcW w:w="984" w:type="dxa"/>
            <w:vAlign w:val="center"/>
          </w:tcPr>
          <w:p w14:paraId="18C4D275">
            <w:pPr>
              <w:kinsoku w:val="0"/>
              <w:autoSpaceDE w:val="0"/>
              <w:autoSpaceDN w:val="0"/>
              <w:adjustRightInd w:val="0"/>
              <w:snapToGrid w:val="0"/>
              <w:spacing w:before="59" w:line="212" w:lineRule="auto"/>
              <w:ind w:firstLine="452"/>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spacing w:val="-7"/>
                <w:kern w:val="0"/>
                <w:sz w:val="24"/>
                <w:szCs w:val="24"/>
                <w:lang w:eastAsia="en-US"/>
              </w:rPr>
              <w:t>2-3</w:t>
            </w:r>
          </w:p>
        </w:tc>
        <w:tc>
          <w:tcPr>
            <w:tcW w:w="683" w:type="dxa"/>
          </w:tcPr>
          <w:p w14:paraId="75F83D71">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1609" w:type="dxa"/>
            <w:vMerge w:val="continue"/>
            <w:tcBorders>
              <w:top w:val="nil"/>
              <w:bottom w:val="nil"/>
            </w:tcBorders>
          </w:tcPr>
          <w:p w14:paraId="73D6641A">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r>
      <w:tr w14:paraId="6C508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13" w:type="dxa"/>
            <w:vMerge w:val="continue"/>
            <w:tcBorders>
              <w:top w:val="nil"/>
              <w:bottom w:val="single" w:color="auto" w:sz="4" w:space="0"/>
            </w:tcBorders>
            <w:vAlign w:val="center"/>
          </w:tcPr>
          <w:p w14:paraId="6092E0E6">
            <w:pPr>
              <w:widowControl/>
              <w:kinsoku w:val="0"/>
              <w:autoSpaceDE w:val="0"/>
              <w:autoSpaceDN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817" w:type="dxa"/>
            <w:vMerge w:val="continue"/>
            <w:tcBorders>
              <w:top w:val="nil"/>
              <w:bottom w:val="single" w:color="auto" w:sz="4" w:space="0"/>
            </w:tcBorders>
            <w:vAlign w:val="center"/>
          </w:tcPr>
          <w:p w14:paraId="6599F23D">
            <w:pPr>
              <w:widowControl/>
              <w:kinsoku w:val="0"/>
              <w:autoSpaceDE w:val="0"/>
              <w:autoSpaceDN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1700" w:type="dxa"/>
            <w:vMerge w:val="continue"/>
            <w:tcBorders>
              <w:top w:val="nil"/>
              <w:bottom w:val="single" w:color="auto" w:sz="4" w:space="0"/>
            </w:tcBorders>
            <w:vAlign w:val="center"/>
          </w:tcPr>
          <w:p w14:paraId="70A8A7CE">
            <w:pPr>
              <w:widowControl/>
              <w:kinsoku w:val="0"/>
              <w:autoSpaceDE w:val="0"/>
              <w:autoSpaceDN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6783" w:type="dxa"/>
            <w:tcBorders>
              <w:bottom w:val="single" w:color="auto" w:sz="4" w:space="0"/>
            </w:tcBorders>
          </w:tcPr>
          <w:p w14:paraId="70EE2599">
            <w:pPr>
              <w:kinsoku w:val="0"/>
              <w:autoSpaceDE w:val="0"/>
              <w:autoSpaceDN w:val="0"/>
              <w:adjustRightInd w:val="0"/>
              <w:snapToGrid w:val="0"/>
              <w:spacing w:before="59" w:line="212" w:lineRule="auto"/>
              <w:ind w:firstLine="0" w:firstLineChars="0"/>
              <w:jc w:val="left"/>
              <w:textAlignment w:val="baseline"/>
              <w:rPr>
                <w:rFonts w:hint="eastAsia"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spacing w:val="-1"/>
                <w:kern w:val="0"/>
                <w:sz w:val="24"/>
                <w:szCs w:val="24"/>
              </w:rPr>
              <w:t>达到基准水平或平均水平</w:t>
            </w:r>
          </w:p>
        </w:tc>
        <w:tc>
          <w:tcPr>
            <w:tcW w:w="984" w:type="dxa"/>
            <w:tcBorders>
              <w:bottom w:val="single" w:color="auto" w:sz="4" w:space="0"/>
            </w:tcBorders>
            <w:vAlign w:val="center"/>
          </w:tcPr>
          <w:p w14:paraId="099E91E6">
            <w:pPr>
              <w:kinsoku w:val="0"/>
              <w:autoSpaceDE w:val="0"/>
              <w:autoSpaceDN w:val="0"/>
              <w:adjustRightInd w:val="0"/>
              <w:snapToGrid w:val="0"/>
              <w:spacing w:before="59" w:line="212" w:lineRule="auto"/>
              <w:ind w:firstLine="444"/>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spacing w:val="-9"/>
                <w:kern w:val="0"/>
                <w:sz w:val="24"/>
                <w:szCs w:val="24"/>
                <w:lang w:eastAsia="en-US"/>
              </w:rPr>
              <w:t>0-1</w:t>
            </w:r>
          </w:p>
        </w:tc>
        <w:tc>
          <w:tcPr>
            <w:tcW w:w="683" w:type="dxa"/>
            <w:tcBorders>
              <w:bottom w:val="single" w:color="auto" w:sz="4" w:space="0"/>
            </w:tcBorders>
          </w:tcPr>
          <w:p w14:paraId="3DC5D92D">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1609" w:type="dxa"/>
            <w:vMerge w:val="continue"/>
            <w:tcBorders>
              <w:top w:val="nil"/>
              <w:bottom w:val="single" w:color="auto" w:sz="4" w:space="0"/>
            </w:tcBorders>
          </w:tcPr>
          <w:p w14:paraId="0AF0C430">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r>
      <w:tr w14:paraId="2B7EB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13" w:type="dxa"/>
            <w:vMerge w:val="restart"/>
            <w:tcBorders>
              <w:top w:val="single" w:color="auto" w:sz="4" w:space="0"/>
              <w:left w:val="single" w:color="auto" w:sz="4" w:space="0"/>
              <w:bottom w:val="single" w:color="auto" w:sz="4" w:space="0"/>
              <w:right w:val="single" w:color="auto" w:sz="4" w:space="0"/>
            </w:tcBorders>
            <w:vAlign w:val="center"/>
          </w:tcPr>
          <w:p w14:paraId="5A1123A6">
            <w:pPr>
              <w:kinsoku w:val="0"/>
              <w:autoSpaceDE w:val="0"/>
              <w:autoSpaceDN w:val="0"/>
              <w:adjustRightInd w:val="0"/>
              <w:snapToGrid w:val="0"/>
              <w:spacing w:before="78" w:line="231" w:lineRule="auto"/>
              <w:ind w:right="160" w:firstLine="0" w:firstLineChars="0"/>
              <w:jc w:val="center"/>
              <w:textAlignment w:val="baseline"/>
              <w:rPr>
                <w:rFonts w:hint="eastAsia" w:asciiTheme="minorEastAsia" w:hAnsiTheme="minorEastAsia" w:eastAsiaTheme="minorEastAsia" w:cstheme="minorEastAsia"/>
                <w:snapToGrid w:val="0"/>
                <w:color w:val="000000"/>
                <w:spacing w:val="-4"/>
                <w:kern w:val="0"/>
                <w:sz w:val="24"/>
                <w:szCs w:val="24"/>
                <w:lang w:eastAsia="en-US"/>
              </w:rPr>
            </w:pPr>
            <w:r>
              <w:rPr>
                <w:rFonts w:hint="eastAsia" w:asciiTheme="minorEastAsia" w:hAnsiTheme="minorEastAsia" w:eastAsiaTheme="minorEastAsia" w:cstheme="minorEastAsia"/>
                <w:snapToGrid w:val="0"/>
                <w:color w:val="000000"/>
                <w:spacing w:val="-4"/>
                <w:kern w:val="0"/>
                <w:sz w:val="24"/>
                <w:szCs w:val="24"/>
                <w:lang w:eastAsia="en-US"/>
              </w:rPr>
              <w:t>安全生产要求</w:t>
            </w:r>
          </w:p>
          <w:p w14:paraId="3F741121">
            <w:pPr>
              <w:kinsoku w:val="0"/>
              <w:autoSpaceDE w:val="0"/>
              <w:autoSpaceDN w:val="0"/>
              <w:adjustRightInd w:val="0"/>
              <w:snapToGrid w:val="0"/>
              <w:spacing w:before="78" w:line="231" w:lineRule="auto"/>
              <w:ind w:right="160" w:firstLine="0" w:firstLineChars="0"/>
              <w:jc w:val="center"/>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spacing w:val="-4"/>
                <w:kern w:val="0"/>
                <w:sz w:val="24"/>
                <w:szCs w:val="24"/>
                <w:lang w:eastAsia="en-US"/>
              </w:rPr>
              <w:t>（20分）</w:t>
            </w:r>
          </w:p>
        </w:tc>
        <w:tc>
          <w:tcPr>
            <w:tcW w:w="817" w:type="dxa"/>
            <w:vMerge w:val="restart"/>
            <w:tcBorders>
              <w:top w:val="single" w:color="auto" w:sz="4" w:space="0"/>
              <w:left w:val="single" w:color="auto" w:sz="4" w:space="0"/>
              <w:bottom w:val="single" w:color="auto" w:sz="4" w:space="0"/>
              <w:right w:val="single" w:color="auto" w:sz="4" w:space="0"/>
            </w:tcBorders>
            <w:vAlign w:val="center"/>
          </w:tcPr>
          <w:p w14:paraId="51F88DD9">
            <w:pPr>
              <w:widowControl/>
              <w:kinsoku w:val="0"/>
              <w:autoSpaceDE w:val="0"/>
              <w:autoSpaceDN w:val="0"/>
              <w:adjustRightInd w:val="0"/>
              <w:snapToGrid w:val="0"/>
              <w:spacing w:before="273" w:line="188" w:lineRule="auto"/>
              <w:ind w:left="326" w:firstLine="0" w:firstLineChars="0"/>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spacing w:val="-15"/>
                <w:kern w:val="0"/>
                <w:sz w:val="24"/>
                <w:szCs w:val="24"/>
                <w:lang w:eastAsia="en-US"/>
              </w:rPr>
              <w:t>16</w:t>
            </w:r>
          </w:p>
        </w:tc>
        <w:tc>
          <w:tcPr>
            <w:tcW w:w="1700" w:type="dxa"/>
            <w:vMerge w:val="restart"/>
            <w:tcBorders>
              <w:top w:val="single" w:color="auto" w:sz="4" w:space="0"/>
              <w:left w:val="single" w:color="auto" w:sz="4" w:space="0"/>
              <w:bottom w:val="single" w:color="auto" w:sz="4" w:space="0"/>
              <w:right w:val="single" w:color="auto" w:sz="4" w:space="0"/>
            </w:tcBorders>
            <w:vAlign w:val="center"/>
          </w:tcPr>
          <w:p w14:paraId="514FB83E">
            <w:pPr>
              <w:kinsoku w:val="0"/>
              <w:autoSpaceDE w:val="0"/>
              <w:autoSpaceDN w:val="0"/>
              <w:adjustRightInd w:val="0"/>
              <w:snapToGrid w:val="0"/>
              <w:spacing w:before="84" w:line="231" w:lineRule="auto"/>
              <w:ind w:right="150" w:firstLine="0" w:firstLineChars="0"/>
              <w:jc w:val="center"/>
              <w:textAlignment w:val="baseline"/>
              <w:rPr>
                <w:rFonts w:hint="eastAsia"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spacing w:val="-4"/>
                <w:kern w:val="0"/>
                <w:sz w:val="24"/>
                <w:szCs w:val="24"/>
              </w:rPr>
              <w:t>两重点一重大</w:t>
            </w:r>
            <w:r>
              <w:rPr>
                <w:rFonts w:hint="eastAsia" w:asciiTheme="minorEastAsia" w:hAnsiTheme="minorEastAsia" w:eastAsiaTheme="minorEastAsia" w:cstheme="minorEastAsia"/>
                <w:snapToGrid w:val="0"/>
                <w:color w:val="000000"/>
                <w:spacing w:val="-3"/>
                <w:kern w:val="0"/>
                <w:sz w:val="24"/>
                <w:szCs w:val="24"/>
              </w:rPr>
              <w:t>项目（5分）</w:t>
            </w:r>
          </w:p>
        </w:tc>
        <w:tc>
          <w:tcPr>
            <w:tcW w:w="6783" w:type="dxa"/>
            <w:tcBorders>
              <w:top w:val="single" w:color="auto" w:sz="4" w:space="0"/>
              <w:left w:val="single" w:color="auto" w:sz="4" w:space="0"/>
              <w:bottom w:val="single" w:color="auto" w:sz="4" w:space="0"/>
              <w:right w:val="single" w:color="auto" w:sz="4" w:space="0"/>
            </w:tcBorders>
          </w:tcPr>
          <w:p w14:paraId="63C119C7">
            <w:pPr>
              <w:kinsoku w:val="0"/>
              <w:autoSpaceDE w:val="0"/>
              <w:autoSpaceDN w:val="0"/>
              <w:adjustRightInd w:val="0"/>
              <w:snapToGrid w:val="0"/>
              <w:spacing w:before="59" w:line="212" w:lineRule="auto"/>
              <w:ind w:firstLine="0" w:firstLineChars="0"/>
              <w:jc w:val="left"/>
              <w:textAlignment w:val="baseline"/>
              <w:rPr>
                <w:rFonts w:hint="eastAsia"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spacing w:val="-1"/>
                <w:kern w:val="0"/>
                <w:sz w:val="24"/>
                <w:szCs w:val="24"/>
              </w:rPr>
              <w:t>未列入“两重点一重大”项目</w:t>
            </w:r>
          </w:p>
        </w:tc>
        <w:tc>
          <w:tcPr>
            <w:tcW w:w="984" w:type="dxa"/>
            <w:tcBorders>
              <w:top w:val="single" w:color="auto" w:sz="4" w:space="0"/>
              <w:left w:val="single" w:color="auto" w:sz="4" w:space="0"/>
              <w:bottom w:val="single" w:color="auto" w:sz="4" w:space="0"/>
              <w:right w:val="single" w:color="auto" w:sz="4" w:space="0"/>
            </w:tcBorders>
            <w:vAlign w:val="center"/>
          </w:tcPr>
          <w:p w14:paraId="66DE88F6">
            <w:pPr>
              <w:kinsoku w:val="0"/>
              <w:autoSpaceDE w:val="0"/>
              <w:autoSpaceDN w:val="0"/>
              <w:adjustRightInd w:val="0"/>
              <w:snapToGrid w:val="0"/>
              <w:spacing w:before="59" w:line="212" w:lineRule="auto"/>
              <w:ind w:firstLine="480"/>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kern w:val="0"/>
                <w:sz w:val="24"/>
                <w:szCs w:val="24"/>
                <w:lang w:eastAsia="en-US"/>
              </w:rPr>
              <w:t>5</w:t>
            </w:r>
          </w:p>
        </w:tc>
        <w:tc>
          <w:tcPr>
            <w:tcW w:w="683" w:type="dxa"/>
            <w:tcBorders>
              <w:top w:val="single" w:color="auto" w:sz="4" w:space="0"/>
              <w:left w:val="single" w:color="auto" w:sz="4" w:space="0"/>
              <w:bottom w:val="single" w:color="auto" w:sz="4" w:space="0"/>
              <w:right w:val="single" w:color="auto" w:sz="4" w:space="0"/>
            </w:tcBorders>
          </w:tcPr>
          <w:p w14:paraId="6947B367">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1609" w:type="dxa"/>
            <w:vMerge w:val="restart"/>
            <w:tcBorders>
              <w:top w:val="single" w:color="auto" w:sz="4" w:space="0"/>
              <w:left w:val="single" w:color="auto" w:sz="4" w:space="0"/>
              <w:bottom w:val="single" w:color="auto" w:sz="4" w:space="0"/>
              <w:right w:val="single" w:color="auto" w:sz="4" w:space="0"/>
            </w:tcBorders>
          </w:tcPr>
          <w:p w14:paraId="5E85FB8B">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r>
      <w:tr w14:paraId="0CEE8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13" w:type="dxa"/>
            <w:vMerge w:val="continue"/>
            <w:tcBorders>
              <w:top w:val="single" w:color="auto" w:sz="4" w:space="0"/>
              <w:left w:val="single" w:color="auto" w:sz="4" w:space="0"/>
              <w:bottom w:val="single" w:color="auto" w:sz="4" w:space="0"/>
              <w:right w:val="single" w:color="auto" w:sz="4" w:space="0"/>
            </w:tcBorders>
            <w:vAlign w:val="center"/>
          </w:tcPr>
          <w:p w14:paraId="6B61ADA0">
            <w:pPr>
              <w:widowControl/>
              <w:kinsoku w:val="0"/>
              <w:autoSpaceDE w:val="0"/>
              <w:autoSpaceDN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14:paraId="30411871">
            <w:pPr>
              <w:widowControl/>
              <w:kinsoku w:val="0"/>
              <w:autoSpaceDE w:val="0"/>
              <w:autoSpaceDN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731A2DB8">
            <w:pPr>
              <w:widowControl/>
              <w:kinsoku w:val="0"/>
              <w:autoSpaceDE w:val="0"/>
              <w:autoSpaceDN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6783" w:type="dxa"/>
            <w:tcBorders>
              <w:top w:val="single" w:color="auto" w:sz="4" w:space="0"/>
              <w:left w:val="single" w:color="auto" w:sz="4" w:space="0"/>
              <w:bottom w:val="single" w:color="auto" w:sz="4" w:space="0"/>
              <w:right w:val="single" w:color="auto" w:sz="4" w:space="0"/>
            </w:tcBorders>
          </w:tcPr>
          <w:p w14:paraId="587DC538">
            <w:pPr>
              <w:kinsoku w:val="0"/>
              <w:autoSpaceDE w:val="0"/>
              <w:autoSpaceDN w:val="0"/>
              <w:adjustRightInd w:val="0"/>
              <w:snapToGrid w:val="0"/>
              <w:spacing w:before="58" w:line="213" w:lineRule="auto"/>
              <w:ind w:firstLine="0" w:firstLineChars="0"/>
              <w:jc w:val="left"/>
              <w:textAlignment w:val="baseline"/>
              <w:rPr>
                <w:rFonts w:hint="eastAsia"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spacing w:val="-4"/>
                <w:kern w:val="0"/>
                <w:sz w:val="24"/>
                <w:szCs w:val="24"/>
              </w:rPr>
              <w:t>已列入“两重点一重大”项目</w:t>
            </w:r>
          </w:p>
        </w:tc>
        <w:tc>
          <w:tcPr>
            <w:tcW w:w="984" w:type="dxa"/>
            <w:tcBorders>
              <w:top w:val="single" w:color="auto" w:sz="4" w:space="0"/>
              <w:left w:val="single" w:color="auto" w:sz="4" w:space="0"/>
              <w:bottom w:val="single" w:color="auto" w:sz="4" w:space="0"/>
              <w:right w:val="single" w:color="auto" w:sz="4" w:space="0"/>
            </w:tcBorders>
            <w:vAlign w:val="center"/>
          </w:tcPr>
          <w:p w14:paraId="6AE2DE71">
            <w:pPr>
              <w:kinsoku w:val="0"/>
              <w:autoSpaceDE w:val="0"/>
              <w:autoSpaceDN w:val="0"/>
              <w:adjustRightInd w:val="0"/>
              <w:snapToGrid w:val="0"/>
              <w:spacing w:before="58" w:line="213" w:lineRule="auto"/>
              <w:ind w:firstLine="480"/>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kern w:val="0"/>
                <w:sz w:val="24"/>
                <w:szCs w:val="24"/>
                <w:lang w:eastAsia="en-US"/>
              </w:rPr>
              <w:t>0</w:t>
            </w:r>
          </w:p>
        </w:tc>
        <w:tc>
          <w:tcPr>
            <w:tcW w:w="683" w:type="dxa"/>
            <w:tcBorders>
              <w:top w:val="single" w:color="auto" w:sz="4" w:space="0"/>
              <w:left w:val="single" w:color="auto" w:sz="4" w:space="0"/>
              <w:bottom w:val="single" w:color="auto" w:sz="4" w:space="0"/>
              <w:right w:val="single" w:color="auto" w:sz="4" w:space="0"/>
            </w:tcBorders>
          </w:tcPr>
          <w:p w14:paraId="78312EB6">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1609" w:type="dxa"/>
            <w:vMerge w:val="continue"/>
            <w:tcBorders>
              <w:top w:val="single" w:color="auto" w:sz="4" w:space="0"/>
              <w:left w:val="single" w:color="auto" w:sz="4" w:space="0"/>
              <w:bottom w:val="single" w:color="auto" w:sz="4" w:space="0"/>
              <w:right w:val="single" w:color="auto" w:sz="4" w:space="0"/>
            </w:tcBorders>
          </w:tcPr>
          <w:p w14:paraId="2285110C">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r>
      <w:tr w14:paraId="0284A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313" w:type="dxa"/>
            <w:vMerge w:val="continue"/>
            <w:tcBorders>
              <w:top w:val="single" w:color="auto" w:sz="4" w:space="0"/>
              <w:left w:val="single" w:color="auto" w:sz="4" w:space="0"/>
              <w:bottom w:val="single" w:color="auto" w:sz="4" w:space="0"/>
              <w:right w:val="single" w:color="auto" w:sz="4" w:space="0"/>
            </w:tcBorders>
            <w:vAlign w:val="center"/>
          </w:tcPr>
          <w:p w14:paraId="20F14795">
            <w:pPr>
              <w:widowControl/>
              <w:kinsoku w:val="0"/>
              <w:autoSpaceDE w:val="0"/>
              <w:autoSpaceDN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817" w:type="dxa"/>
            <w:vMerge w:val="restart"/>
            <w:tcBorders>
              <w:top w:val="single" w:color="auto" w:sz="4" w:space="0"/>
              <w:left w:val="single" w:color="auto" w:sz="4" w:space="0"/>
              <w:bottom w:val="single" w:color="auto" w:sz="4" w:space="0"/>
              <w:right w:val="single" w:color="auto" w:sz="4" w:space="0"/>
            </w:tcBorders>
            <w:vAlign w:val="center"/>
          </w:tcPr>
          <w:p w14:paraId="683F1233">
            <w:pPr>
              <w:widowControl/>
              <w:kinsoku w:val="0"/>
              <w:autoSpaceDE w:val="0"/>
              <w:autoSpaceDN w:val="0"/>
              <w:adjustRightInd w:val="0"/>
              <w:snapToGrid w:val="0"/>
              <w:spacing w:before="69" w:line="188" w:lineRule="auto"/>
              <w:ind w:left="326" w:firstLine="0" w:firstLineChars="0"/>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spacing w:val="-15"/>
                <w:kern w:val="0"/>
                <w:sz w:val="24"/>
                <w:szCs w:val="24"/>
                <w:lang w:eastAsia="en-US"/>
              </w:rPr>
              <w:t>17</w:t>
            </w:r>
          </w:p>
        </w:tc>
        <w:tc>
          <w:tcPr>
            <w:tcW w:w="1700" w:type="dxa"/>
            <w:vMerge w:val="restart"/>
            <w:tcBorders>
              <w:top w:val="single" w:color="auto" w:sz="4" w:space="0"/>
              <w:left w:val="single" w:color="auto" w:sz="4" w:space="0"/>
              <w:bottom w:val="single" w:color="auto" w:sz="4" w:space="0"/>
              <w:right w:val="single" w:color="auto" w:sz="4" w:space="0"/>
            </w:tcBorders>
            <w:vAlign w:val="center"/>
          </w:tcPr>
          <w:p w14:paraId="54CB666C">
            <w:pPr>
              <w:kinsoku w:val="0"/>
              <w:autoSpaceDE w:val="0"/>
              <w:autoSpaceDN w:val="0"/>
              <w:adjustRightInd w:val="0"/>
              <w:snapToGrid w:val="0"/>
              <w:spacing w:before="78" w:line="216" w:lineRule="auto"/>
              <w:ind w:firstLine="0" w:firstLineChars="0"/>
              <w:jc w:val="center"/>
              <w:textAlignment w:val="baseline"/>
              <w:rPr>
                <w:rFonts w:hint="eastAsia" w:asciiTheme="minorEastAsia" w:hAnsiTheme="minorEastAsia" w:eastAsiaTheme="minorEastAsia" w:cstheme="minorEastAsia"/>
                <w:snapToGrid w:val="0"/>
                <w:color w:val="000000"/>
                <w:spacing w:val="-7"/>
                <w:kern w:val="0"/>
                <w:sz w:val="24"/>
                <w:szCs w:val="24"/>
              </w:rPr>
            </w:pPr>
            <w:r>
              <w:rPr>
                <w:rFonts w:hint="eastAsia" w:asciiTheme="minorEastAsia" w:hAnsiTheme="minorEastAsia" w:eastAsiaTheme="minorEastAsia" w:cstheme="minorEastAsia"/>
                <w:snapToGrid w:val="0"/>
                <w:color w:val="000000"/>
                <w:spacing w:val="-7"/>
                <w:kern w:val="0"/>
                <w:sz w:val="24"/>
                <w:szCs w:val="24"/>
                <w:lang w:eastAsia="en-US"/>
              </w:rPr>
              <w:t>生产设</w:t>
            </w:r>
            <w:r>
              <w:rPr>
                <w:rFonts w:hint="eastAsia" w:asciiTheme="minorEastAsia" w:hAnsiTheme="minorEastAsia" w:eastAsiaTheme="minorEastAsia" w:cstheme="minorEastAsia"/>
                <w:snapToGrid w:val="0"/>
                <w:color w:val="000000"/>
                <w:spacing w:val="-7"/>
                <w:kern w:val="0"/>
                <w:sz w:val="24"/>
                <w:szCs w:val="24"/>
              </w:rPr>
              <w:t>备</w:t>
            </w:r>
          </w:p>
          <w:p w14:paraId="398AE37C">
            <w:pPr>
              <w:kinsoku w:val="0"/>
              <w:autoSpaceDE w:val="0"/>
              <w:autoSpaceDN w:val="0"/>
              <w:adjustRightInd w:val="0"/>
              <w:snapToGrid w:val="0"/>
              <w:spacing w:before="78" w:line="216" w:lineRule="auto"/>
              <w:ind w:firstLine="0" w:firstLineChars="0"/>
              <w:jc w:val="center"/>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spacing w:val="-1"/>
                <w:kern w:val="0"/>
                <w:sz w:val="24"/>
                <w:szCs w:val="24"/>
                <w:lang w:eastAsia="en-US"/>
              </w:rPr>
              <w:t>（10分）</w:t>
            </w:r>
          </w:p>
        </w:tc>
        <w:tc>
          <w:tcPr>
            <w:tcW w:w="6783" w:type="dxa"/>
            <w:tcBorders>
              <w:top w:val="single" w:color="auto" w:sz="4" w:space="0"/>
              <w:left w:val="single" w:color="auto" w:sz="4" w:space="0"/>
              <w:bottom w:val="single" w:color="auto" w:sz="4" w:space="0"/>
              <w:right w:val="single" w:color="auto" w:sz="4" w:space="0"/>
            </w:tcBorders>
          </w:tcPr>
          <w:p w14:paraId="67341F6B">
            <w:pPr>
              <w:kinsoku w:val="0"/>
              <w:autoSpaceDE w:val="0"/>
              <w:autoSpaceDN w:val="0"/>
              <w:adjustRightInd w:val="0"/>
              <w:snapToGrid w:val="0"/>
              <w:spacing w:before="37" w:line="214" w:lineRule="auto"/>
              <w:ind w:right="181" w:firstLine="0" w:firstLineChars="0"/>
              <w:jc w:val="left"/>
              <w:textAlignment w:val="baseline"/>
              <w:rPr>
                <w:rFonts w:hint="eastAsia"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spacing w:val="-1"/>
                <w:kern w:val="0"/>
                <w:sz w:val="24"/>
                <w:szCs w:val="24"/>
              </w:rPr>
              <w:t>采用的生产设备设施自动化水平较高，为全流程自动控制，员工不会直接接触重大危险源。</w:t>
            </w:r>
          </w:p>
        </w:tc>
        <w:tc>
          <w:tcPr>
            <w:tcW w:w="984" w:type="dxa"/>
            <w:tcBorders>
              <w:top w:val="single" w:color="auto" w:sz="4" w:space="0"/>
              <w:left w:val="single" w:color="auto" w:sz="4" w:space="0"/>
              <w:bottom w:val="single" w:color="auto" w:sz="4" w:space="0"/>
              <w:right w:val="single" w:color="auto" w:sz="4" w:space="0"/>
            </w:tcBorders>
            <w:vAlign w:val="center"/>
          </w:tcPr>
          <w:p w14:paraId="07E8B239">
            <w:pPr>
              <w:kinsoku w:val="0"/>
              <w:autoSpaceDE w:val="0"/>
              <w:autoSpaceDN w:val="0"/>
              <w:adjustRightInd w:val="0"/>
              <w:snapToGrid w:val="0"/>
              <w:spacing w:before="188" w:line="242" w:lineRule="auto"/>
              <w:ind w:firstLine="456"/>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spacing w:val="-6"/>
                <w:kern w:val="0"/>
                <w:sz w:val="24"/>
                <w:szCs w:val="24"/>
                <w:lang w:eastAsia="en-US"/>
              </w:rPr>
              <w:t>5-10</w:t>
            </w:r>
          </w:p>
        </w:tc>
        <w:tc>
          <w:tcPr>
            <w:tcW w:w="683" w:type="dxa"/>
            <w:tcBorders>
              <w:top w:val="single" w:color="auto" w:sz="4" w:space="0"/>
              <w:left w:val="single" w:color="auto" w:sz="4" w:space="0"/>
              <w:bottom w:val="single" w:color="auto" w:sz="4" w:space="0"/>
              <w:right w:val="single" w:color="auto" w:sz="4" w:space="0"/>
            </w:tcBorders>
          </w:tcPr>
          <w:p w14:paraId="365BD09C">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1609" w:type="dxa"/>
            <w:vMerge w:val="restart"/>
            <w:tcBorders>
              <w:top w:val="single" w:color="auto" w:sz="4" w:space="0"/>
              <w:left w:val="single" w:color="auto" w:sz="4" w:space="0"/>
              <w:bottom w:val="single" w:color="auto" w:sz="4" w:space="0"/>
              <w:right w:val="single" w:color="auto" w:sz="4" w:space="0"/>
            </w:tcBorders>
          </w:tcPr>
          <w:p w14:paraId="51132FF6">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r>
      <w:tr w14:paraId="03E5A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313" w:type="dxa"/>
            <w:vMerge w:val="continue"/>
            <w:tcBorders>
              <w:top w:val="single" w:color="auto" w:sz="4" w:space="0"/>
              <w:left w:val="single" w:color="auto" w:sz="4" w:space="0"/>
              <w:bottom w:val="single" w:color="auto" w:sz="4" w:space="0"/>
              <w:right w:val="single" w:color="auto" w:sz="4" w:space="0"/>
            </w:tcBorders>
          </w:tcPr>
          <w:p w14:paraId="7915AEAE">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817" w:type="dxa"/>
            <w:vMerge w:val="continue"/>
            <w:tcBorders>
              <w:top w:val="single" w:color="auto" w:sz="4" w:space="0"/>
              <w:left w:val="single" w:color="auto" w:sz="4" w:space="0"/>
              <w:bottom w:val="single" w:color="auto" w:sz="4" w:space="0"/>
              <w:right w:val="single" w:color="auto" w:sz="4" w:space="0"/>
            </w:tcBorders>
          </w:tcPr>
          <w:p w14:paraId="6AD0D140">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1700" w:type="dxa"/>
            <w:vMerge w:val="continue"/>
            <w:tcBorders>
              <w:top w:val="single" w:color="auto" w:sz="4" w:space="0"/>
              <w:left w:val="single" w:color="auto" w:sz="4" w:space="0"/>
              <w:bottom w:val="single" w:color="auto" w:sz="4" w:space="0"/>
              <w:right w:val="single" w:color="auto" w:sz="4" w:space="0"/>
            </w:tcBorders>
          </w:tcPr>
          <w:p w14:paraId="350F3E8D">
            <w:pPr>
              <w:widowControl/>
              <w:kinsoku w:val="0"/>
              <w:autoSpaceDE w:val="0"/>
              <w:autoSpaceDN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6783" w:type="dxa"/>
            <w:tcBorders>
              <w:top w:val="single" w:color="auto" w:sz="4" w:space="0"/>
              <w:left w:val="single" w:color="auto" w:sz="4" w:space="0"/>
              <w:bottom w:val="single" w:color="auto" w:sz="4" w:space="0"/>
              <w:right w:val="single" w:color="auto" w:sz="4" w:space="0"/>
            </w:tcBorders>
          </w:tcPr>
          <w:p w14:paraId="708F8D29">
            <w:pPr>
              <w:kinsoku w:val="0"/>
              <w:autoSpaceDE w:val="0"/>
              <w:autoSpaceDN w:val="0"/>
              <w:adjustRightInd w:val="0"/>
              <w:snapToGrid w:val="0"/>
              <w:spacing w:before="40" w:line="213" w:lineRule="auto"/>
              <w:ind w:right="181" w:firstLine="0" w:firstLineChars="0"/>
              <w:jc w:val="left"/>
              <w:textAlignment w:val="baseline"/>
              <w:rPr>
                <w:rFonts w:hint="eastAsia"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spacing w:val="-1"/>
                <w:kern w:val="0"/>
                <w:sz w:val="24"/>
                <w:szCs w:val="24"/>
              </w:rPr>
              <w:t>采用的生产设备设施自动化水平一般，部分工序实现</w:t>
            </w:r>
            <w:r>
              <w:rPr>
                <w:rFonts w:hint="eastAsia" w:asciiTheme="minorEastAsia" w:hAnsiTheme="minorEastAsia" w:eastAsiaTheme="minorEastAsia" w:cstheme="minorEastAsia"/>
                <w:snapToGrid w:val="0"/>
                <w:color w:val="000000"/>
                <w:spacing w:val="-3"/>
                <w:kern w:val="0"/>
                <w:sz w:val="24"/>
                <w:szCs w:val="24"/>
              </w:rPr>
              <w:t>自动控制，有部分员工会直接接触重大危险源。</w:t>
            </w:r>
          </w:p>
        </w:tc>
        <w:tc>
          <w:tcPr>
            <w:tcW w:w="984" w:type="dxa"/>
            <w:tcBorders>
              <w:top w:val="single" w:color="auto" w:sz="4" w:space="0"/>
              <w:left w:val="single" w:color="auto" w:sz="4" w:space="0"/>
              <w:bottom w:val="single" w:color="auto" w:sz="4" w:space="0"/>
              <w:right w:val="single" w:color="auto" w:sz="4" w:space="0"/>
            </w:tcBorders>
            <w:vAlign w:val="center"/>
          </w:tcPr>
          <w:p w14:paraId="337766C6">
            <w:pPr>
              <w:kinsoku w:val="0"/>
              <w:autoSpaceDE w:val="0"/>
              <w:autoSpaceDN w:val="0"/>
              <w:adjustRightInd w:val="0"/>
              <w:snapToGrid w:val="0"/>
              <w:spacing w:before="190" w:line="319" w:lineRule="exact"/>
              <w:ind w:firstLine="444"/>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spacing w:val="-9"/>
                <w:kern w:val="0"/>
                <w:sz w:val="24"/>
                <w:szCs w:val="24"/>
                <w:lang w:eastAsia="en-US"/>
              </w:rPr>
              <w:t>1-4</w:t>
            </w:r>
          </w:p>
        </w:tc>
        <w:tc>
          <w:tcPr>
            <w:tcW w:w="683" w:type="dxa"/>
            <w:tcBorders>
              <w:top w:val="single" w:color="auto" w:sz="4" w:space="0"/>
              <w:left w:val="single" w:color="auto" w:sz="4" w:space="0"/>
              <w:bottom w:val="single" w:color="auto" w:sz="4" w:space="0"/>
              <w:right w:val="single" w:color="auto" w:sz="4" w:space="0"/>
            </w:tcBorders>
          </w:tcPr>
          <w:p w14:paraId="1905A9B8">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1609" w:type="dxa"/>
            <w:vMerge w:val="continue"/>
            <w:tcBorders>
              <w:top w:val="single" w:color="auto" w:sz="4" w:space="0"/>
              <w:left w:val="single" w:color="auto" w:sz="4" w:space="0"/>
              <w:bottom w:val="single" w:color="auto" w:sz="4" w:space="0"/>
              <w:right w:val="single" w:color="auto" w:sz="4" w:space="0"/>
            </w:tcBorders>
          </w:tcPr>
          <w:p w14:paraId="7F6CA878">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r>
      <w:tr w14:paraId="21D4F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13" w:type="dxa"/>
            <w:vMerge w:val="continue"/>
            <w:tcBorders>
              <w:top w:val="single" w:color="auto" w:sz="4" w:space="0"/>
              <w:left w:val="single" w:color="auto" w:sz="4" w:space="0"/>
              <w:bottom w:val="single" w:color="auto" w:sz="4" w:space="0"/>
              <w:right w:val="single" w:color="auto" w:sz="4" w:space="0"/>
            </w:tcBorders>
          </w:tcPr>
          <w:p w14:paraId="3F024DD7">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817" w:type="dxa"/>
            <w:vMerge w:val="continue"/>
            <w:tcBorders>
              <w:top w:val="single" w:color="auto" w:sz="4" w:space="0"/>
              <w:left w:val="single" w:color="auto" w:sz="4" w:space="0"/>
              <w:bottom w:val="single" w:color="auto" w:sz="4" w:space="0"/>
              <w:right w:val="single" w:color="auto" w:sz="4" w:space="0"/>
            </w:tcBorders>
          </w:tcPr>
          <w:p w14:paraId="37E3FADF">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1700" w:type="dxa"/>
            <w:vMerge w:val="continue"/>
            <w:tcBorders>
              <w:top w:val="single" w:color="auto" w:sz="4" w:space="0"/>
              <w:left w:val="single" w:color="auto" w:sz="4" w:space="0"/>
              <w:bottom w:val="single" w:color="auto" w:sz="4" w:space="0"/>
              <w:right w:val="single" w:color="auto" w:sz="4" w:space="0"/>
            </w:tcBorders>
          </w:tcPr>
          <w:p w14:paraId="3A13BC83">
            <w:pPr>
              <w:widowControl/>
              <w:kinsoku w:val="0"/>
              <w:autoSpaceDE w:val="0"/>
              <w:autoSpaceDN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6783" w:type="dxa"/>
            <w:tcBorders>
              <w:top w:val="single" w:color="auto" w:sz="4" w:space="0"/>
              <w:left w:val="single" w:color="auto" w:sz="4" w:space="0"/>
              <w:bottom w:val="single" w:color="auto" w:sz="4" w:space="0"/>
              <w:right w:val="single" w:color="auto" w:sz="4" w:space="0"/>
            </w:tcBorders>
          </w:tcPr>
          <w:p w14:paraId="2D6F38D5">
            <w:pPr>
              <w:kinsoku w:val="0"/>
              <w:autoSpaceDE w:val="0"/>
              <w:autoSpaceDN w:val="0"/>
              <w:adjustRightInd w:val="0"/>
              <w:snapToGrid w:val="0"/>
              <w:spacing w:before="40" w:line="214" w:lineRule="auto"/>
              <w:ind w:right="181" w:firstLine="0" w:firstLineChars="0"/>
              <w:jc w:val="left"/>
              <w:textAlignment w:val="baseline"/>
              <w:rPr>
                <w:rFonts w:hint="eastAsia"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spacing w:val="-1"/>
                <w:kern w:val="0"/>
                <w:sz w:val="24"/>
                <w:szCs w:val="24"/>
              </w:rPr>
              <w:t>使用列入《淘汰落后危险化学品安全生产工艺技术设</w:t>
            </w:r>
            <w:r>
              <w:rPr>
                <w:rFonts w:hint="eastAsia" w:asciiTheme="minorEastAsia" w:hAnsiTheme="minorEastAsia" w:eastAsiaTheme="minorEastAsia" w:cstheme="minorEastAsia"/>
                <w:snapToGrid w:val="0"/>
                <w:color w:val="000000"/>
                <w:spacing w:val="-2"/>
                <w:kern w:val="0"/>
                <w:sz w:val="24"/>
                <w:szCs w:val="24"/>
              </w:rPr>
              <w:t>备目录》的工艺技术设备。</w:t>
            </w:r>
          </w:p>
        </w:tc>
        <w:tc>
          <w:tcPr>
            <w:tcW w:w="984" w:type="dxa"/>
            <w:tcBorders>
              <w:top w:val="single" w:color="auto" w:sz="4" w:space="0"/>
              <w:left w:val="single" w:color="auto" w:sz="4" w:space="0"/>
              <w:bottom w:val="single" w:color="auto" w:sz="4" w:space="0"/>
              <w:right w:val="single" w:color="auto" w:sz="4" w:space="0"/>
            </w:tcBorders>
            <w:vAlign w:val="center"/>
          </w:tcPr>
          <w:p w14:paraId="7B76EBE4">
            <w:pPr>
              <w:kinsoku w:val="0"/>
              <w:autoSpaceDE w:val="0"/>
              <w:autoSpaceDN w:val="0"/>
              <w:adjustRightInd w:val="0"/>
              <w:snapToGrid w:val="0"/>
              <w:spacing w:before="191" w:line="242" w:lineRule="auto"/>
              <w:ind w:firstLine="480"/>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kern w:val="0"/>
                <w:sz w:val="24"/>
                <w:szCs w:val="24"/>
                <w:lang w:eastAsia="en-US"/>
              </w:rPr>
              <w:t>0</w:t>
            </w:r>
          </w:p>
        </w:tc>
        <w:tc>
          <w:tcPr>
            <w:tcW w:w="683" w:type="dxa"/>
            <w:tcBorders>
              <w:top w:val="single" w:color="auto" w:sz="4" w:space="0"/>
              <w:left w:val="single" w:color="auto" w:sz="4" w:space="0"/>
              <w:bottom w:val="single" w:color="auto" w:sz="4" w:space="0"/>
              <w:right w:val="single" w:color="auto" w:sz="4" w:space="0"/>
            </w:tcBorders>
          </w:tcPr>
          <w:p w14:paraId="085504F5">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1609" w:type="dxa"/>
            <w:vMerge w:val="continue"/>
            <w:tcBorders>
              <w:top w:val="single" w:color="auto" w:sz="4" w:space="0"/>
              <w:left w:val="single" w:color="auto" w:sz="4" w:space="0"/>
              <w:bottom w:val="single" w:color="auto" w:sz="4" w:space="0"/>
              <w:right w:val="single" w:color="auto" w:sz="4" w:space="0"/>
            </w:tcBorders>
          </w:tcPr>
          <w:p w14:paraId="7D686A38">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r>
      <w:tr w14:paraId="534D1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1313" w:type="dxa"/>
            <w:vMerge w:val="continue"/>
            <w:tcBorders>
              <w:top w:val="single" w:color="auto" w:sz="4" w:space="0"/>
              <w:left w:val="single" w:color="auto" w:sz="4" w:space="0"/>
              <w:bottom w:val="single" w:color="auto" w:sz="4" w:space="0"/>
              <w:right w:val="single" w:color="auto" w:sz="4" w:space="0"/>
            </w:tcBorders>
          </w:tcPr>
          <w:p w14:paraId="0282AAC4">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817" w:type="dxa"/>
            <w:vMerge w:val="restart"/>
            <w:tcBorders>
              <w:top w:val="single" w:color="auto" w:sz="4" w:space="0"/>
              <w:left w:val="single" w:color="auto" w:sz="4" w:space="0"/>
              <w:bottom w:val="single" w:color="auto" w:sz="4" w:space="0"/>
              <w:right w:val="single" w:color="auto" w:sz="4" w:space="0"/>
            </w:tcBorders>
            <w:vAlign w:val="center"/>
          </w:tcPr>
          <w:p w14:paraId="17DD6543">
            <w:pPr>
              <w:widowControl/>
              <w:kinsoku w:val="0"/>
              <w:autoSpaceDE w:val="0"/>
              <w:autoSpaceDN w:val="0"/>
              <w:adjustRightInd w:val="0"/>
              <w:snapToGrid w:val="0"/>
              <w:spacing w:before="69" w:line="188" w:lineRule="auto"/>
              <w:ind w:left="326" w:firstLine="0" w:firstLineChars="0"/>
              <w:jc w:val="left"/>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spacing w:val="-15"/>
                <w:kern w:val="0"/>
                <w:sz w:val="24"/>
                <w:szCs w:val="24"/>
                <w:lang w:eastAsia="en-US"/>
              </w:rPr>
              <w:t>18</w:t>
            </w:r>
          </w:p>
        </w:tc>
        <w:tc>
          <w:tcPr>
            <w:tcW w:w="1700" w:type="dxa"/>
            <w:vMerge w:val="restart"/>
            <w:tcBorders>
              <w:top w:val="single" w:color="auto" w:sz="4" w:space="0"/>
              <w:left w:val="single" w:color="auto" w:sz="4" w:space="0"/>
              <w:bottom w:val="single" w:color="auto" w:sz="4" w:space="0"/>
              <w:right w:val="single" w:color="auto" w:sz="4" w:space="0"/>
            </w:tcBorders>
            <w:vAlign w:val="center"/>
          </w:tcPr>
          <w:p w14:paraId="107B360F">
            <w:pPr>
              <w:kinsoku w:val="0"/>
              <w:autoSpaceDE w:val="0"/>
              <w:autoSpaceDN w:val="0"/>
              <w:adjustRightInd w:val="0"/>
              <w:snapToGrid w:val="0"/>
              <w:spacing w:before="308" w:line="230" w:lineRule="auto"/>
              <w:ind w:right="128" w:firstLine="0" w:firstLineChars="0"/>
              <w:jc w:val="center"/>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spacing w:val="-3"/>
                <w:kern w:val="0"/>
                <w:sz w:val="24"/>
                <w:szCs w:val="24"/>
                <w:lang w:eastAsia="en-US"/>
              </w:rPr>
              <w:t>安全措施合理性（5分）</w:t>
            </w:r>
          </w:p>
        </w:tc>
        <w:tc>
          <w:tcPr>
            <w:tcW w:w="6783" w:type="dxa"/>
            <w:tcBorders>
              <w:top w:val="single" w:color="auto" w:sz="4" w:space="0"/>
              <w:left w:val="single" w:color="auto" w:sz="4" w:space="0"/>
              <w:bottom w:val="single" w:color="auto" w:sz="4" w:space="0"/>
              <w:right w:val="single" w:color="auto" w:sz="4" w:space="0"/>
            </w:tcBorders>
          </w:tcPr>
          <w:p w14:paraId="40BB6E8F">
            <w:pPr>
              <w:kinsoku w:val="0"/>
              <w:autoSpaceDE w:val="0"/>
              <w:autoSpaceDN w:val="0"/>
              <w:adjustRightInd w:val="0"/>
              <w:snapToGrid w:val="0"/>
              <w:spacing w:before="171" w:line="219" w:lineRule="auto"/>
              <w:ind w:firstLine="0" w:firstLineChars="0"/>
              <w:jc w:val="left"/>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spacing w:val="-7"/>
                <w:kern w:val="0"/>
                <w:sz w:val="24"/>
                <w:szCs w:val="24"/>
                <w:lang w:eastAsia="en-US"/>
              </w:rPr>
              <w:t>合理</w:t>
            </w:r>
          </w:p>
        </w:tc>
        <w:tc>
          <w:tcPr>
            <w:tcW w:w="984" w:type="dxa"/>
            <w:tcBorders>
              <w:top w:val="single" w:color="auto" w:sz="4" w:space="0"/>
              <w:left w:val="single" w:color="auto" w:sz="4" w:space="0"/>
              <w:bottom w:val="single" w:color="auto" w:sz="4" w:space="0"/>
              <w:right w:val="single" w:color="auto" w:sz="4" w:space="0"/>
            </w:tcBorders>
            <w:vAlign w:val="center"/>
          </w:tcPr>
          <w:p w14:paraId="05CDACCA">
            <w:pPr>
              <w:kinsoku w:val="0"/>
              <w:autoSpaceDE w:val="0"/>
              <w:autoSpaceDN w:val="0"/>
              <w:adjustRightInd w:val="0"/>
              <w:snapToGrid w:val="0"/>
              <w:spacing w:before="171" w:line="242" w:lineRule="auto"/>
              <w:ind w:firstLine="480"/>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kern w:val="0"/>
                <w:sz w:val="24"/>
                <w:szCs w:val="24"/>
                <w:lang w:eastAsia="en-US"/>
              </w:rPr>
              <w:t>5</w:t>
            </w:r>
          </w:p>
        </w:tc>
        <w:tc>
          <w:tcPr>
            <w:tcW w:w="683" w:type="dxa"/>
            <w:tcBorders>
              <w:top w:val="single" w:color="auto" w:sz="4" w:space="0"/>
              <w:left w:val="single" w:color="auto" w:sz="4" w:space="0"/>
              <w:bottom w:val="single" w:color="auto" w:sz="4" w:space="0"/>
              <w:right w:val="single" w:color="auto" w:sz="4" w:space="0"/>
            </w:tcBorders>
          </w:tcPr>
          <w:p w14:paraId="6BA78FE1">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1609" w:type="dxa"/>
            <w:vMerge w:val="restart"/>
            <w:tcBorders>
              <w:top w:val="single" w:color="auto" w:sz="4" w:space="0"/>
              <w:left w:val="single" w:color="auto" w:sz="4" w:space="0"/>
              <w:bottom w:val="single" w:color="auto" w:sz="4" w:space="0"/>
              <w:right w:val="single" w:color="auto" w:sz="4" w:space="0"/>
            </w:tcBorders>
          </w:tcPr>
          <w:p w14:paraId="4762FC89">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r>
      <w:tr w14:paraId="29829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313" w:type="dxa"/>
            <w:vMerge w:val="continue"/>
            <w:tcBorders>
              <w:top w:val="single" w:color="auto" w:sz="4" w:space="0"/>
              <w:left w:val="single" w:color="auto" w:sz="4" w:space="0"/>
              <w:bottom w:val="single" w:color="auto" w:sz="4" w:space="0"/>
              <w:right w:val="single" w:color="auto" w:sz="4" w:space="0"/>
            </w:tcBorders>
          </w:tcPr>
          <w:p w14:paraId="4C24C5D6">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817" w:type="dxa"/>
            <w:vMerge w:val="continue"/>
            <w:tcBorders>
              <w:top w:val="single" w:color="auto" w:sz="4" w:space="0"/>
              <w:left w:val="single" w:color="auto" w:sz="4" w:space="0"/>
              <w:bottom w:val="single" w:color="auto" w:sz="4" w:space="0"/>
              <w:right w:val="single" w:color="auto" w:sz="4" w:space="0"/>
            </w:tcBorders>
          </w:tcPr>
          <w:p w14:paraId="0E9AC85F">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1700" w:type="dxa"/>
            <w:vMerge w:val="continue"/>
            <w:tcBorders>
              <w:top w:val="single" w:color="auto" w:sz="4" w:space="0"/>
              <w:left w:val="single" w:color="auto" w:sz="4" w:space="0"/>
              <w:bottom w:val="single" w:color="auto" w:sz="4" w:space="0"/>
              <w:right w:val="single" w:color="auto" w:sz="4" w:space="0"/>
            </w:tcBorders>
          </w:tcPr>
          <w:p w14:paraId="660AAA5B">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6783" w:type="dxa"/>
            <w:tcBorders>
              <w:top w:val="single" w:color="auto" w:sz="4" w:space="0"/>
              <w:left w:val="single" w:color="auto" w:sz="4" w:space="0"/>
              <w:bottom w:val="single" w:color="auto" w:sz="4" w:space="0"/>
              <w:right w:val="single" w:color="auto" w:sz="4" w:space="0"/>
            </w:tcBorders>
          </w:tcPr>
          <w:p w14:paraId="7B47AB59">
            <w:pPr>
              <w:kinsoku w:val="0"/>
              <w:autoSpaceDE w:val="0"/>
              <w:autoSpaceDN w:val="0"/>
              <w:adjustRightInd w:val="0"/>
              <w:snapToGrid w:val="0"/>
              <w:spacing w:before="171" w:line="217" w:lineRule="auto"/>
              <w:ind w:firstLine="0" w:firstLineChars="0"/>
              <w:jc w:val="left"/>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spacing w:val="-2"/>
                <w:kern w:val="0"/>
                <w:sz w:val="24"/>
                <w:szCs w:val="24"/>
                <w:lang w:eastAsia="en-US"/>
              </w:rPr>
              <w:t>基本合理</w:t>
            </w:r>
          </w:p>
        </w:tc>
        <w:tc>
          <w:tcPr>
            <w:tcW w:w="984" w:type="dxa"/>
            <w:tcBorders>
              <w:top w:val="single" w:color="auto" w:sz="4" w:space="0"/>
              <w:left w:val="single" w:color="auto" w:sz="4" w:space="0"/>
              <w:bottom w:val="single" w:color="auto" w:sz="4" w:space="0"/>
              <w:right w:val="single" w:color="auto" w:sz="4" w:space="0"/>
            </w:tcBorders>
            <w:vAlign w:val="center"/>
          </w:tcPr>
          <w:p w14:paraId="315BBD3A">
            <w:pPr>
              <w:kinsoku w:val="0"/>
              <w:autoSpaceDE w:val="0"/>
              <w:autoSpaceDN w:val="0"/>
              <w:adjustRightInd w:val="0"/>
              <w:snapToGrid w:val="0"/>
              <w:spacing w:before="171" w:line="242" w:lineRule="auto"/>
              <w:ind w:firstLine="444"/>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spacing w:val="-9"/>
                <w:kern w:val="0"/>
                <w:sz w:val="24"/>
                <w:szCs w:val="24"/>
                <w:lang w:eastAsia="en-US"/>
              </w:rPr>
              <w:t>0-4</w:t>
            </w:r>
          </w:p>
        </w:tc>
        <w:tc>
          <w:tcPr>
            <w:tcW w:w="683" w:type="dxa"/>
            <w:tcBorders>
              <w:top w:val="single" w:color="auto" w:sz="4" w:space="0"/>
              <w:left w:val="single" w:color="auto" w:sz="4" w:space="0"/>
              <w:bottom w:val="single" w:color="auto" w:sz="4" w:space="0"/>
              <w:right w:val="single" w:color="auto" w:sz="4" w:space="0"/>
            </w:tcBorders>
          </w:tcPr>
          <w:p w14:paraId="02985A24">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1609" w:type="dxa"/>
            <w:vMerge w:val="continue"/>
            <w:tcBorders>
              <w:top w:val="single" w:color="auto" w:sz="4" w:space="0"/>
              <w:left w:val="single" w:color="auto" w:sz="4" w:space="0"/>
              <w:bottom w:val="single" w:color="auto" w:sz="4" w:space="0"/>
              <w:right w:val="single" w:color="auto" w:sz="4" w:space="0"/>
            </w:tcBorders>
          </w:tcPr>
          <w:p w14:paraId="0DF0CD77">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r>
      <w:tr w14:paraId="52DC6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313" w:type="dxa"/>
            <w:vMerge w:val="continue"/>
            <w:tcBorders>
              <w:top w:val="single" w:color="auto" w:sz="4" w:space="0"/>
              <w:left w:val="single" w:color="auto" w:sz="4" w:space="0"/>
              <w:bottom w:val="single" w:color="auto" w:sz="4" w:space="0"/>
              <w:right w:val="single" w:color="auto" w:sz="4" w:space="0"/>
            </w:tcBorders>
          </w:tcPr>
          <w:p w14:paraId="7AF527DE">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817" w:type="dxa"/>
            <w:vMerge w:val="continue"/>
            <w:tcBorders>
              <w:top w:val="single" w:color="auto" w:sz="4" w:space="0"/>
              <w:left w:val="single" w:color="auto" w:sz="4" w:space="0"/>
              <w:bottom w:val="single" w:color="auto" w:sz="4" w:space="0"/>
              <w:right w:val="single" w:color="auto" w:sz="4" w:space="0"/>
            </w:tcBorders>
          </w:tcPr>
          <w:p w14:paraId="33D1857B">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1700" w:type="dxa"/>
            <w:vMerge w:val="continue"/>
            <w:tcBorders>
              <w:top w:val="single" w:color="auto" w:sz="4" w:space="0"/>
              <w:left w:val="single" w:color="auto" w:sz="4" w:space="0"/>
              <w:bottom w:val="single" w:color="auto" w:sz="4" w:space="0"/>
              <w:right w:val="single" w:color="auto" w:sz="4" w:space="0"/>
            </w:tcBorders>
          </w:tcPr>
          <w:p w14:paraId="22385041">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6783" w:type="dxa"/>
            <w:tcBorders>
              <w:top w:val="single" w:color="auto" w:sz="4" w:space="0"/>
              <w:left w:val="single" w:color="auto" w:sz="4" w:space="0"/>
              <w:bottom w:val="single" w:color="auto" w:sz="4" w:space="0"/>
              <w:right w:val="single" w:color="auto" w:sz="4" w:space="0"/>
            </w:tcBorders>
          </w:tcPr>
          <w:p w14:paraId="24BEBCC3">
            <w:pPr>
              <w:kinsoku w:val="0"/>
              <w:autoSpaceDE w:val="0"/>
              <w:autoSpaceDN w:val="0"/>
              <w:adjustRightInd w:val="0"/>
              <w:snapToGrid w:val="0"/>
              <w:spacing w:before="169" w:line="216" w:lineRule="auto"/>
              <w:ind w:firstLine="0" w:firstLineChars="0"/>
              <w:jc w:val="left"/>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spacing w:val="-2"/>
                <w:kern w:val="0"/>
                <w:sz w:val="24"/>
                <w:szCs w:val="24"/>
                <w:lang w:eastAsia="en-US"/>
              </w:rPr>
              <w:t>存在问题</w:t>
            </w:r>
          </w:p>
        </w:tc>
        <w:tc>
          <w:tcPr>
            <w:tcW w:w="984" w:type="dxa"/>
            <w:tcBorders>
              <w:top w:val="single" w:color="auto" w:sz="4" w:space="0"/>
              <w:left w:val="single" w:color="auto" w:sz="4" w:space="0"/>
              <w:bottom w:val="single" w:color="auto" w:sz="4" w:space="0"/>
              <w:right w:val="single" w:color="auto" w:sz="4" w:space="0"/>
            </w:tcBorders>
            <w:vAlign w:val="center"/>
          </w:tcPr>
          <w:p w14:paraId="7C87754C">
            <w:pPr>
              <w:kinsoku w:val="0"/>
              <w:autoSpaceDE w:val="0"/>
              <w:autoSpaceDN w:val="0"/>
              <w:adjustRightInd w:val="0"/>
              <w:snapToGrid w:val="0"/>
              <w:spacing w:before="170" w:line="242" w:lineRule="auto"/>
              <w:ind w:firstLine="480"/>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kern w:val="0"/>
                <w:sz w:val="24"/>
                <w:szCs w:val="24"/>
                <w:lang w:eastAsia="en-US"/>
              </w:rPr>
              <w:t>0</w:t>
            </w:r>
          </w:p>
        </w:tc>
        <w:tc>
          <w:tcPr>
            <w:tcW w:w="683" w:type="dxa"/>
            <w:tcBorders>
              <w:top w:val="single" w:color="auto" w:sz="4" w:space="0"/>
              <w:left w:val="single" w:color="auto" w:sz="4" w:space="0"/>
              <w:bottom w:val="single" w:color="auto" w:sz="4" w:space="0"/>
              <w:right w:val="single" w:color="auto" w:sz="4" w:space="0"/>
            </w:tcBorders>
          </w:tcPr>
          <w:p w14:paraId="5982A9DA">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c>
          <w:tcPr>
            <w:tcW w:w="1609" w:type="dxa"/>
            <w:tcBorders>
              <w:top w:val="single" w:color="auto" w:sz="4" w:space="0"/>
              <w:left w:val="single" w:color="auto" w:sz="4" w:space="0"/>
              <w:bottom w:val="single" w:color="auto" w:sz="4" w:space="0"/>
              <w:right w:val="single" w:color="auto" w:sz="4" w:space="0"/>
            </w:tcBorders>
          </w:tcPr>
          <w:p w14:paraId="2A27443C">
            <w:pPr>
              <w:widowControl/>
              <w:kinsoku w:val="0"/>
              <w:autoSpaceDE w:val="0"/>
              <w:autoSpaceDN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en-US"/>
              </w:rPr>
            </w:pPr>
          </w:p>
        </w:tc>
      </w:tr>
    </w:tbl>
    <w:p w14:paraId="403CB8EA">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r>
        <w:rPr>
          <w:rFonts w:ascii="Arial" w:hAnsi="Arial" w:eastAsia="Arial" w:cs="Arial"/>
          <w:snapToGrid w:val="0"/>
          <w:color w:val="000000"/>
          <w:kern w:val="0"/>
          <w:sz w:val="21"/>
          <w:szCs w:val="21"/>
          <w:lang w:eastAsia="en-US"/>
        </w:rPr>
        <w:br w:type="page"/>
      </w:r>
    </w:p>
    <w:tbl>
      <w:tblPr>
        <w:tblStyle w:val="35"/>
        <w:tblW w:w="138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3"/>
        <w:gridCol w:w="817"/>
        <w:gridCol w:w="1700"/>
        <w:gridCol w:w="6783"/>
        <w:gridCol w:w="984"/>
        <w:gridCol w:w="683"/>
        <w:gridCol w:w="1609"/>
      </w:tblGrid>
      <w:tr w14:paraId="56A9A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313" w:type="dxa"/>
            <w:vAlign w:val="center"/>
          </w:tcPr>
          <w:p w14:paraId="17E7E402">
            <w:pPr>
              <w:spacing w:line="240" w:lineRule="exact"/>
              <w:ind w:firstLine="0" w:firstLineChars="0"/>
              <w:jc w:val="center"/>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b/>
                <w:bCs/>
                <w:spacing w:val="-4"/>
                <w:sz w:val="24"/>
                <w:szCs w:val="24"/>
              </w:rPr>
              <w:t>评价要素</w:t>
            </w:r>
          </w:p>
        </w:tc>
        <w:tc>
          <w:tcPr>
            <w:tcW w:w="817" w:type="dxa"/>
            <w:vAlign w:val="center"/>
          </w:tcPr>
          <w:p w14:paraId="291D5E58">
            <w:pPr>
              <w:spacing w:line="240" w:lineRule="exact"/>
              <w:ind w:firstLine="0" w:firstLineChars="0"/>
              <w:jc w:val="center"/>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b/>
                <w:bCs/>
                <w:spacing w:val="-4"/>
                <w:sz w:val="24"/>
                <w:szCs w:val="24"/>
              </w:rPr>
              <w:t>序号</w:t>
            </w:r>
          </w:p>
        </w:tc>
        <w:tc>
          <w:tcPr>
            <w:tcW w:w="1700" w:type="dxa"/>
            <w:vAlign w:val="center"/>
          </w:tcPr>
          <w:p w14:paraId="4273194B">
            <w:pPr>
              <w:spacing w:line="240" w:lineRule="exact"/>
              <w:ind w:firstLine="0" w:firstLineChars="0"/>
              <w:jc w:val="center"/>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b/>
                <w:bCs/>
                <w:spacing w:val="-4"/>
                <w:sz w:val="24"/>
                <w:szCs w:val="24"/>
              </w:rPr>
              <w:t>评审因素</w:t>
            </w:r>
          </w:p>
        </w:tc>
        <w:tc>
          <w:tcPr>
            <w:tcW w:w="6783" w:type="dxa"/>
            <w:vAlign w:val="center"/>
          </w:tcPr>
          <w:p w14:paraId="455CC1EA">
            <w:pPr>
              <w:spacing w:line="240" w:lineRule="exact"/>
              <w:ind w:firstLine="0" w:firstLineChars="0"/>
              <w:jc w:val="center"/>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b/>
                <w:bCs/>
                <w:spacing w:val="-4"/>
                <w:sz w:val="24"/>
                <w:szCs w:val="24"/>
              </w:rPr>
              <w:t>评分标准</w:t>
            </w:r>
          </w:p>
        </w:tc>
        <w:tc>
          <w:tcPr>
            <w:tcW w:w="984" w:type="dxa"/>
            <w:vAlign w:val="center"/>
          </w:tcPr>
          <w:p w14:paraId="4E88AD49">
            <w:pPr>
              <w:spacing w:line="240" w:lineRule="exact"/>
              <w:ind w:firstLine="0" w:firstLineChars="0"/>
              <w:jc w:val="center"/>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b/>
                <w:bCs/>
                <w:spacing w:val="-4"/>
                <w:sz w:val="24"/>
                <w:szCs w:val="24"/>
              </w:rPr>
              <w:t>标准分值</w:t>
            </w:r>
          </w:p>
        </w:tc>
        <w:tc>
          <w:tcPr>
            <w:tcW w:w="683" w:type="dxa"/>
            <w:vAlign w:val="center"/>
          </w:tcPr>
          <w:p w14:paraId="1A7132CB">
            <w:pPr>
              <w:spacing w:line="240" w:lineRule="exact"/>
              <w:ind w:firstLine="0" w:firstLineChars="0"/>
              <w:jc w:val="center"/>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b/>
                <w:bCs/>
                <w:spacing w:val="-4"/>
                <w:sz w:val="24"/>
                <w:szCs w:val="24"/>
              </w:rPr>
              <w:t>评分</w:t>
            </w:r>
          </w:p>
        </w:tc>
        <w:tc>
          <w:tcPr>
            <w:tcW w:w="1609" w:type="dxa"/>
            <w:vAlign w:val="center"/>
          </w:tcPr>
          <w:p w14:paraId="5FF4C1DC">
            <w:pPr>
              <w:spacing w:line="240" w:lineRule="exact"/>
              <w:ind w:firstLine="0" w:firstLineChars="0"/>
              <w:jc w:val="center"/>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b/>
                <w:bCs/>
                <w:spacing w:val="-4"/>
                <w:sz w:val="24"/>
                <w:szCs w:val="24"/>
              </w:rPr>
              <w:t>备注</w:t>
            </w:r>
          </w:p>
        </w:tc>
      </w:tr>
      <w:tr w14:paraId="27FAA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313" w:type="dxa"/>
            <w:vMerge w:val="restart"/>
            <w:tcBorders>
              <w:bottom w:val="nil"/>
            </w:tcBorders>
            <w:vAlign w:val="center"/>
          </w:tcPr>
          <w:p w14:paraId="0D432BB3">
            <w:pPr>
              <w:kinsoku w:val="0"/>
              <w:autoSpaceDE w:val="0"/>
              <w:autoSpaceDN w:val="0"/>
              <w:adjustRightInd w:val="0"/>
              <w:snapToGrid w:val="0"/>
              <w:spacing w:before="58" w:line="213" w:lineRule="auto"/>
              <w:ind w:firstLine="0" w:firstLineChars="0"/>
              <w:jc w:val="center"/>
              <w:textAlignment w:val="baseline"/>
              <w:rPr>
                <w:rFonts w:hint="eastAsia" w:asciiTheme="minorEastAsia" w:hAnsiTheme="minorEastAsia" w:eastAsiaTheme="minorEastAsia" w:cstheme="minorEastAsia"/>
                <w:snapToGrid w:val="0"/>
                <w:color w:val="000000"/>
                <w:spacing w:val="-2"/>
                <w:kern w:val="0"/>
                <w:sz w:val="24"/>
                <w:szCs w:val="24"/>
                <w:lang w:eastAsia="en-US"/>
              </w:rPr>
            </w:pPr>
            <w:r>
              <w:rPr>
                <w:rFonts w:hint="eastAsia" w:asciiTheme="minorEastAsia" w:hAnsiTheme="minorEastAsia" w:eastAsiaTheme="minorEastAsia" w:cstheme="minorEastAsia"/>
                <w:snapToGrid w:val="0"/>
                <w:color w:val="000000"/>
                <w:spacing w:val="-2"/>
                <w:kern w:val="0"/>
                <w:sz w:val="24"/>
                <w:szCs w:val="24"/>
                <w:lang w:eastAsia="en-US"/>
              </w:rPr>
              <w:t>业主实力要求（5分）</w:t>
            </w:r>
          </w:p>
        </w:tc>
        <w:tc>
          <w:tcPr>
            <w:tcW w:w="817" w:type="dxa"/>
            <w:vAlign w:val="center"/>
          </w:tcPr>
          <w:p w14:paraId="741C4FAD">
            <w:pPr>
              <w:kinsoku w:val="0"/>
              <w:autoSpaceDE w:val="0"/>
              <w:autoSpaceDN w:val="0"/>
              <w:adjustRightInd w:val="0"/>
              <w:snapToGrid w:val="0"/>
              <w:spacing w:before="58" w:line="213" w:lineRule="auto"/>
              <w:ind w:firstLine="0" w:firstLineChars="0"/>
              <w:jc w:val="center"/>
              <w:textAlignment w:val="baseline"/>
              <w:rPr>
                <w:rFonts w:hint="eastAsia" w:asciiTheme="minorEastAsia" w:hAnsiTheme="minorEastAsia" w:eastAsiaTheme="minorEastAsia" w:cstheme="minorEastAsia"/>
                <w:snapToGrid w:val="0"/>
                <w:color w:val="000000"/>
                <w:spacing w:val="-2"/>
                <w:kern w:val="0"/>
                <w:sz w:val="24"/>
                <w:szCs w:val="24"/>
                <w:lang w:eastAsia="en-US"/>
              </w:rPr>
            </w:pPr>
            <w:r>
              <w:rPr>
                <w:rFonts w:hint="eastAsia" w:asciiTheme="minorEastAsia" w:hAnsiTheme="minorEastAsia" w:eastAsiaTheme="minorEastAsia" w:cstheme="minorEastAsia"/>
                <w:snapToGrid w:val="0"/>
                <w:color w:val="000000"/>
                <w:spacing w:val="-2"/>
                <w:kern w:val="0"/>
                <w:sz w:val="24"/>
                <w:szCs w:val="24"/>
                <w:lang w:eastAsia="en-US"/>
              </w:rPr>
              <w:t>19</w:t>
            </w:r>
          </w:p>
        </w:tc>
        <w:tc>
          <w:tcPr>
            <w:tcW w:w="1700" w:type="dxa"/>
            <w:vAlign w:val="center"/>
          </w:tcPr>
          <w:p w14:paraId="3A8615CA">
            <w:pPr>
              <w:kinsoku w:val="0"/>
              <w:autoSpaceDE w:val="0"/>
              <w:autoSpaceDN w:val="0"/>
              <w:adjustRightInd w:val="0"/>
              <w:snapToGrid w:val="0"/>
              <w:spacing w:before="58" w:line="213" w:lineRule="auto"/>
              <w:ind w:firstLine="0" w:firstLineChars="0"/>
              <w:jc w:val="center"/>
              <w:textAlignment w:val="baseline"/>
              <w:rPr>
                <w:rFonts w:hint="eastAsia" w:asciiTheme="minorEastAsia" w:hAnsiTheme="minorEastAsia" w:eastAsiaTheme="minorEastAsia" w:cstheme="minorEastAsia"/>
                <w:snapToGrid w:val="0"/>
                <w:color w:val="000000"/>
                <w:spacing w:val="-2"/>
                <w:kern w:val="0"/>
                <w:sz w:val="24"/>
                <w:szCs w:val="24"/>
                <w:lang w:eastAsia="en-US"/>
              </w:rPr>
            </w:pPr>
            <w:r>
              <w:rPr>
                <w:rFonts w:hint="eastAsia" w:asciiTheme="minorEastAsia" w:hAnsiTheme="minorEastAsia" w:eastAsiaTheme="minorEastAsia" w:cstheme="minorEastAsia"/>
                <w:snapToGrid w:val="0"/>
                <w:color w:val="000000"/>
                <w:spacing w:val="-2"/>
                <w:kern w:val="0"/>
                <w:sz w:val="24"/>
                <w:szCs w:val="24"/>
                <w:lang w:eastAsia="en-US"/>
              </w:rPr>
              <w:t>业主实力（2分）</w:t>
            </w:r>
          </w:p>
        </w:tc>
        <w:tc>
          <w:tcPr>
            <w:tcW w:w="6783" w:type="dxa"/>
            <w:vAlign w:val="center"/>
          </w:tcPr>
          <w:p w14:paraId="011E57FA">
            <w:pPr>
              <w:kinsoku w:val="0"/>
              <w:autoSpaceDE w:val="0"/>
              <w:autoSpaceDN w:val="0"/>
              <w:adjustRightInd w:val="0"/>
              <w:snapToGrid w:val="0"/>
              <w:spacing w:before="58" w:line="213" w:lineRule="auto"/>
              <w:ind w:firstLine="0" w:firstLineChars="0"/>
              <w:jc w:val="left"/>
              <w:textAlignment w:val="baseline"/>
              <w:rPr>
                <w:rFonts w:hint="eastAsia" w:asciiTheme="minorEastAsia" w:hAnsiTheme="minorEastAsia" w:eastAsiaTheme="minorEastAsia" w:cstheme="minorEastAsia"/>
                <w:snapToGrid w:val="0"/>
                <w:color w:val="000000"/>
                <w:spacing w:val="-2"/>
                <w:kern w:val="0"/>
                <w:sz w:val="24"/>
                <w:szCs w:val="24"/>
              </w:rPr>
            </w:pPr>
            <w:r>
              <w:rPr>
                <w:rFonts w:hint="eastAsia" w:asciiTheme="minorEastAsia" w:hAnsiTheme="minorEastAsia" w:eastAsiaTheme="minorEastAsia" w:cstheme="minorEastAsia"/>
                <w:snapToGrid w:val="0"/>
                <w:color w:val="000000"/>
                <w:spacing w:val="-2"/>
                <w:kern w:val="0"/>
                <w:sz w:val="24"/>
                <w:szCs w:val="24"/>
              </w:rPr>
              <w:t>属于世界500强企业、中国百强、上市公司、国家级专精特新及瞪羚、独角兽、驼鹿企业得2分；属于省级专 精特新及省内龙头企业得1分。</w:t>
            </w:r>
          </w:p>
        </w:tc>
        <w:tc>
          <w:tcPr>
            <w:tcW w:w="984" w:type="dxa"/>
            <w:vAlign w:val="center"/>
          </w:tcPr>
          <w:p w14:paraId="077B9041">
            <w:pPr>
              <w:kinsoku w:val="0"/>
              <w:autoSpaceDE w:val="0"/>
              <w:autoSpaceDN w:val="0"/>
              <w:adjustRightInd w:val="0"/>
              <w:snapToGrid w:val="0"/>
              <w:spacing w:before="58" w:line="213" w:lineRule="auto"/>
              <w:ind w:firstLine="0" w:firstLineChars="0"/>
              <w:jc w:val="center"/>
              <w:textAlignment w:val="baseline"/>
              <w:rPr>
                <w:rFonts w:hint="eastAsia" w:asciiTheme="minorEastAsia" w:hAnsiTheme="minorEastAsia" w:eastAsiaTheme="minorEastAsia" w:cstheme="minorEastAsia"/>
                <w:snapToGrid w:val="0"/>
                <w:color w:val="000000"/>
                <w:spacing w:val="-2"/>
                <w:kern w:val="0"/>
                <w:sz w:val="24"/>
                <w:szCs w:val="24"/>
                <w:lang w:eastAsia="en-US"/>
              </w:rPr>
            </w:pPr>
            <w:r>
              <w:rPr>
                <w:rFonts w:hint="eastAsia" w:asciiTheme="minorEastAsia" w:hAnsiTheme="minorEastAsia" w:eastAsiaTheme="minorEastAsia" w:cstheme="minorEastAsia"/>
                <w:snapToGrid w:val="0"/>
                <w:color w:val="000000"/>
                <w:spacing w:val="-2"/>
                <w:kern w:val="0"/>
                <w:sz w:val="24"/>
                <w:szCs w:val="24"/>
                <w:lang w:eastAsia="en-US"/>
              </w:rPr>
              <w:t>0-2</w:t>
            </w:r>
          </w:p>
        </w:tc>
        <w:tc>
          <w:tcPr>
            <w:tcW w:w="683" w:type="dxa"/>
            <w:vAlign w:val="center"/>
          </w:tcPr>
          <w:p w14:paraId="37C169FC">
            <w:pPr>
              <w:widowControl/>
              <w:kinsoku w:val="0"/>
              <w:autoSpaceDE w:val="0"/>
              <w:autoSpaceDN w:val="0"/>
              <w:adjustRightInd w:val="0"/>
              <w:snapToGrid w:val="0"/>
              <w:spacing w:line="240" w:lineRule="auto"/>
              <w:ind w:firstLine="0" w:firstLineChars="0"/>
              <w:jc w:val="center"/>
              <w:textAlignment w:val="baseline"/>
              <w:rPr>
                <w:rFonts w:ascii="Arial" w:hAnsi="Arial" w:eastAsia="Arial" w:cs="Arial"/>
                <w:snapToGrid w:val="0"/>
                <w:color w:val="000000"/>
                <w:kern w:val="0"/>
                <w:sz w:val="21"/>
                <w:szCs w:val="21"/>
                <w:lang w:eastAsia="en-US"/>
              </w:rPr>
            </w:pPr>
          </w:p>
        </w:tc>
        <w:tc>
          <w:tcPr>
            <w:tcW w:w="1609" w:type="dxa"/>
            <w:vAlign w:val="center"/>
          </w:tcPr>
          <w:p w14:paraId="6442174C">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r>
      <w:tr w14:paraId="0F9AF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313" w:type="dxa"/>
            <w:vMerge w:val="continue"/>
            <w:tcBorders>
              <w:top w:val="nil"/>
              <w:bottom w:val="nil"/>
            </w:tcBorders>
            <w:vAlign w:val="center"/>
          </w:tcPr>
          <w:p w14:paraId="5B1907A5">
            <w:pPr>
              <w:kinsoku w:val="0"/>
              <w:autoSpaceDE w:val="0"/>
              <w:autoSpaceDN w:val="0"/>
              <w:adjustRightInd w:val="0"/>
              <w:snapToGrid w:val="0"/>
              <w:spacing w:before="58" w:line="213" w:lineRule="auto"/>
              <w:ind w:firstLine="0" w:firstLineChars="0"/>
              <w:jc w:val="center"/>
              <w:textAlignment w:val="baseline"/>
              <w:rPr>
                <w:rFonts w:hint="eastAsia" w:asciiTheme="minorEastAsia" w:hAnsiTheme="minorEastAsia" w:eastAsiaTheme="minorEastAsia" w:cstheme="minorEastAsia"/>
                <w:snapToGrid w:val="0"/>
                <w:color w:val="000000"/>
                <w:spacing w:val="-2"/>
                <w:kern w:val="0"/>
                <w:sz w:val="24"/>
                <w:szCs w:val="24"/>
                <w:lang w:eastAsia="en-US"/>
              </w:rPr>
            </w:pPr>
          </w:p>
        </w:tc>
        <w:tc>
          <w:tcPr>
            <w:tcW w:w="817" w:type="dxa"/>
            <w:vAlign w:val="center"/>
          </w:tcPr>
          <w:p w14:paraId="6F1652C3">
            <w:pPr>
              <w:kinsoku w:val="0"/>
              <w:autoSpaceDE w:val="0"/>
              <w:autoSpaceDN w:val="0"/>
              <w:adjustRightInd w:val="0"/>
              <w:snapToGrid w:val="0"/>
              <w:spacing w:before="58" w:line="213" w:lineRule="auto"/>
              <w:ind w:firstLine="0" w:firstLineChars="0"/>
              <w:jc w:val="center"/>
              <w:textAlignment w:val="baseline"/>
              <w:rPr>
                <w:rFonts w:hint="eastAsia" w:asciiTheme="minorEastAsia" w:hAnsiTheme="minorEastAsia" w:eastAsiaTheme="minorEastAsia" w:cstheme="minorEastAsia"/>
                <w:snapToGrid w:val="0"/>
                <w:color w:val="000000"/>
                <w:spacing w:val="-2"/>
                <w:kern w:val="0"/>
                <w:sz w:val="24"/>
                <w:szCs w:val="24"/>
                <w:lang w:eastAsia="en-US"/>
              </w:rPr>
            </w:pPr>
            <w:r>
              <w:rPr>
                <w:rFonts w:hint="eastAsia" w:asciiTheme="minorEastAsia" w:hAnsiTheme="minorEastAsia" w:eastAsiaTheme="minorEastAsia" w:cstheme="minorEastAsia"/>
                <w:snapToGrid w:val="0"/>
                <w:color w:val="000000"/>
                <w:spacing w:val="-2"/>
                <w:kern w:val="0"/>
                <w:sz w:val="24"/>
                <w:szCs w:val="24"/>
                <w:lang w:eastAsia="en-US"/>
              </w:rPr>
              <w:t>20</w:t>
            </w:r>
          </w:p>
        </w:tc>
        <w:tc>
          <w:tcPr>
            <w:tcW w:w="1700" w:type="dxa"/>
            <w:vAlign w:val="center"/>
          </w:tcPr>
          <w:p w14:paraId="411B56D8">
            <w:pPr>
              <w:kinsoku w:val="0"/>
              <w:autoSpaceDE w:val="0"/>
              <w:autoSpaceDN w:val="0"/>
              <w:adjustRightInd w:val="0"/>
              <w:snapToGrid w:val="0"/>
              <w:spacing w:before="58" w:line="213" w:lineRule="auto"/>
              <w:ind w:firstLine="0" w:firstLineChars="0"/>
              <w:jc w:val="center"/>
              <w:textAlignment w:val="baseline"/>
              <w:rPr>
                <w:rFonts w:hint="eastAsia" w:asciiTheme="minorEastAsia" w:hAnsiTheme="minorEastAsia" w:eastAsiaTheme="minorEastAsia" w:cstheme="minorEastAsia"/>
                <w:snapToGrid w:val="0"/>
                <w:color w:val="000000"/>
                <w:spacing w:val="-2"/>
                <w:kern w:val="0"/>
                <w:sz w:val="24"/>
                <w:szCs w:val="24"/>
              </w:rPr>
            </w:pPr>
            <w:r>
              <w:rPr>
                <w:rFonts w:hint="eastAsia" w:asciiTheme="minorEastAsia" w:hAnsiTheme="minorEastAsia" w:eastAsiaTheme="minorEastAsia" w:cstheme="minorEastAsia"/>
                <w:snapToGrid w:val="0"/>
                <w:color w:val="000000"/>
                <w:spacing w:val="-2"/>
                <w:kern w:val="0"/>
                <w:sz w:val="24"/>
                <w:szCs w:val="24"/>
              </w:rPr>
              <w:t>企业研发创新能力（2分）</w:t>
            </w:r>
          </w:p>
        </w:tc>
        <w:tc>
          <w:tcPr>
            <w:tcW w:w="6783" w:type="dxa"/>
            <w:vAlign w:val="center"/>
          </w:tcPr>
          <w:p w14:paraId="2ED699B8">
            <w:pPr>
              <w:kinsoku w:val="0"/>
              <w:autoSpaceDE w:val="0"/>
              <w:autoSpaceDN w:val="0"/>
              <w:adjustRightInd w:val="0"/>
              <w:snapToGrid w:val="0"/>
              <w:spacing w:before="58" w:line="213" w:lineRule="auto"/>
              <w:ind w:firstLine="0" w:firstLineChars="0"/>
              <w:jc w:val="left"/>
              <w:textAlignment w:val="baseline"/>
              <w:rPr>
                <w:rFonts w:hint="eastAsia" w:asciiTheme="minorEastAsia" w:hAnsiTheme="minorEastAsia" w:eastAsiaTheme="minorEastAsia" w:cstheme="minorEastAsia"/>
                <w:snapToGrid w:val="0"/>
                <w:color w:val="000000"/>
                <w:spacing w:val="-2"/>
                <w:kern w:val="0"/>
                <w:sz w:val="24"/>
                <w:szCs w:val="24"/>
              </w:rPr>
            </w:pPr>
            <w:r>
              <w:rPr>
                <w:rFonts w:hint="eastAsia" w:asciiTheme="minorEastAsia" w:hAnsiTheme="minorEastAsia" w:eastAsiaTheme="minorEastAsia" w:cstheme="minorEastAsia"/>
                <w:snapToGrid w:val="0"/>
                <w:color w:val="000000"/>
                <w:spacing w:val="-2"/>
                <w:kern w:val="0"/>
                <w:sz w:val="24"/>
                <w:szCs w:val="24"/>
              </w:rPr>
              <w:t>近3年获国家级或省级以上科技进步奖或同等奖励；项目、产品或关键技术符合最新公布的《中国高新技术产品目录》规定且拥有自主知识产权；属于国家级或省级高新技术企业。</w:t>
            </w:r>
          </w:p>
        </w:tc>
        <w:tc>
          <w:tcPr>
            <w:tcW w:w="984" w:type="dxa"/>
            <w:vAlign w:val="center"/>
          </w:tcPr>
          <w:p w14:paraId="57F95C04">
            <w:pPr>
              <w:kinsoku w:val="0"/>
              <w:autoSpaceDE w:val="0"/>
              <w:autoSpaceDN w:val="0"/>
              <w:adjustRightInd w:val="0"/>
              <w:snapToGrid w:val="0"/>
              <w:spacing w:before="58" w:line="213" w:lineRule="auto"/>
              <w:ind w:firstLine="0" w:firstLineChars="0"/>
              <w:jc w:val="center"/>
              <w:textAlignment w:val="baseline"/>
              <w:rPr>
                <w:rFonts w:hint="eastAsia" w:asciiTheme="minorEastAsia" w:hAnsiTheme="minorEastAsia" w:eastAsiaTheme="minorEastAsia" w:cstheme="minorEastAsia"/>
                <w:snapToGrid w:val="0"/>
                <w:color w:val="000000"/>
                <w:spacing w:val="-2"/>
                <w:kern w:val="0"/>
                <w:sz w:val="24"/>
                <w:szCs w:val="24"/>
                <w:lang w:eastAsia="en-US"/>
              </w:rPr>
            </w:pPr>
            <w:r>
              <w:rPr>
                <w:rFonts w:hint="eastAsia" w:asciiTheme="minorEastAsia" w:hAnsiTheme="minorEastAsia" w:eastAsiaTheme="minorEastAsia" w:cstheme="minorEastAsia"/>
                <w:snapToGrid w:val="0"/>
                <w:color w:val="000000"/>
                <w:spacing w:val="-2"/>
                <w:kern w:val="0"/>
                <w:sz w:val="24"/>
                <w:szCs w:val="24"/>
                <w:lang w:eastAsia="en-US"/>
              </w:rPr>
              <w:t>0-2</w:t>
            </w:r>
          </w:p>
        </w:tc>
        <w:tc>
          <w:tcPr>
            <w:tcW w:w="683" w:type="dxa"/>
            <w:vAlign w:val="center"/>
          </w:tcPr>
          <w:p w14:paraId="274D81FE">
            <w:pPr>
              <w:widowControl/>
              <w:kinsoku w:val="0"/>
              <w:autoSpaceDE w:val="0"/>
              <w:autoSpaceDN w:val="0"/>
              <w:adjustRightInd w:val="0"/>
              <w:snapToGrid w:val="0"/>
              <w:spacing w:line="240" w:lineRule="auto"/>
              <w:ind w:firstLine="0" w:firstLineChars="0"/>
              <w:jc w:val="center"/>
              <w:textAlignment w:val="baseline"/>
              <w:rPr>
                <w:rFonts w:ascii="Arial" w:hAnsi="Arial" w:eastAsia="Arial" w:cs="Arial"/>
                <w:snapToGrid w:val="0"/>
                <w:color w:val="000000"/>
                <w:kern w:val="0"/>
                <w:sz w:val="21"/>
                <w:szCs w:val="21"/>
                <w:lang w:eastAsia="en-US"/>
              </w:rPr>
            </w:pPr>
          </w:p>
        </w:tc>
        <w:tc>
          <w:tcPr>
            <w:tcW w:w="1609" w:type="dxa"/>
            <w:vAlign w:val="center"/>
          </w:tcPr>
          <w:p w14:paraId="4E268823">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r>
      <w:tr w14:paraId="3D8F1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313" w:type="dxa"/>
            <w:vMerge w:val="continue"/>
            <w:tcBorders>
              <w:top w:val="nil"/>
            </w:tcBorders>
            <w:vAlign w:val="center"/>
          </w:tcPr>
          <w:p w14:paraId="0E8BD7BA">
            <w:pPr>
              <w:kinsoku w:val="0"/>
              <w:autoSpaceDE w:val="0"/>
              <w:autoSpaceDN w:val="0"/>
              <w:adjustRightInd w:val="0"/>
              <w:snapToGrid w:val="0"/>
              <w:spacing w:before="58" w:line="213" w:lineRule="auto"/>
              <w:ind w:firstLine="0" w:firstLineChars="0"/>
              <w:jc w:val="center"/>
              <w:textAlignment w:val="baseline"/>
              <w:rPr>
                <w:rFonts w:hint="eastAsia" w:asciiTheme="minorEastAsia" w:hAnsiTheme="minorEastAsia" w:eastAsiaTheme="minorEastAsia" w:cstheme="minorEastAsia"/>
                <w:snapToGrid w:val="0"/>
                <w:color w:val="000000"/>
                <w:spacing w:val="-2"/>
                <w:kern w:val="0"/>
                <w:sz w:val="24"/>
                <w:szCs w:val="24"/>
                <w:lang w:eastAsia="en-US"/>
              </w:rPr>
            </w:pPr>
          </w:p>
        </w:tc>
        <w:tc>
          <w:tcPr>
            <w:tcW w:w="817" w:type="dxa"/>
            <w:vAlign w:val="center"/>
          </w:tcPr>
          <w:p w14:paraId="321A1865">
            <w:pPr>
              <w:kinsoku w:val="0"/>
              <w:autoSpaceDE w:val="0"/>
              <w:autoSpaceDN w:val="0"/>
              <w:adjustRightInd w:val="0"/>
              <w:snapToGrid w:val="0"/>
              <w:spacing w:before="58" w:line="213" w:lineRule="auto"/>
              <w:ind w:firstLine="0" w:firstLineChars="0"/>
              <w:jc w:val="center"/>
              <w:textAlignment w:val="baseline"/>
              <w:rPr>
                <w:rFonts w:hint="eastAsia" w:asciiTheme="minorEastAsia" w:hAnsiTheme="minorEastAsia" w:eastAsiaTheme="minorEastAsia" w:cstheme="minorEastAsia"/>
                <w:snapToGrid w:val="0"/>
                <w:color w:val="000000"/>
                <w:spacing w:val="-2"/>
                <w:kern w:val="0"/>
                <w:sz w:val="24"/>
                <w:szCs w:val="24"/>
                <w:lang w:eastAsia="en-US"/>
              </w:rPr>
            </w:pPr>
            <w:r>
              <w:rPr>
                <w:rFonts w:hint="eastAsia" w:asciiTheme="minorEastAsia" w:hAnsiTheme="minorEastAsia" w:eastAsiaTheme="minorEastAsia" w:cstheme="minorEastAsia"/>
                <w:snapToGrid w:val="0"/>
                <w:color w:val="000000"/>
                <w:spacing w:val="-2"/>
                <w:kern w:val="0"/>
                <w:sz w:val="24"/>
                <w:szCs w:val="24"/>
                <w:lang w:eastAsia="en-US"/>
              </w:rPr>
              <w:t>21</w:t>
            </w:r>
          </w:p>
        </w:tc>
        <w:tc>
          <w:tcPr>
            <w:tcW w:w="1700" w:type="dxa"/>
            <w:vAlign w:val="center"/>
          </w:tcPr>
          <w:p w14:paraId="26F70FDB">
            <w:pPr>
              <w:kinsoku w:val="0"/>
              <w:autoSpaceDE w:val="0"/>
              <w:autoSpaceDN w:val="0"/>
              <w:adjustRightInd w:val="0"/>
              <w:snapToGrid w:val="0"/>
              <w:spacing w:before="58" w:line="213" w:lineRule="auto"/>
              <w:ind w:firstLine="0" w:firstLineChars="0"/>
              <w:jc w:val="center"/>
              <w:textAlignment w:val="baseline"/>
              <w:rPr>
                <w:rFonts w:hint="eastAsia" w:asciiTheme="minorEastAsia" w:hAnsiTheme="minorEastAsia" w:eastAsiaTheme="minorEastAsia" w:cstheme="minorEastAsia"/>
                <w:snapToGrid w:val="0"/>
                <w:color w:val="000000"/>
                <w:spacing w:val="-2"/>
                <w:kern w:val="0"/>
                <w:sz w:val="24"/>
                <w:szCs w:val="24"/>
                <w:lang w:eastAsia="en-US"/>
              </w:rPr>
            </w:pPr>
            <w:r>
              <w:rPr>
                <w:rFonts w:hint="eastAsia" w:asciiTheme="minorEastAsia" w:hAnsiTheme="minorEastAsia" w:eastAsiaTheme="minorEastAsia" w:cstheme="minorEastAsia"/>
                <w:snapToGrid w:val="0"/>
                <w:color w:val="000000"/>
                <w:spacing w:val="-2"/>
                <w:kern w:val="0"/>
                <w:sz w:val="24"/>
                <w:szCs w:val="24"/>
                <w:lang w:eastAsia="en-US"/>
              </w:rPr>
              <w:t>产品品牌（1分）</w:t>
            </w:r>
          </w:p>
        </w:tc>
        <w:tc>
          <w:tcPr>
            <w:tcW w:w="6783" w:type="dxa"/>
            <w:vAlign w:val="center"/>
          </w:tcPr>
          <w:p w14:paraId="00292468">
            <w:pPr>
              <w:kinsoku w:val="0"/>
              <w:autoSpaceDE w:val="0"/>
              <w:autoSpaceDN w:val="0"/>
              <w:adjustRightInd w:val="0"/>
              <w:snapToGrid w:val="0"/>
              <w:spacing w:before="58" w:line="213" w:lineRule="auto"/>
              <w:ind w:firstLine="0" w:firstLineChars="0"/>
              <w:jc w:val="left"/>
              <w:textAlignment w:val="baseline"/>
              <w:rPr>
                <w:rFonts w:hint="eastAsia" w:asciiTheme="minorEastAsia" w:hAnsiTheme="minorEastAsia" w:eastAsiaTheme="minorEastAsia" w:cstheme="minorEastAsia"/>
                <w:snapToGrid w:val="0"/>
                <w:color w:val="000000"/>
                <w:spacing w:val="-2"/>
                <w:kern w:val="0"/>
                <w:sz w:val="24"/>
                <w:szCs w:val="24"/>
              </w:rPr>
            </w:pPr>
            <w:r>
              <w:rPr>
                <w:rFonts w:hint="eastAsia" w:asciiTheme="minorEastAsia" w:hAnsiTheme="minorEastAsia" w:eastAsiaTheme="minorEastAsia" w:cstheme="minorEastAsia"/>
                <w:snapToGrid w:val="0"/>
                <w:color w:val="000000"/>
                <w:spacing w:val="-2"/>
                <w:kern w:val="0"/>
                <w:sz w:val="24"/>
                <w:szCs w:val="24"/>
              </w:rPr>
              <w:t>业主拥有国家、省级著名品牌或驰名商标得1分</w:t>
            </w:r>
          </w:p>
        </w:tc>
        <w:tc>
          <w:tcPr>
            <w:tcW w:w="984" w:type="dxa"/>
            <w:vAlign w:val="center"/>
          </w:tcPr>
          <w:p w14:paraId="6586F160">
            <w:pPr>
              <w:kinsoku w:val="0"/>
              <w:autoSpaceDE w:val="0"/>
              <w:autoSpaceDN w:val="0"/>
              <w:adjustRightInd w:val="0"/>
              <w:snapToGrid w:val="0"/>
              <w:spacing w:before="58" w:line="213" w:lineRule="auto"/>
              <w:ind w:firstLine="0" w:firstLineChars="0"/>
              <w:jc w:val="center"/>
              <w:textAlignment w:val="baseline"/>
              <w:rPr>
                <w:rFonts w:hint="eastAsia" w:asciiTheme="minorEastAsia" w:hAnsiTheme="minorEastAsia" w:eastAsiaTheme="minorEastAsia" w:cstheme="minorEastAsia"/>
                <w:snapToGrid w:val="0"/>
                <w:color w:val="000000"/>
                <w:spacing w:val="-2"/>
                <w:kern w:val="0"/>
                <w:sz w:val="24"/>
                <w:szCs w:val="24"/>
                <w:lang w:eastAsia="en-US"/>
              </w:rPr>
            </w:pPr>
            <w:r>
              <w:rPr>
                <w:rFonts w:hint="eastAsia" w:asciiTheme="minorEastAsia" w:hAnsiTheme="minorEastAsia" w:eastAsiaTheme="minorEastAsia" w:cstheme="minorEastAsia"/>
                <w:snapToGrid w:val="0"/>
                <w:color w:val="000000"/>
                <w:spacing w:val="-2"/>
                <w:kern w:val="0"/>
                <w:sz w:val="24"/>
                <w:szCs w:val="24"/>
                <w:lang w:eastAsia="en-US"/>
              </w:rPr>
              <w:t>0-1</w:t>
            </w:r>
          </w:p>
        </w:tc>
        <w:tc>
          <w:tcPr>
            <w:tcW w:w="683" w:type="dxa"/>
            <w:vAlign w:val="center"/>
          </w:tcPr>
          <w:p w14:paraId="7DE2F5B9">
            <w:pPr>
              <w:widowControl/>
              <w:kinsoku w:val="0"/>
              <w:autoSpaceDE w:val="0"/>
              <w:autoSpaceDN w:val="0"/>
              <w:adjustRightInd w:val="0"/>
              <w:snapToGrid w:val="0"/>
              <w:spacing w:line="240" w:lineRule="auto"/>
              <w:ind w:firstLine="0" w:firstLineChars="0"/>
              <w:jc w:val="center"/>
              <w:textAlignment w:val="baseline"/>
              <w:rPr>
                <w:rFonts w:ascii="Arial" w:hAnsi="Arial" w:eastAsia="Arial" w:cs="Arial"/>
                <w:snapToGrid w:val="0"/>
                <w:color w:val="000000"/>
                <w:kern w:val="0"/>
                <w:sz w:val="21"/>
                <w:szCs w:val="21"/>
                <w:lang w:eastAsia="en-US"/>
              </w:rPr>
            </w:pPr>
          </w:p>
        </w:tc>
        <w:tc>
          <w:tcPr>
            <w:tcW w:w="1609" w:type="dxa"/>
            <w:vAlign w:val="center"/>
          </w:tcPr>
          <w:p w14:paraId="030C8F81">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r>
    </w:tbl>
    <w:p w14:paraId="3AFB3C08">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p w14:paraId="74A0FE03">
      <w:pPr>
        <w:widowControl/>
        <w:kinsoku w:val="0"/>
        <w:autoSpaceDE w:val="0"/>
        <w:autoSpaceDN w:val="0"/>
        <w:adjustRightInd w:val="0"/>
        <w:snapToGrid w:val="0"/>
        <w:spacing w:line="500" w:lineRule="exact"/>
        <w:ind w:left="1259" w:right="5" w:hanging="1132" w:firstLineChars="0"/>
        <w:jc w:val="left"/>
        <w:textAlignment w:val="baseline"/>
        <w:rPr>
          <w:rFonts w:hint="eastAsia" w:cs="仿宋_GB2312"/>
          <w:snapToGrid w:val="0"/>
          <w:color w:val="000000"/>
          <w:kern w:val="0"/>
          <w:sz w:val="28"/>
          <w:szCs w:val="28"/>
        </w:rPr>
      </w:pPr>
      <w:r>
        <w:rPr>
          <w:rFonts w:cs="仿宋_GB2312"/>
          <w:b/>
          <w:bCs/>
          <w:snapToGrid w:val="0"/>
          <w:color w:val="000000"/>
          <w:spacing w:val="-5"/>
          <w:kern w:val="0"/>
          <w:sz w:val="28"/>
          <w:szCs w:val="28"/>
        </w:rPr>
        <w:t>备注：</w:t>
      </w:r>
      <w:r>
        <w:rPr>
          <w:rFonts w:cs="仿宋_GB2312"/>
          <w:snapToGrid w:val="0"/>
          <w:color w:val="000000"/>
          <w:spacing w:val="-5"/>
          <w:kern w:val="0"/>
          <w:sz w:val="28"/>
          <w:szCs w:val="28"/>
        </w:rPr>
        <w:t>1、产业政策、环保生态、安全风险、规划符合性、土地利用符合性任意一项评审因素得0分的项目实行“一</w:t>
      </w:r>
      <w:r>
        <w:rPr>
          <w:rFonts w:cs="仿宋_GB2312"/>
          <w:snapToGrid w:val="0"/>
          <w:color w:val="000000"/>
          <w:spacing w:val="-6"/>
          <w:kern w:val="0"/>
          <w:sz w:val="28"/>
          <w:szCs w:val="28"/>
        </w:rPr>
        <w:t>票否决”；</w:t>
      </w:r>
    </w:p>
    <w:p w14:paraId="3E0BEC9D">
      <w:pPr>
        <w:widowControl/>
        <w:kinsoku w:val="0"/>
        <w:autoSpaceDE w:val="0"/>
        <w:autoSpaceDN w:val="0"/>
        <w:adjustRightInd w:val="0"/>
        <w:snapToGrid w:val="0"/>
        <w:spacing w:line="500" w:lineRule="exact"/>
        <w:ind w:left="974" w:firstLine="0" w:firstLineChars="0"/>
        <w:jc w:val="left"/>
        <w:textAlignment w:val="baseline"/>
        <w:rPr>
          <w:rFonts w:hint="eastAsia" w:cs="仿宋_GB2312"/>
          <w:snapToGrid w:val="0"/>
          <w:color w:val="000000"/>
          <w:kern w:val="0"/>
          <w:sz w:val="28"/>
          <w:szCs w:val="28"/>
        </w:rPr>
      </w:pPr>
      <w:r>
        <w:rPr>
          <w:rFonts w:cs="仿宋_GB2312"/>
          <w:snapToGrid w:val="0"/>
          <w:color w:val="000000"/>
          <w:kern w:val="0"/>
          <w:sz w:val="28"/>
          <w:szCs w:val="28"/>
        </w:rPr>
        <w:t>2、第三方咨询评估单位对各指标评审评分，并附相</w:t>
      </w:r>
      <w:r>
        <w:rPr>
          <w:rFonts w:cs="仿宋_GB2312"/>
          <w:snapToGrid w:val="0"/>
          <w:color w:val="000000"/>
          <w:spacing w:val="-1"/>
          <w:kern w:val="0"/>
          <w:sz w:val="28"/>
          <w:szCs w:val="28"/>
        </w:rPr>
        <w:t>应的《随州市青春化工工业园项目入园评审报告》；</w:t>
      </w:r>
    </w:p>
    <w:p w14:paraId="0838DEA2">
      <w:pPr>
        <w:widowControl/>
        <w:kinsoku w:val="0"/>
        <w:autoSpaceDE w:val="0"/>
        <w:autoSpaceDN w:val="0"/>
        <w:adjustRightInd w:val="0"/>
        <w:snapToGrid w:val="0"/>
        <w:spacing w:line="500" w:lineRule="exact"/>
        <w:ind w:left="1395" w:right="5" w:hanging="410" w:firstLineChars="0"/>
        <w:jc w:val="left"/>
        <w:textAlignment w:val="baseline"/>
        <w:rPr>
          <w:rFonts w:hint="eastAsia" w:cs="仿宋_GB2312"/>
          <w:snapToGrid w:val="0"/>
          <w:color w:val="000000"/>
          <w:kern w:val="0"/>
          <w:sz w:val="28"/>
          <w:szCs w:val="28"/>
        </w:rPr>
      </w:pPr>
      <w:r>
        <w:rPr>
          <w:rFonts w:cs="仿宋_GB2312"/>
          <w:snapToGrid w:val="0"/>
          <w:color w:val="000000"/>
          <w:spacing w:val="-2"/>
          <w:kern w:val="0"/>
          <w:sz w:val="28"/>
          <w:szCs w:val="28"/>
        </w:rPr>
        <w:t>3、评分＜75分的项目不得入园，评分≥75分的项目经管委会</w:t>
      </w:r>
      <w:r>
        <w:rPr>
          <w:rFonts w:cs="仿宋_GB2312"/>
          <w:snapToGrid w:val="0"/>
          <w:color w:val="000000"/>
          <w:spacing w:val="-3"/>
          <w:kern w:val="0"/>
          <w:sz w:val="28"/>
          <w:szCs w:val="28"/>
        </w:rPr>
        <w:t>常务会议讨论审定通过并办理行政许可手续后</w:t>
      </w:r>
      <w:r>
        <w:rPr>
          <w:rFonts w:cs="仿宋_GB2312"/>
          <w:snapToGrid w:val="0"/>
          <w:color w:val="000000"/>
          <w:spacing w:val="-4"/>
          <w:kern w:val="0"/>
          <w:sz w:val="28"/>
          <w:szCs w:val="28"/>
        </w:rPr>
        <w:t>可入园建设。</w:t>
      </w:r>
    </w:p>
    <w:p w14:paraId="0B894C12">
      <w:pPr>
        <w:spacing w:line="240" w:lineRule="exact"/>
        <w:ind w:firstLine="0" w:firstLineChars="0"/>
        <w:rPr>
          <w:rFonts w:hint="eastAsia" w:ascii="Arial"/>
          <w:sz w:val="21"/>
        </w:rPr>
        <w:sectPr>
          <w:headerReference r:id="rId15" w:type="default"/>
          <w:footerReference r:id="rId16" w:type="default"/>
          <w:pgSz w:w="16838" w:h="11906" w:orient="landscape"/>
          <w:pgMar w:top="1531" w:right="2098" w:bottom="1531" w:left="1984" w:header="851" w:footer="1417" w:gutter="0"/>
          <w:cols w:space="720" w:num="1"/>
          <w:docGrid w:type="lines" w:linePitch="439" w:charSpace="0"/>
        </w:sectPr>
      </w:pPr>
    </w:p>
    <w:p w14:paraId="1B36B61D">
      <w:pPr>
        <w:spacing w:before="136"/>
        <w:ind w:firstLine="0" w:firstLineChars="0"/>
        <w:jc w:val="center"/>
        <w:rPr>
          <w:rFonts w:hint="eastAsia" w:ascii="方正小标宋简体" w:hAnsi="方正小标宋简体" w:eastAsia="方正小标宋简体" w:cs="方正小标宋简体"/>
          <w:sz w:val="35"/>
          <w:szCs w:val="35"/>
        </w:rPr>
      </w:pPr>
      <w:r>
        <w:rPr>
          <w:rFonts w:ascii="方正小标宋简体" w:hAnsi="方正小标宋简体" w:eastAsia="方正小标宋简体" w:cs="方正小标宋简体"/>
          <w:spacing w:val="9"/>
          <w:sz w:val="35"/>
          <w:szCs w:val="35"/>
        </w:rPr>
        <w:t>附</w:t>
      </w:r>
      <w:r>
        <w:rPr>
          <w:rFonts w:hint="eastAsia" w:ascii="方正小标宋简体" w:hAnsi="方正小标宋简体" w:eastAsia="方正小标宋简体" w:cs="方正小标宋简体"/>
          <w:spacing w:val="9"/>
          <w:sz w:val="35"/>
          <w:szCs w:val="35"/>
        </w:rPr>
        <w:t>件</w:t>
      </w:r>
      <w:r>
        <w:rPr>
          <w:rFonts w:ascii="方正小标宋简体" w:hAnsi="方正小标宋简体" w:eastAsia="方正小标宋简体" w:cs="方正小标宋简体"/>
          <w:spacing w:val="9"/>
          <w:sz w:val="35"/>
          <w:szCs w:val="35"/>
        </w:rPr>
        <w:t>2：随州市青春化工工业园入园项目联合会审表</w:t>
      </w:r>
    </w:p>
    <w:p w14:paraId="3E266149">
      <w:pPr>
        <w:widowControl/>
        <w:kinsoku w:val="0"/>
        <w:autoSpaceDE w:val="0"/>
        <w:autoSpaceDN w:val="0"/>
        <w:adjustRightInd w:val="0"/>
        <w:snapToGrid w:val="0"/>
        <w:spacing w:before="23" w:line="240" w:lineRule="auto"/>
        <w:ind w:firstLine="0" w:firstLineChars="0"/>
        <w:jc w:val="left"/>
        <w:textAlignment w:val="baseline"/>
        <w:rPr>
          <w:rFonts w:ascii="Arial" w:hAnsi="Arial" w:eastAsia="Arial" w:cs="Arial"/>
          <w:snapToGrid w:val="0"/>
          <w:color w:val="000000"/>
          <w:kern w:val="0"/>
          <w:sz w:val="21"/>
          <w:szCs w:val="21"/>
        </w:rPr>
      </w:pPr>
    </w:p>
    <w:tbl>
      <w:tblPr>
        <w:tblStyle w:val="35"/>
        <w:tblW w:w="93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5"/>
        <w:gridCol w:w="3997"/>
        <w:gridCol w:w="836"/>
        <w:gridCol w:w="960"/>
        <w:gridCol w:w="2158"/>
      </w:tblGrid>
      <w:tr w14:paraId="0EE2A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405" w:type="dxa"/>
            <w:vAlign w:val="center"/>
          </w:tcPr>
          <w:p w14:paraId="228F4822">
            <w:pPr>
              <w:kinsoku w:val="0"/>
              <w:autoSpaceDE w:val="0"/>
              <w:autoSpaceDN w:val="0"/>
              <w:adjustRightInd w:val="0"/>
              <w:snapToGrid w:val="0"/>
              <w:spacing w:before="206" w:line="222" w:lineRule="auto"/>
              <w:ind w:firstLine="0" w:firstLineChars="0"/>
              <w:textAlignment w:val="baseline"/>
              <w:rPr>
                <w:rFonts w:hint="eastAsia" w:hAnsiTheme="minorEastAsia" w:cstheme="minorEastAsia"/>
                <w:snapToGrid w:val="0"/>
                <w:color w:val="000000"/>
                <w:kern w:val="0"/>
                <w:sz w:val="24"/>
                <w:szCs w:val="24"/>
                <w:lang w:eastAsia="en-US"/>
              </w:rPr>
            </w:pPr>
            <w:r>
              <w:rPr>
                <w:rFonts w:hint="eastAsia" w:hAnsiTheme="minorEastAsia" w:cstheme="minorEastAsia"/>
                <w:snapToGrid w:val="0"/>
                <w:color w:val="000000"/>
                <w:spacing w:val="4"/>
                <w:kern w:val="0"/>
                <w:sz w:val="24"/>
                <w:szCs w:val="24"/>
                <w:lang w:eastAsia="en-US"/>
              </w:rPr>
              <w:t>企业名称</w:t>
            </w:r>
          </w:p>
        </w:tc>
        <w:tc>
          <w:tcPr>
            <w:tcW w:w="3997" w:type="dxa"/>
            <w:vAlign w:val="center"/>
          </w:tcPr>
          <w:p w14:paraId="3E414E50">
            <w:pPr>
              <w:widowControl/>
              <w:kinsoku w:val="0"/>
              <w:autoSpaceDE w:val="0"/>
              <w:autoSpaceDN w:val="0"/>
              <w:adjustRightInd w:val="0"/>
              <w:snapToGrid w:val="0"/>
              <w:spacing w:line="240" w:lineRule="auto"/>
              <w:ind w:firstLine="0" w:firstLineChars="0"/>
              <w:textAlignment w:val="baseline"/>
              <w:rPr>
                <w:rFonts w:hint="eastAsia" w:hAnsiTheme="minorEastAsia" w:cstheme="minorEastAsia"/>
                <w:snapToGrid w:val="0"/>
                <w:color w:val="000000"/>
                <w:kern w:val="0"/>
                <w:sz w:val="24"/>
                <w:szCs w:val="24"/>
                <w:lang w:eastAsia="en-US"/>
              </w:rPr>
            </w:pPr>
          </w:p>
        </w:tc>
        <w:tc>
          <w:tcPr>
            <w:tcW w:w="1796" w:type="dxa"/>
            <w:gridSpan w:val="2"/>
            <w:vAlign w:val="center"/>
          </w:tcPr>
          <w:p w14:paraId="02F729C9">
            <w:pPr>
              <w:kinsoku w:val="0"/>
              <w:autoSpaceDE w:val="0"/>
              <w:autoSpaceDN w:val="0"/>
              <w:adjustRightInd w:val="0"/>
              <w:snapToGrid w:val="0"/>
              <w:spacing w:before="206" w:line="220" w:lineRule="auto"/>
              <w:ind w:firstLine="0" w:firstLineChars="0"/>
              <w:textAlignment w:val="baseline"/>
              <w:rPr>
                <w:rFonts w:hint="eastAsia" w:hAnsiTheme="minorEastAsia" w:cstheme="minorEastAsia"/>
                <w:snapToGrid w:val="0"/>
                <w:color w:val="000000"/>
                <w:kern w:val="0"/>
                <w:sz w:val="24"/>
                <w:szCs w:val="24"/>
                <w:lang w:eastAsia="en-US"/>
              </w:rPr>
            </w:pPr>
            <w:r>
              <w:rPr>
                <w:rFonts w:hint="eastAsia" w:hAnsiTheme="minorEastAsia" w:cstheme="minorEastAsia"/>
                <w:snapToGrid w:val="0"/>
                <w:color w:val="000000"/>
                <w:spacing w:val="5"/>
                <w:kern w:val="0"/>
                <w:sz w:val="24"/>
                <w:szCs w:val="24"/>
                <w:lang w:eastAsia="en-US"/>
              </w:rPr>
              <w:t>建设状态</w:t>
            </w:r>
          </w:p>
        </w:tc>
        <w:tc>
          <w:tcPr>
            <w:tcW w:w="2158" w:type="dxa"/>
          </w:tcPr>
          <w:p w14:paraId="658F2DC9">
            <w:pPr>
              <w:widowControl/>
              <w:kinsoku w:val="0"/>
              <w:autoSpaceDE w:val="0"/>
              <w:autoSpaceDN w:val="0"/>
              <w:adjustRightInd w:val="0"/>
              <w:snapToGrid w:val="0"/>
              <w:spacing w:line="240" w:lineRule="auto"/>
              <w:ind w:firstLine="0" w:firstLineChars="0"/>
              <w:jc w:val="left"/>
              <w:textAlignment w:val="baseline"/>
              <w:rPr>
                <w:rFonts w:hint="eastAsia" w:hAnsiTheme="minorEastAsia" w:cstheme="minorEastAsia"/>
                <w:snapToGrid w:val="0"/>
                <w:color w:val="000000"/>
                <w:kern w:val="0"/>
                <w:sz w:val="24"/>
                <w:szCs w:val="24"/>
                <w:lang w:eastAsia="en-US"/>
              </w:rPr>
            </w:pPr>
          </w:p>
        </w:tc>
      </w:tr>
      <w:tr w14:paraId="7E4C8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405" w:type="dxa"/>
            <w:vAlign w:val="center"/>
          </w:tcPr>
          <w:p w14:paraId="159B318F">
            <w:pPr>
              <w:kinsoku w:val="0"/>
              <w:autoSpaceDE w:val="0"/>
              <w:autoSpaceDN w:val="0"/>
              <w:adjustRightInd w:val="0"/>
              <w:snapToGrid w:val="0"/>
              <w:spacing w:before="184" w:line="222" w:lineRule="auto"/>
              <w:ind w:firstLine="0" w:firstLineChars="0"/>
              <w:textAlignment w:val="baseline"/>
              <w:rPr>
                <w:rFonts w:hint="eastAsia" w:hAnsiTheme="minorEastAsia" w:cstheme="minorEastAsia"/>
                <w:snapToGrid w:val="0"/>
                <w:color w:val="000000"/>
                <w:kern w:val="0"/>
                <w:sz w:val="24"/>
                <w:szCs w:val="24"/>
                <w:lang w:eastAsia="en-US"/>
              </w:rPr>
            </w:pPr>
            <w:r>
              <w:rPr>
                <w:rFonts w:hint="eastAsia" w:hAnsiTheme="minorEastAsia" w:cstheme="minorEastAsia"/>
                <w:snapToGrid w:val="0"/>
                <w:color w:val="000000"/>
                <w:spacing w:val="2"/>
                <w:kern w:val="0"/>
                <w:sz w:val="24"/>
                <w:szCs w:val="24"/>
                <w:lang w:eastAsia="en-US"/>
              </w:rPr>
              <w:t>主要产品</w:t>
            </w:r>
          </w:p>
        </w:tc>
        <w:tc>
          <w:tcPr>
            <w:tcW w:w="3997" w:type="dxa"/>
            <w:vAlign w:val="center"/>
          </w:tcPr>
          <w:p w14:paraId="5F56CB88">
            <w:pPr>
              <w:widowControl/>
              <w:kinsoku w:val="0"/>
              <w:autoSpaceDE w:val="0"/>
              <w:autoSpaceDN w:val="0"/>
              <w:adjustRightInd w:val="0"/>
              <w:snapToGrid w:val="0"/>
              <w:spacing w:line="240" w:lineRule="auto"/>
              <w:ind w:firstLine="0" w:firstLineChars="0"/>
              <w:textAlignment w:val="baseline"/>
              <w:rPr>
                <w:rFonts w:hint="eastAsia" w:hAnsiTheme="minorEastAsia" w:cstheme="minorEastAsia"/>
                <w:snapToGrid w:val="0"/>
                <w:color w:val="000000"/>
                <w:kern w:val="0"/>
                <w:sz w:val="24"/>
                <w:szCs w:val="24"/>
                <w:lang w:eastAsia="en-US"/>
              </w:rPr>
            </w:pPr>
          </w:p>
        </w:tc>
        <w:tc>
          <w:tcPr>
            <w:tcW w:w="1796" w:type="dxa"/>
            <w:gridSpan w:val="2"/>
            <w:vAlign w:val="center"/>
          </w:tcPr>
          <w:p w14:paraId="60F917E6">
            <w:pPr>
              <w:kinsoku w:val="0"/>
              <w:autoSpaceDE w:val="0"/>
              <w:autoSpaceDN w:val="0"/>
              <w:adjustRightInd w:val="0"/>
              <w:snapToGrid w:val="0"/>
              <w:spacing w:before="184" w:line="220" w:lineRule="auto"/>
              <w:ind w:firstLine="0" w:firstLineChars="0"/>
              <w:textAlignment w:val="baseline"/>
              <w:rPr>
                <w:rFonts w:hint="eastAsia" w:hAnsiTheme="minorEastAsia" w:cstheme="minorEastAsia"/>
                <w:snapToGrid w:val="0"/>
                <w:color w:val="000000"/>
                <w:kern w:val="0"/>
                <w:sz w:val="24"/>
                <w:szCs w:val="24"/>
                <w:lang w:eastAsia="en-US"/>
              </w:rPr>
            </w:pPr>
            <w:r>
              <w:rPr>
                <w:rFonts w:hint="eastAsia" w:hAnsiTheme="minorEastAsia" w:cstheme="minorEastAsia"/>
                <w:snapToGrid w:val="0"/>
                <w:color w:val="000000"/>
                <w:spacing w:val="-6"/>
                <w:kern w:val="0"/>
                <w:sz w:val="24"/>
                <w:szCs w:val="24"/>
                <w:lang w:eastAsia="en-US"/>
              </w:rPr>
              <w:t>性</w:t>
            </w:r>
            <w:r>
              <w:rPr>
                <w:rFonts w:hint="eastAsia" w:hAnsiTheme="minorEastAsia" w:cstheme="minorEastAsia"/>
                <w:snapToGrid w:val="0"/>
                <w:color w:val="000000"/>
                <w:spacing w:val="12"/>
                <w:kern w:val="0"/>
                <w:sz w:val="24"/>
                <w:szCs w:val="24"/>
                <w:lang w:eastAsia="en-US"/>
              </w:rPr>
              <w:t xml:space="preserve">  </w:t>
            </w:r>
            <w:r>
              <w:rPr>
                <w:rFonts w:hint="eastAsia" w:hAnsiTheme="minorEastAsia" w:cstheme="minorEastAsia"/>
                <w:snapToGrid w:val="0"/>
                <w:color w:val="000000"/>
                <w:spacing w:val="-6"/>
                <w:kern w:val="0"/>
                <w:sz w:val="24"/>
                <w:szCs w:val="24"/>
                <w:lang w:eastAsia="en-US"/>
              </w:rPr>
              <w:t>质</w:t>
            </w:r>
          </w:p>
        </w:tc>
        <w:tc>
          <w:tcPr>
            <w:tcW w:w="2158" w:type="dxa"/>
          </w:tcPr>
          <w:p w14:paraId="5D096C7A">
            <w:pPr>
              <w:widowControl/>
              <w:kinsoku w:val="0"/>
              <w:autoSpaceDE w:val="0"/>
              <w:autoSpaceDN w:val="0"/>
              <w:adjustRightInd w:val="0"/>
              <w:snapToGrid w:val="0"/>
              <w:spacing w:line="240" w:lineRule="auto"/>
              <w:ind w:firstLine="0" w:firstLineChars="0"/>
              <w:jc w:val="left"/>
              <w:textAlignment w:val="baseline"/>
              <w:rPr>
                <w:rFonts w:hint="eastAsia" w:hAnsiTheme="minorEastAsia" w:cstheme="minorEastAsia"/>
                <w:snapToGrid w:val="0"/>
                <w:color w:val="000000"/>
                <w:kern w:val="0"/>
                <w:sz w:val="24"/>
                <w:szCs w:val="24"/>
                <w:lang w:eastAsia="en-US"/>
              </w:rPr>
            </w:pPr>
          </w:p>
        </w:tc>
      </w:tr>
      <w:tr w14:paraId="320C4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405" w:type="dxa"/>
            <w:vAlign w:val="center"/>
          </w:tcPr>
          <w:p w14:paraId="4380C1DD">
            <w:pPr>
              <w:kinsoku w:val="0"/>
              <w:autoSpaceDE w:val="0"/>
              <w:autoSpaceDN w:val="0"/>
              <w:adjustRightInd w:val="0"/>
              <w:snapToGrid w:val="0"/>
              <w:spacing w:before="199" w:line="224" w:lineRule="auto"/>
              <w:ind w:firstLine="0" w:firstLineChars="0"/>
              <w:textAlignment w:val="baseline"/>
              <w:rPr>
                <w:rFonts w:hint="eastAsia" w:hAnsiTheme="minorEastAsia" w:cstheme="minorEastAsia"/>
                <w:snapToGrid w:val="0"/>
                <w:color w:val="000000"/>
                <w:kern w:val="0"/>
                <w:sz w:val="24"/>
                <w:szCs w:val="24"/>
                <w:lang w:eastAsia="en-US"/>
              </w:rPr>
            </w:pPr>
            <w:r>
              <w:rPr>
                <w:rFonts w:hint="eastAsia" w:hAnsiTheme="minorEastAsia" w:cstheme="minorEastAsia"/>
                <w:snapToGrid w:val="0"/>
                <w:color w:val="000000"/>
                <w:spacing w:val="-6"/>
                <w:kern w:val="0"/>
                <w:sz w:val="24"/>
                <w:szCs w:val="24"/>
                <w:lang w:eastAsia="en-US"/>
              </w:rPr>
              <w:t>占地面积</w:t>
            </w:r>
          </w:p>
        </w:tc>
        <w:tc>
          <w:tcPr>
            <w:tcW w:w="3997" w:type="dxa"/>
            <w:vAlign w:val="center"/>
          </w:tcPr>
          <w:p w14:paraId="2933A591">
            <w:pPr>
              <w:widowControl/>
              <w:kinsoku w:val="0"/>
              <w:autoSpaceDE w:val="0"/>
              <w:autoSpaceDN w:val="0"/>
              <w:adjustRightInd w:val="0"/>
              <w:snapToGrid w:val="0"/>
              <w:spacing w:line="240" w:lineRule="auto"/>
              <w:ind w:firstLine="0" w:firstLineChars="0"/>
              <w:textAlignment w:val="baseline"/>
              <w:rPr>
                <w:rFonts w:hint="eastAsia" w:hAnsiTheme="minorEastAsia" w:cstheme="minorEastAsia"/>
                <w:snapToGrid w:val="0"/>
                <w:color w:val="000000"/>
                <w:kern w:val="0"/>
                <w:sz w:val="24"/>
                <w:szCs w:val="24"/>
                <w:lang w:eastAsia="en-US"/>
              </w:rPr>
            </w:pPr>
          </w:p>
        </w:tc>
        <w:tc>
          <w:tcPr>
            <w:tcW w:w="1796" w:type="dxa"/>
            <w:gridSpan w:val="2"/>
            <w:vAlign w:val="center"/>
          </w:tcPr>
          <w:p w14:paraId="2696A747">
            <w:pPr>
              <w:kinsoku w:val="0"/>
              <w:autoSpaceDE w:val="0"/>
              <w:autoSpaceDN w:val="0"/>
              <w:adjustRightInd w:val="0"/>
              <w:snapToGrid w:val="0"/>
              <w:spacing w:before="199" w:line="221" w:lineRule="auto"/>
              <w:ind w:firstLine="0" w:firstLineChars="0"/>
              <w:textAlignment w:val="baseline"/>
              <w:rPr>
                <w:rFonts w:hint="eastAsia" w:hAnsiTheme="minorEastAsia" w:cstheme="minorEastAsia"/>
                <w:snapToGrid w:val="0"/>
                <w:color w:val="000000"/>
                <w:kern w:val="0"/>
                <w:sz w:val="24"/>
                <w:szCs w:val="24"/>
                <w:lang w:eastAsia="en-US"/>
              </w:rPr>
            </w:pPr>
            <w:r>
              <w:rPr>
                <w:rFonts w:hint="eastAsia" w:hAnsiTheme="minorEastAsia" w:cstheme="minorEastAsia"/>
                <w:snapToGrid w:val="0"/>
                <w:color w:val="000000"/>
                <w:spacing w:val="3"/>
                <w:kern w:val="0"/>
                <w:sz w:val="24"/>
                <w:szCs w:val="24"/>
                <w:lang w:eastAsia="en-US"/>
              </w:rPr>
              <w:t>年产值</w:t>
            </w:r>
          </w:p>
        </w:tc>
        <w:tc>
          <w:tcPr>
            <w:tcW w:w="2158" w:type="dxa"/>
          </w:tcPr>
          <w:p w14:paraId="2ED76238">
            <w:pPr>
              <w:widowControl/>
              <w:kinsoku w:val="0"/>
              <w:autoSpaceDE w:val="0"/>
              <w:autoSpaceDN w:val="0"/>
              <w:adjustRightInd w:val="0"/>
              <w:snapToGrid w:val="0"/>
              <w:spacing w:line="240" w:lineRule="auto"/>
              <w:ind w:firstLine="0" w:firstLineChars="0"/>
              <w:jc w:val="left"/>
              <w:textAlignment w:val="baseline"/>
              <w:rPr>
                <w:rFonts w:hint="eastAsia" w:hAnsiTheme="minorEastAsia" w:cstheme="minorEastAsia"/>
                <w:snapToGrid w:val="0"/>
                <w:color w:val="000000"/>
                <w:kern w:val="0"/>
                <w:sz w:val="24"/>
                <w:szCs w:val="24"/>
                <w:lang w:eastAsia="en-US"/>
              </w:rPr>
            </w:pPr>
          </w:p>
        </w:tc>
      </w:tr>
      <w:tr w14:paraId="49748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405" w:type="dxa"/>
            <w:vMerge w:val="restart"/>
            <w:tcBorders>
              <w:bottom w:val="nil"/>
            </w:tcBorders>
            <w:vAlign w:val="center"/>
          </w:tcPr>
          <w:p w14:paraId="353DDC4D">
            <w:pPr>
              <w:kinsoku w:val="0"/>
              <w:autoSpaceDE w:val="0"/>
              <w:autoSpaceDN w:val="0"/>
              <w:adjustRightInd w:val="0"/>
              <w:snapToGrid w:val="0"/>
              <w:spacing w:before="81" w:line="220" w:lineRule="auto"/>
              <w:ind w:firstLine="0" w:firstLineChars="0"/>
              <w:textAlignment w:val="baseline"/>
              <w:rPr>
                <w:rFonts w:hint="eastAsia" w:hAnsiTheme="minorEastAsia" w:cstheme="minorEastAsia"/>
                <w:snapToGrid w:val="0"/>
                <w:color w:val="000000"/>
                <w:kern w:val="0"/>
                <w:sz w:val="24"/>
                <w:szCs w:val="24"/>
                <w:lang w:eastAsia="en-US"/>
              </w:rPr>
            </w:pPr>
            <w:r>
              <w:rPr>
                <w:rFonts w:hint="eastAsia" w:hAnsiTheme="minorEastAsia" w:cstheme="minorEastAsia"/>
                <w:snapToGrid w:val="0"/>
                <w:color w:val="000000"/>
                <w:spacing w:val="4"/>
                <w:kern w:val="0"/>
                <w:sz w:val="24"/>
                <w:szCs w:val="24"/>
                <w:lang w:eastAsia="en-US"/>
              </w:rPr>
              <w:t>投资金额</w:t>
            </w:r>
          </w:p>
        </w:tc>
        <w:tc>
          <w:tcPr>
            <w:tcW w:w="3997" w:type="dxa"/>
            <w:vMerge w:val="restart"/>
            <w:tcBorders>
              <w:bottom w:val="nil"/>
            </w:tcBorders>
            <w:vAlign w:val="center"/>
          </w:tcPr>
          <w:p w14:paraId="44B79345">
            <w:pPr>
              <w:kinsoku w:val="0"/>
              <w:autoSpaceDE w:val="0"/>
              <w:autoSpaceDN w:val="0"/>
              <w:adjustRightInd w:val="0"/>
              <w:snapToGrid w:val="0"/>
              <w:spacing w:before="81" w:line="220" w:lineRule="auto"/>
              <w:ind w:firstLine="0" w:firstLineChars="0"/>
              <w:textAlignment w:val="baseline"/>
              <w:rPr>
                <w:rFonts w:hint="eastAsia" w:hAnsiTheme="minorEastAsia" w:cstheme="minorEastAsia"/>
                <w:snapToGrid w:val="0"/>
                <w:color w:val="000000"/>
                <w:spacing w:val="4"/>
                <w:kern w:val="0"/>
                <w:sz w:val="24"/>
                <w:szCs w:val="24"/>
                <w:lang w:eastAsia="en-US"/>
              </w:rPr>
            </w:pPr>
          </w:p>
        </w:tc>
        <w:tc>
          <w:tcPr>
            <w:tcW w:w="836" w:type="dxa"/>
            <w:vMerge w:val="restart"/>
            <w:tcBorders>
              <w:bottom w:val="nil"/>
            </w:tcBorders>
            <w:vAlign w:val="center"/>
          </w:tcPr>
          <w:p w14:paraId="35257A20">
            <w:pPr>
              <w:kinsoku w:val="0"/>
              <w:autoSpaceDE w:val="0"/>
              <w:autoSpaceDN w:val="0"/>
              <w:adjustRightInd w:val="0"/>
              <w:snapToGrid w:val="0"/>
              <w:spacing w:before="81" w:line="220" w:lineRule="auto"/>
              <w:ind w:firstLine="0" w:firstLineChars="0"/>
              <w:textAlignment w:val="baseline"/>
              <w:rPr>
                <w:rFonts w:hint="eastAsia" w:hAnsiTheme="minorEastAsia" w:cstheme="minorEastAsia"/>
                <w:snapToGrid w:val="0"/>
                <w:color w:val="000000"/>
                <w:spacing w:val="4"/>
                <w:kern w:val="0"/>
                <w:sz w:val="24"/>
                <w:szCs w:val="24"/>
              </w:rPr>
            </w:pPr>
            <w:r>
              <w:rPr>
                <w:rFonts w:hint="eastAsia" w:hAnsiTheme="minorEastAsia" w:cstheme="minorEastAsia"/>
                <w:snapToGrid w:val="0"/>
                <w:color w:val="000000"/>
                <w:spacing w:val="4"/>
                <w:kern w:val="0"/>
                <w:sz w:val="24"/>
                <w:szCs w:val="24"/>
              </w:rPr>
              <w:t>效益</w:t>
            </w:r>
          </w:p>
        </w:tc>
        <w:tc>
          <w:tcPr>
            <w:tcW w:w="960" w:type="dxa"/>
            <w:vAlign w:val="center"/>
          </w:tcPr>
          <w:p w14:paraId="28A877E4">
            <w:pPr>
              <w:kinsoku w:val="0"/>
              <w:autoSpaceDE w:val="0"/>
              <w:autoSpaceDN w:val="0"/>
              <w:adjustRightInd w:val="0"/>
              <w:snapToGrid w:val="0"/>
              <w:spacing w:before="208" w:line="224" w:lineRule="auto"/>
              <w:ind w:firstLine="0" w:firstLineChars="0"/>
              <w:textAlignment w:val="baseline"/>
              <w:rPr>
                <w:rFonts w:hint="eastAsia" w:hAnsiTheme="minorEastAsia" w:cstheme="minorEastAsia"/>
                <w:snapToGrid w:val="0"/>
                <w:color w:val="000000"/>
                <w:kern w:val="0"/>
                <w:sz w:val="24"/>
                <w:szCs w:val="24"/>
                <w:lang w:eastAsia="en-US"/>
              </w:rPr>
            </w:pPr>
            <w:r>
              <w:rPr>
                <w:rFonts w:hint="eastAsia" w:hAnsiTheme="minorEastAsia" w:cstheme="minorEastAsia"/>
                <w:snapToGrid w:val="0"/>
                <w:color w:val="000000"/>
                <w:spacing w:val="3"/>
                <w:kern w:val="0"/>
                <w:sz w:val="24"/>
                <w:szCs w:val="24"/>
                <w:lang w:eastAsia="en-US"/>
              </w:rPr>
              <w:t>税收</w:t>
            </w:r>
          </w:p>
        </w:tc>
        <w:tc>
          <w:tcPr>
            <w:tcW w:w="2158" w:type="dxa"/>
          </w:tcPr>
          <w:p w14:paraId="657E33D8">
            <w:pPr>
              <w:widowControl/>
              <w:kinsoku w:val="0"/>
              <w:autoSpaceDE w:val="0"/>
              <w:autoSpaceDN w:val="0"/>
              <w:adjustRightInd w:val="0"/>
              <w:snapToGrid w:val="0"/>
              <w:spacing w:line="240" w:lineRule="auto"/>
              <w:ind w:firstLine="0" w:firstLineChars="0"/>
              <w:jc w:val="left"/>
              <w:textAlignment w:val="baseline"/>
              <w:rPr>
                <w:rFonts w:hint="eastAsia" w:hAnsiTheme="minorEastAsia" w:cstheme="minorEastAsia"/>
                <w:snapToGrid w:val="0"/>
                <w:color w:val="000000"/>
                <w:kern w:val="0"/>
                <w:sz w:val="24"/>
                <w:szCs w:val="24"/>
                <w:lang w:eastAsia="en-US"/>
              </w:rPr>
            </w:pPr>
          </w:p>
        </w:tc>
      </w:tr>
      <w:tr w14:paraId="35708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05" w:type="dxa"/>
            <w:vMerge w:val="continue"/>
            <w:tcBorders>
              <w:top w:val="nil"/>
            </w:tcBorders>
            <w:vAlign w:val="center"/>
          </w:tcPr>
          <w:p w14:paraId="1D880253">
            <w:pPr>
              <w:widowControl/>
              <w:kinsoku w:val="0"/>
              <w:autoSpaceDE w:val="0"/>
              <w:autoSpaceDN w:val="0"/>
              <w:adjustRightInd w:val="0"/>
              <w:snapToGrid w:val="0"/>
              <w:spacing w:line="240" w:lineRule="auto"/>
              <w:ind w:firstLine="0" w:firstLineChars="0"/>
              <w:textAlignment w:val="baseline"/>
              <w:rPr>
                <w:rFonts w:hint="eastAsia" w:hAnsiTheme="minorEastAsia" w:cstheme="minorEastAsia"/>
                <w:snapToGrid w:val="0"/>
                <w:color w:val="000000"/>
                <w:kern w:val="0"/>
                <w:sz w:val="24"/>
                <w:szCs w:val="24"/>
                <w:lang w:eastAsia="en-US"/>
              </w:rPr>
            </w:pPr>
          </w:p>
        </w:tc>
        <w:tc>
          <w:tcPr>
            <w:tcW w:w="3997" w:type="dxa"/>
            <w:vMerge w:val="continue"/>
            <w:tcBorders>
              <w:top w:val="nil"/>
            </w:tcBorders>
            <w:vAlign w:val="center"/>
          </w:tcPr>
          <w:p w14:paraId="69E188C1">
            <w:pPr>
              <w:widowControl/>
              <w:kinsoku w:val="0"/>
              <w:autoSpaceDE w:val="0"/>
              <w:autoSpaceDN w:val="0"/>
              <w:adjustRightInd w:val="0"/>
              <w:snapToGrid w:val="0"/>
              <w:spacing w:line="240" w:lineRule="auto"/>
              <w:ind w:firstLine="0" w:firstLineChars="0"/>
              <w:textAlignment w:val="baseline"/>
              <w:rPr>
                <w:rFonts w:hint="eastAsia" w:hAnsiTheme="minorEastAsia" w:cstheme="minorEastAsia"/>
                <w:snapToGrid w:val="0"/>
                <w:color w:val="000000"/>
                <w:kern w:val="0"/>
                <w:sz w:val="24"/>
                <w:szCs w:val="24"/>
                <w:lang w:eastAsia="en-US"/>
              </w:rPr>
            </w:pPr>
          </w:p>
        </w:tc>
        <w:tc>
          <w:tcPr>
            <w:tcW w:w="836" w:type="dxa"/>
            <w:vMerge w:val="continue"/>
            <w:tcBorders>
              <w:top w:val="nil"/>
            </w:tcBorders>
            <w:textDirection w:val="tbRlV"/>
            <w:vAlign w:val="center"/>
          </w:tcPr>
          <w:p w14:paraId="37203630">
            <w:pPr>
              <w:widowControl/>
              <w:kinsoku w:val="0"/>
              <w:autoSpaceDE w:val="0"/>
              <w:autoSpaceDN w:val="0"/>
              <w:adjustRightInd w:val="0"/>
              <w:snapToGrid w:val="0"/>
              <w:spacing w:line="240" w:lineRule="auto"/>
              <w:ind w:firstLine="0" w:firstLineChars="0"/>
              <w:textAlignment w:val="baseline"/>
              <w:rPr>
                <w:rFonts w:hint="eastAsia" w:hAnsiTheme="minorEastAsia" w:cstheme="minorEastAsia"/>
                <w:snapToGrid w:val="0"/>
                <w:color w:val="000000"/>
                <w:kern w:val="0"/>
                <w:sz w:val="24"/>
                <w:szCs w:val="24"/>
                <w:lang w:eastAsia="en-US"/>
              </w:rPr>
            </w:pPr>
          </w:p>
        </w:tc>
        <w:tc>
          <w:tcPr>
            <w:tcW w:w="960" w:type="dxa"/>
            <w:vAlign w:val="center"/>
          </w:tcPr>
          <w:p w14:paraId="004E3DDC">
            <w:pPr>
              <w:kinsoku w:val="0"/>
              <w:autoSpaceDE w:val="0"/>
              <w:autoSpaceDN w:val="0"/>
              <w:adjustRightInd w:val="0"/>
              <w:snapToGrid w:val="0"/>
              <w:spacing w:before="137" w:line="226" w:lineRule="auto"/>
              <w:ind w:firstLine="0" w:firstLineChars="0"/>
              <w:textAlignment w:val="baseline"/>
              <w:rPr>
                <w:rFonts w:hint="eastAsia" w:hAnsiTheme="minorEastAsia" w:cstheme="minorEastAsia"/>
                <w:snapToGrid w:val="0"/>
                <w:color w:val="000000"/>
                <w:kern w:val="0"/>
                <w:sz w:val="24"/>
                <w:szCs w:val="24"/>
                <w:lang w:eastAsia="en-US"/>
              </w:rPr>
            </w:pPr>
            <w:r>
              <w:rPr>
                <w:rFonts w:hint="eastAsia" w:hAnsiTheme="minorEastAsia" w:cstheme="minorEastAsia"/>
                <w:snapToGrid w:val="0"/>
                <w:color w:val="000000"/>
                <w:spacing w:val="1"/>
                <w:kern w:val="0"/>
                <w:sz w:val="24"/>
                <w:szCs w:val="24"/>
                <w:lang w:eastAsia="en-US"/>
              </w:rPr>
              <w:t>就业</w:t>
            </w:r>
          </w:p>
        </w:tc>
        <w:tc>
          <w:tcPr>
            <w:tcW w:w="2158" w:type="dxa"/>
          </w:tcPr>
          <w:p w14:paraId="296C41C8">
            <w:pPr>
              <w:widowControl/>
              <w:kinsoku w:val="0"/>
              <w:autoSpaceDE w:val="0"/>
              <w:autoSpaceDN w:val="0"/>
              <w:adjustRightInd w:val="0"/>
              <w:snapToGrid w:val="0"/>
              <w:spacing w:line="240" w:lineRule="auto"/>
              <w:ind w:firstLine="0" w:firstLineChars="0"/>
              <w:jc w:val="left"/>
              <w:textAlignment w:val="baseline"/>
              <w:rPr>
                <w:rFonts w:hint="eastAsia" w:hAnsiTheme="minorEastAsia" w:cstheme="minorEastAsia"/>
                <w:snapToGrid w:val="0"/>
                <w:color w:val="000000"/>
                <w:kern w:val="0"/>
                <w:sz w:val="24"/>
                <w:szCs w:val="24"/>
                <w:lang w:eastAsia="en-US"/>
              </w:rPr>
            </w:pPr>
          </w:p>
        </w:tc>
      </w:tr>
      <w:tr w14:paraId="550D3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405" w:type="dxa"/>
            <w:vAlign w:val="center"/>
          </w:tcPr>
          <w:p w14:paraId="25024719">
            <w:pPr>
              <w:kinsoku w:val="0"/>
              <w:autoSpaceDE w:val="0"/>
              <w:autoSpaceDN w:val="0"/>
              <w:adjustRightInd w:val="0"/>
              <w:snapToGrid w:val="0"/>
              <w:spacing w:before="168" w:line="220" w:lineRule="auto"/>
              <w:ind w:firstLine="0" w:firstLineChars="0"/>
              <w:textAlignment w:val="baseline"/>
              <w:rPr>
                <w:rFonts w:hint="eastAsia" w:hAnsiTheme="minorEastAsia" w:cstheme="minorEastAsia"/>
                <w:snapToGrid w:val="0"/>
                <w:color w:val="000000"/>
                <w:kern w:val="0"/>
                <w:sz w:val="24"/>
                <w:szCs w:val="24"/>
                <w:lang w:eastAsia="en-US"/>
              </w:rPr>
            </w:pPr>
            <w:r>
              <w:rPr>
                <w:rFonts w:hint="eastAsia" w:hAnsiTheme="minorEastAsia" w:cstheme="minorEastAsia"/>
                <w:snapToGrid w:val="0"/>
                <w:color w:val="000000"/>
                <w:kern w:val="0"/>
                <w:sz w:val="24"/>
                <w:szCs w:val="24"/>
                <w:lang w:eastAsia="en-US"/>
              </w:rPr>
              <w:t>负责人</w:t>
            </w:r>
          </w:p>
        </w:tc>
        <w:tc>
          <w:tcPr>
            <w:tcW w:w="3997" w:type="dxa"/>
            <w:vAlign w:val="center"/>
          </w:tcPr>
          <w:p w14:paraId="0F1256CB">
            <w:pPr>
              <w:widowControl/>
              <w:kinsoku w:val="0"/>
              <w:autoSpaceDE w:val="0"/>
              <w:autoSpaceDN w:val="0"/>
              <w:adjustRightInd w:val="0"/>
              <w:snapToGrid w:val="0"/>
              <w:spacing w:line="240" w:lineRule="auto"/>
              <w:ind w:firstLine="0" w:firstLineChars="0"/>
              <w:textAlignment w:val="baseline"/>
              <w:rPr>
                <w:rFonts w:hint="eastAsia" w:hAnsiTheme="minorEastAsia" w:cstheme="minorEastAsia"/>
                <w:snapToGrid w:val="0"/>
                <w:color w:val="000000"/>
                <w:kern w:val="0"/>
                <w:sz w:val="24"/>
                <w:szCs w:val="24"/>
                <w:lang w:eastAsia="en-US"/>
              </w:rPr>
            </w:pPr>
          </w:p>
        </w:tc>
        <w:tc>
          <w:tcPr>
            <w:tcW w:w="1796" w:type="dxa"/>
            <w:gridSpan w:val="2"/>
            <w:vAlign w:val="center"/>
          </w:tcPr>
          <w:p w14:paraId="0019CBF1">
            <w:pPr>
              <w:kinsoku w:val="0"/>
              <w:autoSpaceDE w:val="0"/>
              <w:autoSpaceDN w:val="0"/>
              <w:adjustRightInd w:val="0"/>
              <w:snapToGrid w:val="0"/>
              <w:spacing w:before="168" w:line="220" w:lineRule="auto"/>
              <w:ind w:firstLine="0" w:firstLineChars="0"/>
              <w:textAlignment w:val="baseline"/>
              <w:rPr>
                <w:rFonts w:hint="eastAsia" w:hAnsiTheme="minorEastAsia" w:cstheme="minorEastAsia"/>
                <w:snapToGrid w:val="0"/>
                <w:color w:val="000000"/>
                <w:kern w:val="0"/>
                <w:sz w:val="24"/>
                <w:szCs w:val="24"/>
                <w:lang w:eastAsia="en-US"/>
              </w:rPr>
            </w:pPr>
            <w:r>
              <w:rPr>
                <w:rFonts w:hint="eastAsia" w:hAnsiTheme="minorEastAsia" w:cstheme="minorEastAsia"/>
                <w:snapToGrid w:val="0"/>
                <w:color w:val="000000"/>
                <w:spacing w:val="5"/>
                <w:kern w:val="0"/>
                <w:sz w:val="24"/>
                <w:szCs w:val="24"/>
                <w:lang w:eastAsia="en-US"/>
              </w:rPr>
              <w:t>联系方式</w:t>
            </w:r>
          </w:p>
        </w:tc>
        <w:tc>
          <w:tcPr>
            <w:tcW w:w="2158" w:type="dxa"/>
          </w:tcPr>
          <w:p w14:paraId="1E2377A7">
            <w:pPr>
              <w:widowControl/>
              <w:kinsoku w:val="0"/>
              <w:autoSpaceDE w:val="0"/>
              <w:autoSpaceDN w:val="0"/>
              <w:adjustRightInd w:val="0"/>
              <w:snapToGrid w:val="0"/>
              <w:spacing w:line="240" w:lineRule="auto"/>
              <w:ind w:firstLine="0" w:firstLineChars="0"/>
              <w:jc w:val="left"/>
              <w:textAlignment w:val="baseline"/>
              <w:rPr>
                <w:rFonts w:hint="eastAsia" w:hAnsiTheme="minorEastAsia" w:cstheme="minorEastAsia"/>
                <w:snapToGrid w:val="0"/>
                <w:color w:val="000000"/>
                <w:kern w:val="0"/>
                <w:sz w:val="24"/>
                <w:szCs w:val="24"/>
                <w:lang w:eastAsia="en-US"/>
              </w:rPr>
            </w:pPr>
          </w:p>
        </w:tc>
      </w:tr>
      <w:tr w14:paraId="18030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0" w:hRule="atLeast"/>
        </w:trPr>
        <w:tc>
          <w:tcPr>
            <w:tcW w:w="1405" w:type="dxa"/>
            <w:textDirection w:val="tbRlV"/>
            <w:vAlign w:val="center"/>
          </w:tcPr>
          <w:p w14:paraId="0F04A24E">
            <w:pPr>
              <w:kinsoku w:val="0"/>
              <w:autoSpaceDE w:val="0"/>
              <w:autoSpaceDN w:val="0"/>
              <w:adjustRightInd w:val="0"/>
              <w:snapToGrid w:val="0"/>
              <w:spacing w:before="84" w:line="207" w:lineRule="auto"/>
              <w:ind w:firstLine="504"/>
              <w:jc w:val="center"/>
              <w:textAlignment w:val="baseline"/>
              <w:rPr>
                <w:rFonts w:hint="eastAsia" w:hAnsiTheme="minorEastAsia" w:cstheme="minorEastAsia"/>
                <w:snapToGrid w:val="0"/>
                <w:color w:val="000000"/>
                <w:kern w:val="0"/>
                <w:sz w:val="24"/>
                <w:szCs w:val="24"/>
                <w:lang w:eastAsia="en-US"/>
              </w:rPr>
            </w:pPr>
            <w:r>
              <w:rPr>
                <w:rFonts w:hint="eastAsia" w:hAnsiTheme="minorEastAsia" w:cstheme="minorEastAsia"/>
                <w:snapToGrid w:val="0"/>
                <w:color w:val="000000"/>
                <w:spacing w:val="6"/>
                <w:kern w:val="0"/>
                <w:sz w:val="24"/>
                <w:szCs w:val="24"/>
                <w:lang w:eastAsia="en-US"/>
              </w:rPr>
              <w:t xml:space="preserve">项 </w:t>
            </w:r>
            <w:r>
              <w:rPr>
                <w:rFonts w:hint="eastAsia" w:hAnsiTheme="minorEastAsia" w:cstheme="minorEastAsia"/>
                <w:snapToGrid w:val="0"/>
                <w:color w:val="000000"/>
                <w:spacing w:val="6"/>
                <w:kern w:val="0"/>
                <w:position w:val="1"/>
                <w:sz w:val="24"/>
                <w:szCs w:val="24"/>
                <w:lang w:eastAsia="en-US"/>
              </w:rPr>
              <w:t>目</w:t>
            </w:r>
            <w:r>
              <w:rPr>
                <w:rFonts w:hint="eastAsia" w:hAnsiTheme="minorEastAsia" w:cstheme="minorEastAsia"/>
                <w:snapToGrid w:val="0"/>
                <w:color w:val="000000"/>
                <w:spacing w:val="21"/>
                <w:kern w:val="0"/>
                <w:position w:val="1"/>
                <w:sz w:val="24"/>
                <w:szCs w:val="24"/>
                <w:lang w:eastAsia="en-US"/>
              </w:rPr>
              <w:t xml:space="preserve"> </w:t>
            </w:r>
            <w:r>
              <w:rPr>
                <w:rFonts w:hint="eastAsia" w:hAnsiTheme="minorEastAsia" w:cstheme="minorEastAsia"/>
                <w:snapToGrid w:val="0"/>
                <w:color w:val="000000"/>
                <w:spacing w:val="6"/>
                <w:kern w:val="0"/>
                <w:sz w:val="24"/>
                <w:szCs w:val="24"/>
                <w:lang w:eastAsia="en-US"/>
              </w:rPr>
              <w:t>基</w:t>
            </w:r>
            <w:r>
              <w:rPr>
                <w:rFonts w:hint="eastAsia" w:hAnsiTheme="minorEastAsia" w:cstheme="minorEastAsia"/>
                <w:snapToGrid w:val="0"/>
                <w:color w:val="000000"/>
                <w:spacing w:val="18"/>
                <w:kern w:val="0"/>
                <w:sz w:val="24"/>
                <w:szCs w:val="24"/>
                <w:lang w:eastAsia="en-US"/>
              </w:rPr>
              <w:t xml:space="preserve"> </w:t>
            </w:r>
            <w:r>
              <w:rPr>
                <w:rFonts w:hint="eastAsia" w:hAnsiTheme="minorEastAsia" w:cstheme="minorEastAsia"/>
                <w:snapToGrid w:val="0"/>
                <w:color w:val="000000"/>
                <w:spacing w:val="6"/>
                <w:kern w:val="0"/>
                <w:sz w:val="24"/>
                <w:szCs w:val="24"/>
                <w:lang w:eastAsia="en-US"/>
              </w:rPr>
              <w:t>本</w:t>
            </w:r>
            <w:r>
              <w:rPr>
                <w:rFonts w:hint="eastAsia" w:hAnsiTheme="minorEastAsia" w:cstheme="minorEastAsia"/>
                <w:snapToGrid w:val="0"/>
                <w:color w:val="000000"/>
                <w:spacing w:val="16"/>
                <w:kern w:val="0"/>
                <w:sz w:val="24"/>
                <w:szCs w:val="24"/>
                <w:lang w:eastAsia="en-US"/>
              </w:rPr>
              <w:t xml:space="preserve"> </w:t>
            </w:r>
            <w:r>
              <w:rPr>
                <w:rFonts w:hint="eastAsia" w:hAnsiTheme="minorEastAsia" w:cstheme="minorEastAsia"/>
                <w:snapToGrid w:val="0"/>
                <w:color w:val="000000"/>
                <w:spacing w:val="6"/>
                <w:kern w:val="0"/>
                <w:sz w:val="24"/>
                <w:szCs w:val="24"/>
                <w:lang w:eastAsia="en-US"/>
              </w:rPr>
              <w:t>情</w:t>
            </w:r>
            <w:r>
              <w:rPr>
                <w:rFonts w:hint="eastAsia" w:hAnsiTheme="minorEastAsia" w:cstheme="minorEastAsia"/>
                <w:snapToGrid w:val="0"/>
                <w:color w:val="000000"/>
                <w:spacing w:val="18"/>
                <w:kern w:val="0"/>
                <w:sz w:val="24"/>
                <w:szCs w:val="24"/>
                <w:lang w:eastAsia="en-US"/>
              </w:rPr>
              <w:t xml:space="preserve"> </w:t>
            </w:r>
            <w:r>
              <w:rPr>
                <w:rFonts w:hint="eastAsia" w:hAnsiTheme="minorEastAsia" w:cstheme="minorEastAsia"/>
                <w:snapToGrid w:val="0"/>
                <w:color w:val="000000"/>
                <w:spacing w:val="6"/>
                <w:kern w:val="0"/>
                <w:sz w:val="24"/>
                <w:szCs w:val="24"/>
                <w:lang w:eastAsia="en-US"/>
              </w:rPr>
              <w:t>况</w:t>
            </w:r>
          </w:p>
        </w:tc>
        <w:tc>
          <w:tcPr>
            <w:tcW w:w="7951" w:type="dxa"/>
            <w:gridSpan w:val="4"/>
          </w:tcPr>
          <w:p w14:paraId="1249A0CC">
            <w:pPr>
              <w:widowControl/>
              <w:kinsoku w:val="0"/>
              <w:autoSpaceDE w:val="0"/>
              <w:autoSpaceDN w:val="0"/>
              <w:adjustRightInd w:val="0"/>
              <w:snapToGrid w:val="0"/>
              <w:spacing w:line="240" w:lineRule="auto"/>
              <w:ind w:firstLine="0" w:firstLineChars="0"/>
              <w:jc w:val="left"/>
              <w:textAlignment w:val="baseline"/>
              <w:rPr>
                <w:rFonts w:hint="eastAsia" w:hAnsiTheme="minorEastAsia" w:cstheme="minorEastAsia"/>
                <w:snapToGrid w:val="0"/>
                <w:color w:val="000000"/>
                <w:kern w:val="0"/>
                <w:sz w:val="24"/>
                <w:szCs w:val="24"/>
                <w:lang w:eastAsia="en-US"/>
              </w:rPr>
            </w:pPr>
          </w:p>
        </w:tc>
      </w:tr>
      <w:tr w14:paraId="24C49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2" w:hRule="atLeast"/>
        </w:trPr>
        <w:tc>
          <w:tcPr>
            <w:tcW w:w="1405" w:type="dxa"/>
          </w:tcPr>
          <w:p w14:paraId="350230B1">
            <w:pPr>
              <w:widowControl/>
              <w:kinsoku w:val="0"/>
              <w:autoSpaceDE w:val="0"/>
              <w:autoSpaceDN w:val="0"/>
              <w:adjustRightInd w:val="0"/>
              <w:snapToGrid w:val="0"/>
              <w:spacing w:line="273" w:lineRule="auto"/>
              <w:ind w:firstLine="0" w:firstLineChars="0"/>
              <w:jc w:val="center"/>
              <w:textAlignment w:val="baseline"/>
              <w:rPr>
                <w:rFonts w:hAnsiTheme="minorEastAsia" w:cstheme="minorEastAsia"/>
                <w:snapToGrid w:val="0"/>
                <w:color w:val="000000"/>
                <w:kern w:val="0"/>
                <w:sz w:val="24"/>
                <w:szCs w:val="24"/>
              </w:rPr>
            </w:pPr>
          </w:p>
          <w:p w14:paraId="2CDA45DA">
            <w:pPr>
              <w:widowControl/>
              <w:kinsoku w:val="0"/>
              <w:autoSpaceDE w:val="0"/>
              <w:autoSpaceDN w:val="0"/>
              <w:adjustRightInd w:val="0"/>
              <w:snapToGrid w:val="0"/>
              <w:spacing w:line="273" w:lineRule="auto"/>
              <w:ind w:firstLine="0" w:firstLineChars="0"/>
              <w:jc w:val="center"/>
              <w:textAlignment w:val="baseline"/>
              <w:rPr>
                <w:rFonts w:hAnsiTheme="minorEastAsia" w:cstheme="minorEastAsia"/>
                <w:snapToGrid w:val="0"/>
                <w:color w:val="000000"/>
                <w:kern w:val="0"/>
                <w:sz w:val="24"/>
                <w:szCs w:val="24"/>
              </w:rPr>
            </w:pPr>
          </w:p>
          <w:p w14:paraId="343178E8">
            <w:pPr>
              <w:kinsoku w:val="0"/>
              <w:autoSpaceDE w:val="0"/>
              <w:autoSpaceDN w:val="0"/>
              <w:adjustRightInd w:val="0"/>
              <w:snapToGrid w:val="0"/>
              <w:spacing w:before="91" w:line="267" w:lineRule="auto"/>
              <w:ind w:right="139" w:firstLine="0" w:firstLineChars="0"/>
              <w:jc w:val="center"/>
              <w:textAlignment w:val="baseline"/>
              <w:rPr>
                <w:rFonts w:hAnsiTheme="minorEastAsia" w:cstheme="minorEastAsia"/>
                <w:snapToGrid w:val="0"/>
                <w:color w:val="000000"/>
                <w:spacing w:val="-8"/>
                <w:kern w:val="0"/>
                <w:sz w:val="24"/>
                <w:szCs w:val="24"/>
              </w:rPr>
            </w:pPr>
            <w:r>
              <w:rPr>
                <w:rFonts w:hint="eastAsia" w:hAnsiTheme="minorEastAsia" w:cstheme="minorEastAsia"/>
                <w:snapToGrid w:val="0"/>
                <w:color w:val="000000"/>
                <w:spacing w:val="-8"/>
                <w:kern w:val="0"/>
                <w:sz w:val="24"/>
                <w:szCs w:val="24"/>
                <w:lang w:eastAsia="en-US"/>
              </w:rPr>
              <w:t>主管部门</w:t>
            </w:r>
          </w:p>
          <w:p w14:paraId="7A85ECE6">
            <w:pPr>
              <w:kinsoku w:val="0"/>
              <w:autoSpaceDE w:val="0"/>
              <w:autoSpaceDN w:val="0"/>
              <w:adjustRightInd w:val="0"/>
              <w:snapToGrid w:val="0"/>
              <w:spacing w:before="91" w:line="267" w:lineRule="auto"/>
              <w:ind w:right="139" w:firstLine="0" w:firstLineChars="0"/>
              <w:jc w:val="center"/>
              <w:textAlignment w:val="baseline"/>
              <w:rPr>
                <w:rFonts w:hint="eastAsia" w:hAnsiTheme="minorEastAsia" w:cstheme="minorEastAsia"/>
                <w:snapToGrid w:val="0"/>
                <w:color w:val="000000"/>
                <w:kern w:val="0"/>
                <w:sz w:val="24"/>
                <w:szCs w:val="24"/>
                <w:lang w:eastAsia="en-US"/>
              </w:rPr>
            </w:pPr>
            <w:r>
              <w:rPr>
                <w:rFonts w:hint="eastAsia" w:hAnsiTheme="minorEastAsia" w:cstheme="minorEastAsia"/>
                <w:snapToGrid w:val="0"/>
                <w:color w:val="000000"/>
                <w:spacing w:val="-17"/>
                <w:kern w:val="0"/>
                <w:sz w:val="24"/>
                <w:szCs w:val="24"/>
                <w:lang w:eastAsia="en-US"/>
              </w:rPr>
              <w:t>意见</w:t>
            </w:r>
          </w:p>
        </w:tc>
        <w:tc>
          <w:tcPr>
            <w:tcW w:w="7951" w:type="dxa"/>
            <w:gridSpan w:val="4"/>
          </w:tcPr>
          <w:p w14:paraId="6C5F29A0">
            <w:pPr>
              <w:widowControl/>
              <w:kinsoku w:val="0"/>
              <w:autoSpaceDE w:val="0"/>
              <w:autoSpaceDN w:val="0"/>
              <w:adjustRightInd w:val="0"/>
              <w:snapToGrid w:val="0"/>
              <w:spacing w:line="259" w:lineRule="auto"/>
              <w:ind w:firstLine="0" w:firstLineChars="0"/>
              <w:jc w:val="left"/>
              <w:textAlignment w:val="baseline"/>
              <w:rPr>
                <w:rFonts w:hint="eastAsia" w:hAnsiTheme="minorEastAsia" w:cstheme="minorEastAsia"/>
                <w:snapToGrid w:val="0"/>
                <w:color w:val="000000"/>
                <w:kern w:val="0"/>
                <w:sz w:val="24"/>
                <w:szCs w:val="24"/>
              </w:rPr>
            </w:pPr>
          </w:p>
          <w:p w14:paraId="4A2429A8">
            <w:pPr>
              <w:kinsoku w:val="0"/>
              <w:autoSpaceDE w:val="0"/>
              <w:autoSpaceDN w:val="0"/>
              <w:adjustRightInd w:val="0"/>
              <w:snapToGrid w:val="0"/>
              <w:spacing w:before="81" w:line="220" w:lineRule="auto"/>
              <w:ind w:left="3505" w:firstLine="504"/>
              <w:jc w:val="left"/>
              <w:textAlignment w:val="baseline"/>
              <w:rPr>
                <w:rFonts w:hAnsiTheme="minorEastAsia" w:cstheme="minorEastAsia"/>
                <w:snapToGrid w:val="0"/>
                <w:color w:val="000000"/>
                <w:spacing w:val="6"/>
                <w:kern w:val="0"/>
                <w:sz w:val="24"/>
                <w:szCs w:val="24"/>
              </w:rPr>
            </w:pPr>
          </w:p>
          <w:p w14:paraId="197EEF9C">
            <w:pPr>
              <w:kinsoku w:val="0"/>
              <w:autoSpaceDE w:val="0"/>
              <w:autoSpaceDN w:val="0"/>
              <w:adjustRightInd w:val="0"/>
              <w:snapToGrid w:val="0"/>
              <w:spacing w:before="81" w:line="220" w:lineRule="auto"/>
              <w:ind w:left="3505" w:firstLine="504"/>
              <w:jc w:val="left"/>
              <w:textAlignment w:val="baseline"/>
              <w:rPr>
                <w:rFonts w:hAnsiTheme="minorEastAsia" w:cstheme="minorEastAsia"/>
                <w:snapToGrid w:val="0"/>
                <w:color w:val="000000"/>
                <w:spacing w:val="6"/>
                <w:kern w:val="0"/>
                <w:sz w:val="24"/>
                <w:szCs w:val="24"/>
              </w:rPr>
            </w:pPr>
          </w:p>
          <w:p w14:paraId="370FA4E3">
            <w:pPr>
              <w:kinsoku w:val="0"/>
              <w:autoSpaceDE w:val="0"/>
              <w:autoSpaceDN w:val="0"/>
              <w:adjustRightInd w:val="0"/>
              <w:snapToGrid w:val="0"/>
              <w:spacing w:before="81" w:line="220" w:lineRule="auto"/>
              <w:ind w:left="3505" w:firstLine="504"/>
              <w:jc w:val="left"/>
              <w:textAlignment w:val="baseline"/>
              <w:rPr>
                <w:rFonts w:hAnsiTheme="minorEastAsia" w:cstheme="minorEastAsia"/>
                <w:snapToGrid w:val="0"/>
                <w:color w:val="000000"/>
                <w:spacing w:val="6"/>
                <w:kern w:val="0"/>
                <w:sz w:val="24"/>
                <w:szCs w:val="24"/>
              </w:rPr>
            </w:pPr>
          </w:p>
          <w:p w14:paraId="43EEA98F">
            <w:pPr>
              <w:kinsoku w:val="0"/>
              <w:autoSpaceDE w:val="0"/>
              <w:autoSpaceDN w:val="0"/>
              <w:adjustRightInd w:val="0"/>
              <w:snapToGrid w:val="0"/>
              <w:spacing w:before="81" w:line="220" w:lineRule="auto"/>
              <w:ind w:left="3505" w:firstLine="504"/>
              <w:jc w:val="left"/>
              <w:textAlignment w:val="baseline"/>
              <w:rPr>
                <w:rFonts w:hAnsiTheme="minorEastAsia" w:cstheme="minorEastAsia"/>
                <w:snapToGrid w:val="0"/>
                <w:color w:val="000000"/>
                <w:spacing w:val="6"/>
                <w:kern w:val="0"/>
                <w:sz w:val="24"/>
                <w:szCs w:val="24"/>
              </w:rPr>
            </w:pPr>
          </w:p>
          <w:p w14:paraId="7CA2F99A">
            <w:pPr>
              <w:kinsoku w:val="0"/>
              <w:autoSpaceDE w:val="0"/>
              <w:autoSpaceDN w:val="0"/>
              <w:adjustRightInd w:val="0"/>
              <w:snapToGrid w:val="0"/>
              <w:spacing w:before="81" w:line="220" w:lineRule="auto"/>
              <w:ind w:left="3505" w:firstLine="504"/>
              <w:jc w:val="left"/>
              <w:textAlignment w:val="baseline"/>
              <w:rPr>
                <w:rFonts w:hint="eastAsia" w:hAnsiTheme="minorEastAsia" w:cstheme="minorEastAsia"/>
                <w:snapToGrid w:val="0"/>
                <w:color w:val="000000"/>
                <w:kern w:val="0"/>
                <w:sz w:val="24"/>
                <w:szCs w:val="24"/>
              </w:rPr>
            </w:pPr>
            <w:r>
              <w:rPr>
                <w:rFonts w:hint="eastAsia" w:hAnsiTheme="minorEastAsia" w:cstheme="minorEastAsia"/>
                <w:snapToGrid w:val="0"/>
                <w:color w:val="000000"/>
                <w:spacing w:val="6"/>
                <w:kern w:val="0"/>
                <w:sz w:val="24"/>
                <w:szCs w:val="24"/>
              </w:rPr>
              <w:t>主要负责人签字(盖章)：</w:t>
            </w:r>
          </w:p>
          <w:p w14:paraId="6624C648">
            <w:pPr>
              <w:kinsoku w:val="0"/>
              <w:autoSpaceDE w:val="0"/>
              <w:autoSpaceDN w:val="0"/>
              <w:adjustRightInd w:val="0"/>
              <w:snapToGrid w:val="0"/>
              <w:spacing w:before="102" w:line="222" w:lineRule="auto"/>
              <w:ind w:left="4368" w:firstLine="452"/>
              <w:jc w:val="left"/>
              <w:textAlignment w:val="baseline"/>
              <w:rPr>
                <w:rFonts w:hint="eastAsia" w:hAnsiTheme="minorEastAsia" w:cstheme="minorEastAsia"/>
                <w:snapToGrid w:val="0"/>
                <w:color w:val="000000"/>
                <w:kern w:val="0"/>
                <w:sz w:val="24"/>
                <w:szCs w:val="24"/>
              </w:rPr>
            </w:pPr>
            <w:r>
              <w:rPr>
                <w:rFonts w:hint="eastAsia" w:hAnsiTheme="minorEastAsia" w:cstheme="minorEastAsia"/>
                <w:snapToGrid w:val="0"/>
                <w:color w:val="000000"/>
                <w:spacing w:val="-7"/>
                <w:kern w:val="0"/>
                <w:sz w:val="24"/>
                <w:szCs w:val="24"/>
              </w:rPr>
              <w:t>年</w:t>
            </w:r>
            <w:r>
              <w:rPr>
                <w:rFonts w:hint="eastAsia" w:hAnsiTheme="minorEastAsia" w:cstheme="minorEastAsia"/>
                <w:snapToGrid w:val="0"/>
                <w:color w:val="000000"/>
                <w:spacing w:val="13"/>
                <w:kern w:val="0"/>
                <w:sz w:val="24"/>
                <w:szCs w:val="24"/>
              </w:rPr>
              <w:t xml:space="preserve">   </w:t>
            </w:r>
            <w:r>
              <w:rPr>
                <w:rFonts w:hint="eastAsia" w:hAnsiTheme="minorEastAsia" w:cstheme="minorEastAsia"/>
                <w:snapToGrid w:val="0"/>
                <w:color w:val="000000"/>
                <w:spacing w:val="-7"/>
                <w:kern w:val="0"/>
                <w:sz w:val="24"/>
                <w:szCs w:val="24"/>
              </w:rPr>
              <w:t>月</w:t>
            </w:r>
            <w:r>
              <w:rPr>
                <w:rFonts w:hint="eastAsia" w:hAnsiTheme="minorEastAsia" w:cstheme="minorEastAsia"/>
                <w:snapToGrid w:val="0"/>
                <w:color w:val="000000"/>
                <w:spacing w:val="25"/>
                <w:kern w:val="0"/>
                <w:sz w:val="24"/>
                <w:szCs w:val="24"/>
              </w:rPr>
              <w:t xml:space="preserve">   </w:t>
            </w:r>
            <w:r>
              <w:rPr>
                <w:rFonts w:hint="eastAsia" w:hAnsiTheme="minorEastAsia" w:cstheme="minorEastAsia"/>
                <w:snapToGrid w:val="0"/>
                <w:color w:val="000000"/>
                <w:spacing w:val="-7"/>
                <w:kern w:val="0"/>
                <w:sz w:val="24"/>
                <w:szCs w:val="24"/>
              </w:rPr>
              <w:t>日</w:t>
            </w:r>
          </w:p>
        </w:tc>
      </w:tr>
    </w:tbl>
    <w:p w14:paraId="782CA8CD">
      <w:pPr>
        <w:ind w:firstLine="0" w:firstLineChars="0"/>
        <w:rPr>
          <w:rFonts w:ascii="Times New Roman" w:hAnsi="Times New Roman"/>
        </w:rPr>
        <w:sectPr>
          <w:pgSz w:w="11906" w:h="16838"/>
          <w:pgMar w:top="2098" w:right="1531" w:bottom="1984" w:left="1531" w:header="851" w:footer="1417" w:gutter="0"/>
          <w:cols w:space="720" w:num="1"/>
          <w:docGrid w:type="lines" w:linePitch="439" w:charSpace="0"/>
        </w:sectPr>
      </w:pPr>
    </w:p>
    <w:p w14:paraId="73B11FBD">
      <w:pPr>
        <w:pStyle w:val="3"/>
        <w:ind w:firstLine="640"/>
        <w:jc w:val="left"/>
        <w:rPr>
          <w:rFonts w:ascii="黑体" w:hAnsi="黑体" w:eastAsia="黑体"/>
          <w:b w:val="0"/>
          <w:bCs/>
          <w:sz w:val="32"/>
          <w:szCs w:val="21"/>
        </w:rPr>
      </w:pPr>
      <w:bookmarkStart w:id="21" w:name="_Toc14519"/>
      <w:r>
        <w:rPr>
          <w:rFonts w:hint="eastAsia" w:ascii="黑体" w:hAnsi="黑体" w:eastAsia="黑体"/>
          <w:b w:val="0"/>
          <w:bCs/>
          <w:sz w:val="32"/>
          <w:szCs w:val="21"/>
        </w:rPr>
        <w:t>十二</w:t>
      </w:r>
      <w:r>
        <w:rPr>
          <w:rFonts w:ascii="黑体" w:hAnsi="黑体" w:eastAsia="黑体"/>
          <w:b w:val="0"/>
          <w:bCs/>
          <w:sz w:val="32"/>
          <w:szCs w:val="21"/>
        </w:rPr>
        <w:t>、随州市青春化工工业园企业（项目）退出机制</w:t>
      </w:r>
      <w:bookmarkEnd w:id="21"/>
    </w:p>
    <w:p w14:paraId="65980CD8">
      <w:pPr>
        <w:pStyle w:val="4"/>
        <w:ind w:firstLine="643"/>
      </w:pPr>
      <w:r>
        <w:rPr>
          <w:rFonts w:hint="eastAsia"/>
        </w:rPr>
        <w:t>（一）退出条件</w:t>
      </w:r>
    </w:p>
    <w:p w14:paraId="5C822F02">
      <w:pPr>
        <w:ind w:firstLine="640"/>
      </w:pPr>
      <w:r>
        <w:rPr>
          <w:rFonts w:hint="eastAsia"/>
        </w:rPr>
        <w:t>入园企业（项目）签订合作协议后，符合下列条件的作退出处理：</w:t>
      </w:r>
    </w:p>
    <w:p w14:paraId="56948977">
      <w:pPr>
        <w:ind w:firstLine="640"/>
        <w:rPr>
          <w:rFonts w:hint="eastAsia"/>
        </w:rPr>
      </w:pPr>
      <w:r>
        <w:rPr>
          <w:rFonts w:hint="eastAsia"/>
        </w:rPr>
        <w:t>1.合同约定的开工日期满6个月后，因企业自身原因未开工建设；虽已开工但无实质性进展；建设速度过慢，超过规定时间一年的；</w:t>
      </w:r>
    </w:p>
    <w:p w14:paraId="2E2B6204">
      <w:pPr>
        <w:ind w:firstLine="640"/>
        <w:rPr>
          <w:rFonts w:hint="eastAsia"/>
        </w:rPr>
      </w:pPr>
      <w:r>
        <w:rPr>
          <w:rFonts w:hint="eastAsia"/>
        </w:rPr>
        <w:t>2.企业建成投产后，投资强度达不到园区规定的；未经批准中止建设满1年的，或土地闲置率超过40%的；</w:t>
      </w:r>
    </w:p>
    <w:p w14:paraId="1CB16EA8">
      <w:pPr>
        <w:ind w:firstLine="640"/>
        <w:rPr>
          <w:rFonts w:hint="eastAsia"/>
        </w:rPr>
      </w:pPr>
      <w:r>
        <w:rPr>
          <w:rFonts w:hint="eastAsia"/>
        </w:rPr>
        <w:t>3.企业投产2年后，税收要求达不到化工园区新项目准入要求，或企业的产品经济效益差，连续亏损2年以上；</w:t>
      </w:r>
    </w:p>
    <w:p w14:paraId="18F6112B">
      <w:pPr>
        <w:ind w:firstLine="640"/>
        <w:rPr>
          <w:rFonts w:hint="eastAsia"/>
        </w:rPr>
      </w:pPr>
      <w:r>
        <w:rPr>
          <w:rFonts w:hint="eastAsia"/>
        </w:rPr>
        <w:t>4.产品低端、低效、高能耗、高污染，生产过程危险程度高、工艺和装备技术落后、自动化水平低、不符合国家、省、市相关产业政策和要求的；</w:t>
      </w:r>
    </w:p>
    <w:p w14:paraId="1592AD2E">
      <w:pPr>
        <w:ind w:firstLine="640"/>
        <w:rPr>
          <w:rFonts w:hint="eastAsia"/>
        </w:rPr>
      </w:pPr>
      <w:r>
        <w:rPr>
          <w:rFonts w:hint="eastAsia"/>
        </w:rPr>
        <w:t>5.环保、安全、消防等问题突出，整改难度大，经停产整改后仍不具备环保、安全生产条件的；</w:t>
      </w:r>
    </w:p>
    <w:p w14:paraId="5B2B8C24">
      <w:pPr>
        <w:ind w:firstLine="640"/>
        <w:rPr>
          <w:rFonts w:hint="eastAsia"/>
        </w:rPr>
      </w:pPr>
      <w:r>
        <w:rPr>
          <w:rFonts w:hint="eastAsia"/>
        </w:rPr>
        <w:t>6.发生环境污染、安全生产事故或从事违法经营活动被查处，造成重大社会不良影响的；</w:t>
      </w:r>
    </w:p>
    <w:p w14:paraId="3676F136">
      <w:pPr>
        <w:ind w:firstLine="640"/>
        <w:rPr>
          <w:rFonts w:hint="eastAsia"/>
        </w:rPr>
      </w:pPr>
      <w:r>
        <w:rPr>
          <w:rFonts w:hint="eastAsia"/>
        </w:rPr>
        <w:t>7.因自身原因陷入困境的“僵尸”企业，整改拖拉、信心不足，严重影响化工园区高质量发展的；</w:t>
      </w:r>
    </w:p>
    <w:p w14:paraId="1E6B85C5">
      <w:pPr>
        <w:ind w:firstLine="640"/>
      </w:pPr>
      <w:r>
        <w:rPr>
          <w:rFonts w:hint="eastAsia"/>
        </w:rPr>
        <w:t>8.符合省政府文件中其他相关条件需关闭的。</w:t>
      </w:r>
    </w:p>
    <w:p w14:paraId="37AD446B">
      <w:pPr>
        <w:ind w:firstLine="640"/>
      </w:pPr>
    </w:p>
    <w:p w14:paraId="304504B4">
      <w:pPr>
        <w:pStyle w:val="4"/>
        <w:ind w:firstLine="643"/>
      </w:pPr>
      <w:r>
        <w:rPr>
          <w:rFonts w:hint="eastAsia"/>
        </w:rPr>
        <w:t>（二）退出方式</w:t>
      </w:r>
    </w:p>
    <w:p w14:paraId="7BAE0697">
      <w:pPr>
        <w:ind w:firstLine="643"/>
      </w:pPr>
      <w:r>
        <w:rPr>
          <w:rFonts w:hint="eastAsia"/>
          <w:b/>
          <w:bCs/>
        </w:rPr>
        <w:t>1.</w:t>
      </w:r>
      <w:r>
        <w:rPr>
          <w:b/>
          <w:bCs/>
        </w:rPr>
        <w:t>协议退出。</w:t>
      </w:r>
      <w:r>
        <w:t>对符合退出条件的企业，由</w:t>
      </w:r>
      <w:r>
        <w:rPr>
          <w:rFonts w:hint="eastAsia"/>
        </w:rPr>
        <w:t>高新区</w:t>
      </w:r>
      <w:r>
        <w:t>和企业共同委托（或单方面委托）有资质的评估机构依法对企业不动产进行评估后（土地不参与评估），由政府给予适当补偿后收归国有</w:t>
      </w:r>
      <w:r>
        <w:rPr>
          <w:rFonts w:hint="eastAsia"/>
        </w:rPr>
        <w:t>；</w:t>
      </w:r>
    </w:p>
    <w:p w14:paraId="4CB86E9B">
      <w:pPr>
        <w:ind w:firstLine="643"/>
        <w:rPr>
          <w:rFonts w:hint="eastAsia"/>
        </w:rPr>
      </w:pPr>
      <w:r>
        <w:rPr>
          <w:rFonts w:hint="eastAsia"/>
          <w:b/>
          <w:bCs/>
        </w:rPr>
        <w:t>2.兼并转让退出。</w:t>
      </w:r>
      <w:r>
        <w:t>企业由于兼并、转让等方式自愿要求退出的，可通过市场交易方式运作。鼓励化工园区内优势企业扩张时兼并或收购化工园区企</w:t>
      </w:r>
      <w:r>
        <w:rPr>
          <w:rFonts w:hint="eastAsia"/>
        </w:rPr>
        <w:t>业，鼓励新招引的企业收购化工园区退出企业；</w:t>
      </w:r>
    </w:p>
    <w:p w14:paraId="0000B06E">
      <w:pPr>
        <w:ind w:firstLine="643"/>
        <w:rPr>
          <w:rFonts w:hint="eastAsia"/>
        </w:rPr>
      </w:pPr>
      <w:r>
        <w:rPr>
          <w:rFonts w:hint="eastAsia"/>
          <w:b/>
          <w:bCs/>
        </w:rPr>
        <w:t>3.其他退出方式。</w:t>
      </w:r>
      <w:r>
        <w:rPr>
          <w:rFonts w:hint="eastAsia"/>
        </w:rPr>
        <w:t>高新区管委会可通过与企业协商，采取其他退出方式。</w:t>
      </w:r>
    </w:p>
    <w:p w14:paraId="6B556D5E">
      <w:pPr>
        <w:ind w:firstLine="640"/>
        <w:rPr>
          <w:rFonts w:hint="eastAsia"/>
        </w:rPr>
      </w:pPr>
      <w:r>
        <w:rPr>
          <w:rFonts w:hint="eastAsia"/>
        </w:rPr>
        <w:t>（三）园区办对园区内的企业实施监督考核与动态管理。</w:t>
      </w:r>
    </w:p>
    <w:p w14:paraId="016C2122">
      <w:pPr>
        <w:ind w:firstLine="640"/>
        <w:rPr>
          <w:rFonts w:ascii="Times New Roman" w:hAnsi="Times New Roman"/>
        </w:rPr>
      </w:pPr>
      <w:r>
        <w:rPr>
          <w:rFonts w:ascii="Times New Roman" w:hAnsi="Times New Roman"/>
        </w:rPr>
        <w:br w:type="page"/>
      </w:r>
    </w:p>
    <w:tbl>
      <w:tblPr>
        <w:tblStyle w:val="21"/>
        <w:tblW w:w="8661" w:type="dxa"/>
        <w:tblInd w:w="135" w:type="dxa"/>
        <w:tblLayout w:type="fixed"/>
        <w:tblCellMar>
          <w:top w:w="0" w:type="dxa"/>
          <w:left w:w="108" w:type="dxa"/>
          <w:bottom w:w="0" w:type="dxa"/>
          <w:right w:w="108" w:type="dxa"/>
        </w:tblCellMar>
      </w:tblPr>
      <w:tblGrid>
        <w:gridCol w:w="556"/>
        <w:gridCol w:w="742"/>
        <w:gridCol w:w="3346"/>
        <w:gridCol w:w="1907"/>
        <w:gridCol w:w="1198"/>
        <w:gridCol w:w="912"/>
      </w:tblGrid>
      <w:tr w14:paraId="613B25C2">
        <w:tblPrEx>
          <w:tblCellMar>
            <w:top w:w="0" w:type="dxa"/>
            <w:left w:w="108" w:type="dxa"/>
            <w:bottom w:w="0" w:type="dxa"/>
            <w:right w:w="108" w:type="dxa"/>
          </w:tblCellMar>
        </w:tblPrEx>
        <w:trPr>
          <w:trHeight w:val="460" w:hRule="atLeast"/>
        </w:trPr>
        <w:tc>
          <w:tcPr>
            <w:tcW w:w="8661" w:type="dxa"/>
            <w:gridSpan w:val="6"/>
            <w:tcBorders>
              <w:top w:val="nil"/>
              <w:left w:val="nil"/>
              <w:bottom w:val="nil"/>
              <w:right w:val="nil"/>
            </w:tcBorders>
            <w:noWrap/>
            <w:vAlign w:val="center"/>
          </w:tcPr>
          <w:p w14:paraId="3FAC478F">
            <w:pPr>
              <w:spacing w:line="440" w:lineRule="exact"/>
              <w:ind w:firstLine="0" w:firstLineChars="0"/>
              <w:jc w:val="center"/>
              <w:rPr>
                <w:rFonts w:hint="eastAsia" w:ascii="方正小标宋简体" w:hAnsi="Times New Roman" w:eastAsia="方正小标宋简体"/>
                <w:b/>
                <w:bCs/>
                <w:sz w:val="24"/>
                <w:szCs w:val="24"/>
              </w:rPr>
            </w:pPr>
            <w:r>
              <w:rPr>
                <w:rFonts w:hint="eastAsia" w:hAnsi="Times New Roman"/>
                <w:b/>
                <w:bCs/>
                <w:sz w:val="24"/>
                <w:szCs w:val="24"/>
              </w:rPr>
              <w:br w:type="page"/>
            </w:r>
            <w:r>
              <w:rPr>
                <w:rFonts w:hint="eastAsia" w:ascii="方正小标宋简体" w:hAnsi="Times New Roman" w:eastAsia="方正小标宋简体"/>
                <w:sz w:val="36"/>
                <w:szCs w:val="36"/>
              </w:rPr>
              <w:t>青春化工园区企业退出考核表</w:t>
            </w:r>
          </w:p>
        </w:tc>
      </w:tr>
      <w:tr w14:paraId="2EB0FDAA">
        <w:tblPrEx>
          <w:tblCellMar>
            <w:top w:w="0" w:type="dxa"/>
            <w:left w:w="108" w:type="dxa"/>
            <w:bottom w:w="0" w:type="dxa"/>
            <w:right w:w="108" w:type="dxa"/>
          </w:tblCellMar>
        </w:tblPrEx>
        <w:trPr>
          <w:trHeight w:val="550" w:hRule="atLeast"/>
        </w:trPr>
        <w:tc>
          <w:tcPr>
            <w:tcW w:w="556" w:type="dxa"/>
            <w:vMerge w:val="restart"/>
            <w:tcBorders>
              <w:top w:val="single" w:color="auto" w:sz="4" w:space="0"/>
              <w:left w:val="single" w:color="auto" w:sz="4" w:space="0"/>
              <w:bottom w:val="single" w:color="auto" w:sz="4" w:space="0"/>
              <w:right w:val="single" w:color="auto" w:sz="4" w:space="0"/>
            </w:tcBorders>
            <w:noWrap/>
            <w:tcMar>
              <w:top w:w="0" w:type="dxa"/>
              <w:bottom w:w="0" w:type="dxa"/>
            </w:tcMar>
            <w:vAlign w:val="center"/>
          </w:tcPr>
          <w:p w14:paraId="51AC25BD">
            <w:pPr>
              <w:spacing w:line="440" w:lineRule="exact"/>
              <w:ind w:firstLine="0" w:firstLineChars="0"/>
              <w:rPr>
                <w:rFonts w:hint="eastAsia" w:hAnsi="Times New Roman"/>
                <w:sz w:val="24"/>
                <w:szCs w:val="24"/>
              </w:rPr>
            </w:pPr>
            <w:r>
              <w:rPr>
                <w:rFonts w:hint="eastAsia" w:hAnsi="Times New Roman"/>
                <w:sz w:val="24"/>
                <w:szCs w:val="24"/>
              </w:rPr>
              <w:t>考 核 指 标</w:t>
            </w:r>
          </w:p>
        </w:tc>
        <w:tc>
          <w:tcPr>
            <w:tcW w:w="742" w:type="dxa"/>
            <w:tcBorders>
              <w:top w:val="single" w:color="000000" w:sz="4" w:space="0"/>
              <w:left w:val="nil"/>
              <w:bottom w:val="single" w:color="000000" w:sz="4" w:space="0"/>
              <w:right w:val="single" w:color="000000" w:sz="4" w:space="0"/>
            </w:tcBorders>
            <w:noWrap/>
            <w:tcMar>
              <w:top w:w="0" w:type="dxa"/>
              <w:bottom w:w="0" w:type="dxa"/>
            </w:tcMar>
            <w:vAlign w:val="center"/>
          </w:tcPr>
          <w:p w14:paraId="2FBF1666">
            <w:pPr>
              <w:spacing w:line="440" w:lineRule="exact"/>
              <w:ind w:firstLine="0" w:firstLineChars="0"/>
              <w:rPr>
                <w:rFonts w:hint="eastAsia" w:hAnsi="Times New Roman"/>
                <w:sz w:val="24"/>
                <w:szCs w:val="24"/>
              </w:rPr>
            </w:pPr>
            <w:r>
              <w:rPr>
                <w:rFonts w:hint="eastAsia" w:hAnsi="Times New Roman"/>
                <w:sz w:val="24"/>
                <w:szCs w:val="24"/>
              </w:rPr>
              <w:t>企业名称</w:t>
            </w:r>
          </w:p>
        </w:tc>
        <w:tc>
          <w:tcPr>
            <w:tcW w:w="7363" w:type="dxa"/>
            <w:gridSpan w:val="4"/>
            <w:tcBorders>
              <w:top w:val="single" w:color="000000" w:sz="4" w:space="0"/>
              <w:left w:val="nil"/>
              <w:bottom w:val="single" w:color="000000" w:sz="4" w:space="0"/>
              <w:right w:val="single" w:color="000000" w:sz="4" w:space="0"/>
            </w:tcBorders>
            <w:noWrap/>
            <w:tcMar>
              <w:top w:w="0" w:type="dxa"/>
              <w:bottom w:w="0" w:type="dxa"/>
            </w:tcMar>
            <w:vAlign w:val="center"/>
          </w:tcPr>
          <w:p w14:paraId="67A41029">
            <w:pPr>
              <w:spacing w:line="440" w:lineRule="exact"/>
              <w:ind w:firstLine="0" w:firstLineChars="0"/>
              <w:rPr>
                <w:rFonts w:hint="eastAsia" w:hAnsi="Times New Roman"/>
                <w:sz w:val="24"/>
                <w:szCs w:val="24"/>
              </w:rPr>
            </w:pPr>
          </w:p>
        </w:tc>
      </w:tr>
      <w:tr w14:paraId="6414333D">
        <w:tblPrEx>
          <w:tblCellMar>
            <w:top w:w="0" w:type="dxa"/>
            <w:left w:w="108" w:type="dxa"/>
            <w:bottom w:w="0" w:type="dxa"/>
            <w:right w:w="108" w:type="dxa"/>
          </w:tblCellMar>
        </w:tblPrEx>
        <w:trPr>
          <w:trHeight w:val="557" w:hRule="atLeast"/>
        </w:trPr>
        <w:tc>
          <w:tcPr>
            <w:tcW w:w="556" w:type="dxa"/>
            <w:vMerge w:val="continue"/>
            <w:tcBorders>
              <w:top w:val="single" w:color="auto" w:sz="4" w:space="0"/>
              <w:left w:val="single" w:color="auto" w:sz="4" w:space="0"/>
              <w:bottom w:val="single" w:color="auto" w:sz="4" w:space="0"/>
              <w:right w:val="single" w:color="auto" w:sz="4" w:space="0"/>
            </w:tcBorders>
            <w:tcMar>
              <w:top w:w="0" w:type="dxa"/>
              <w:bottom w:w="0" w:type="dxa"/>
            </w:tcMar>
            <w:vAlign w:val="center"/>
          </w:tcPr>
          <w:p w14:paraId="6471346F">
            <w:pPr>
              <w:spacing w:line="440" w:lineRule="exact"/>
              <w:ind w:firstLine="0" w:firstLineChars="0"/>
              <w:rPr>
                <w:rFonts w:hint="eastAsia" w:hAnsi="Times New Roman"/>
                <w:sz w:val="24"/>
                <w:szCs w:val="24"/>
              </w:rPr>
            </w:pPr>
          </w:p>
        </w:tc>
        <w:tc>
          <w:tcPr>
            <w:tcW w:w="742" w:type="dxa"/>
            <w:tcBorders>
              <w:top w:val="single" w:color="000000" w:sz="4" w:space="0"/>
              <w:left w:val="nil"/>
              <w:bottom w:val="single" w:color="000000" w:sz="4" w:space="0"/>
              <w:right w:val="single" w:color="000000" w:sz="4" w:space="0"/>
            </w:tcBorders>
            <w:noWrap/>
            <w:tcMar>
              <w:top w:w="0" w:type="dxa"/>
              <w:bottom w:w="0" w:type="dxa"/>
            </w:tcMar>
            <w:vAlign w:val="center"/>
          </w:tcPr>
          <w:p w14:paraId="3291744B">
            <w:pPr>
              <w:spacing w:line="440" w:lineRule="exact"/>
              <w:ind w:firstLine="0" w:firstLineChars="0"/>
              <w:rPr>
                <w:rFonts w:hint="eastAsia" w:hAnsi="Times New Roman"/>
                <w:sz w:val="24"/>
                <w:szCs w:val="24"/>
              </w:rPr>
            </w:pPr>
            <w:r>
              <w:rPr>
                <w:rFonts w:hint="eastAsia" w:hAnsi="Times New Roman"/>
                <w:sz w:val="24"/>
                <w:szCs w:val="24"/>
              </w:rPr>
              <w:t>序号</w:t>
            </w:r>
          </w:p>
        </w:tc>
        <w:tc>
          <w:tcPr>
            <w:tcW w:w="5253" w:type="dxa"/>
            <w:gridSpan w:val="2"/>
            <w:tcBorders>
              <w:top w:val="single" w:color="000000" w:sz="4" w:space="0"/>
              <w:left w:val="nil"/>
              <w:bottom w:val="single" w:color="000000" w:sz="4" w:space="0"/>
              <w:right w:val="single" w:color="000000" w:sz="4" w:space="0"/>
            </w:tcBorders>
            <w:noWrap/>
            <w:tcMar>
              <w:top w:w="0" w:type="dxa"/>
              <w:bottom w:w="0" w:type="dxa"/>
            </w:tcMar>
            <w:vAlign w:val="center"/>
          </w:tcPr>
          <w:p w14:paraId="26532451">
            <w:pPr>
              <w:spacing w:line="440" w:lineRule="exact"/>
              <w:ind w:firstLine="0" w:firstLineChars="0"/>
              <w:rPr>
                <w:rFonts w:hint="eastAsia" w:hAnsi="Times New Roman"/>
                <w:sz w:val="24"/>
                <w:szCs w:val="24"/>
              </w:rPr>
            </w:pPr>
            <w:r>
              <w:rPr>
                <w:rFonts w:hint="eastAsia" w:hAnsi="Times New Roman"/>
                <w:sz w:val="24"/>
                <w:szCs w:val="24"/>
              </w:rPr>
              <w:t>考核内容</w:t>
            </w:r>
          </w:p>
        </w:tc>
        <w:tc>
          <w:tcPr>
            <w:tcW w:w="1198" w:type="dxa"/>
            <w:tcBorders>
              <w:top w:val="single" w:color="000000" w:sz="4" w:space="0"/>
              <w:left w:val="nil"/>
              <w:bottom w:val="single" w:color="000000" w:sz="4" w:space="0"/>
              <w:right w:val="single" w:color="000000" w:sz="4" w:space="0"/>
            </w:tcBorders>
            <w:noWrap/>
            <w:vAlign w:val="center"/>
          </w:tcPr>
          <w:p w14:paraId="51D77A95">
            <w:pPr>
              <w:spacing w:line="440" w:lineRule="exact"/>
              <w:ind w:firstLine="0" w:firstLineChars="0"/>
              <w:rPr>
                <w:rFonts w:hint="eastAsia" w:hAnsi="Times New Roman"/>
                <w:sz w:val="24"/>
                <w:szCs w:val="24"/>
              </w:rPr>
            </w:pPr>
            <w:r>
              <w:rPr>
                <w:rFonts w:hint="eastAsia" w:hAnsi="Times New Roman"/>
                <w:sz w:val="24"/>
                <w:szCs w:val="24"/>
              </w:rPr>
              <w:t>考核结论</w:t>
            </w:r>
          </w:p>
        </w:tc>
        <w:tc>
          <w:tcPr>
            <w:tcW w:w="912" w:type="dxa"/>
            <w:tcBorders>
              <w:top w:val="single" w:color="000000" w:sz="4" w:space="0"/>
              <w:left w:val="nil"/>
              <w:bottom w:val="single" w:color="000000" w:sz="4" w:space="0"/>
              <w:right w:val="single" w:color="000000" w:sz="4" w:space="0"/>
            </w:tcBorders>
            <w:noWrap/>
            <w:vAlign w:val="center"/>
          </w:tcPr>
          <w:p w14:paraId="4B42428B">
            <w:pPr>
              <w:spacing w:line="440" w:lineRule="exact"/>
              <w:ind w:firstLine="0" w:firstLineChars="0"/>
              <w:rPr>
                <w:rFonts w:hint="eastAsia" w:hAnsi="Times New Roman"/>
                <w:sz w:val="24"/>
                <w:szCs w:val="24"/>
              </w:rPr>
            </w:pPr>
            <w:r>
              <w:rPr>
                <w:rFonts w:hint="eastAsia" w:hAnsi="Times New Roman"/>
                <w:sz w:val="24"/>
                <w:szCs w:val="24"/>
              </w:rPr>
              <w:t>备注</w:t>
            </w:r>
          </w:p>
        </w:tc>
      </w:tr>
      <w:tr w14:paraId="5CB3D34C">
        <w:tblPrEx>
          <w:tblCellMar>
            <w:top w:w="0" w:type="dxa"/>
            <w:left w:w="108" w:type="dxa"/>
            <w:bottom w:w="0" w:type="dxa"/>
            <w:right w:w="108" w:type="dxa"/>
          </w:tblCellMar>
        </w:tblPrEx>
        <w:trPr>
          <w:trHeight w:val="570" w:hRule="atLeast"/>
        </w:trPr>
        <w:tc>
          <w:tcPr>
            <w:tcW w:w="556" w:type="dxa"/>
            <w:vMerge w:val="continue"/>
            <w:tcBorders>
              <w:top w:val="single" w:color="auto" w:sz="4" w:space="0"/>
              <w:left w:val="single" w:color="auto" w:sz="4" w:space="0"/>
              <w:bottom w:val="single" w:color="auto" w:sz="4" w:space="0"/>
              <w:right w:val="single" w:color="auto" w:sz="4" w:space="0"/>
            </w:tcBorders>
            <w:tcMar>
              <w:top w:w="0" w:type="dxa"/>
              <w:bottom w:w="0" w:type="dxa"/>
            </w:tcMar>
            <w:vAlign w:val="center"/>
          </w:tcPr>
          <w:p w14:paraId="5C4EE819">
            <w:pPr>
              <w:spacing w:line="440" w:lineRule="exact"/>
              <w:ind w:firstLine="0" w:firstLineChars="0"/>
              <w:rPr>
                <w:rFonts w:hint="eastAsia" w:hAnsi="Times New Roman"/>
                <w:sz w:val="24"/>
                <w:szCs w:val="24"/>
              </w:rPr>
            </w:pPr>
          </w:p>
        </w:tc>
        <w:tc>
          <w:tcPr>
            <w:tcW w:w="742" w:type="dxa"/>
            <w:tcBorders>
              <w:top w:val="single" w:color="000000" w:sz="4" w:space="0"/>
              <w:left w:val="nil"/>
              <w:bottom w:val="single" w:color="000000" w:sz="4" w:space="0"/>
              <w:right w:val="single" w:color="000000" w:sz="4" w:space="0"/>
            </w:tcBorders>
            <w:noWrap/>
            <w:tcMar>
              <w:top w:w="0" w:type="dxa"/>
              <w:bottom w:w="0" w:type="dxa"/>
            </w:tcMar>
            <w:vAlign w:val="center"/>
          </w:tcPr>
          <w:p w14:paraId="161CDAE9">
            <w:pPr>
              <w:spacing w:line="440" w:lineRule="exact"/>
              <w:ind w:firstLine="0" w:firstLineChars="0"/>
              <w:rPr>
                <w:rFonts w:hint="eastAsia" w:hAnsi="Times New Roman"/>
                <w:sz w:val="24"/>
                <w:szCs w:val="24"/>
              </w:rPr>
            </w:pPr>
            <w:r>
              <w:rPr>
                <w:rFonts w:hint="eastAsia" w:hAnsi="Times New Roman"/>
                <w:sz w:val="24"/>
                <w:szCs w:val="24"/>
              </w:rPr>
              <w:t>1</w:t>
            </w:r>
          </w:p>
        </w:tc>
        <w:tc>
          <w:tcPr>
            <w:tcW w:w="5253" w:type="dxa"/>
            <w:gridSpan w:val="2"/>
            <w:tcBorders>
              <w:top w:val="single" w:color="000000" w:sz="4" w:space="0"/>
              <w:left w:val="nil"/>
              <w:bottom w:val="single" w:color="000000" w:sz="4" w:space="0"/>
              <w:right w:val="single" w:color="000000" w:sz="4" w:space="0"/>
            </w:tcBorders>
            <w:tcMar>
              <w:top w:w="0" w:type="dxa"/>
              <w:bottom w:w="0" w:type="dxa"/>
            </w:tcMar>
            <w:vAlign w:val="center"/>
          </w:tcPr>
          <w:p w14:paraId="2031E507">
            <w:pPr>
              <w:spacing w:line="440" w:lineRule="exact"/>
              <w:ind w:firstLine="0" w:firstLineChars="0"/>
              <w:rPr>
                <w:rFonts w:hint="eastAsia" w:hAnsi="Times New Roman"/>
                <w:sz w:val="24"/>
                <w:szCs w:val="24"/>
              </w:rPr>
            </w:pPr>
            <w:r>
              <w:rPr>
                <w:rFonts w:hint="eastAsia" w:hAnsi="Times New Roman"/>
                <w:sz w:val="24"/>
                <w:szCs w:val="24"/>
              </w:rPr>
              <w:t>是否符合国家法律法规的规定</w:t>
            </w:r>
          </w:p>
        </w:tc>
        <w:tc>
          <w:tcPr>
            <w:tcW w:w="1198" w:type="dxa"/>
            <w:tcBorders>
              <w:top w:val="single" w:color="000000" w:sz="4" w:space="0"/>
              <w:left w:val="nil"/>
              <w:bottom w:val="single" w:color="000000" w:sz="4" w:space="0"/>
              <w:right w:val="single" w:color="000000" w:sz="4" w:space="0"/>
            </w:tcBorders>
            <w:noWrap/>
            <w:vAlign w:val="center"/>
          </w:tcPr>
          <w:p w14:paraId="202AED99">
            <w:pPr>
              <w:spacing w:line="440" w:lineRule="exact"/>
              <w:ind w:firstLine="0" w:firstLineChars="0"/>
              <w:rPr>
                <w:rFonts w:hint="eastAsia" w:hAnsi="Times New Roman"/>
                <w:sz w:val="24"/>
                <w:szCs w:val="24"/>
              </w:rPr>
            </w:pPr>
          </w:p>
        </w:tc>
        <w:tc>
          <w:tcPr>
            <w:tcW w:w="912" w:type="dxa"/>
            <w:tcBorders>
              <w:top w:val="single" w:color="000000" w:sz="4" w:space="0"/>
              <w:left w:val="nil"/>
              <w:bottom w:val="single" w:color="000000" w:sz="4" w:space="0"/>
              <w:right w:val="single" w:color="000000" w:sz="4" w:space="0"/>
            </w:tcBorders>
            <w:noWrap/>
            <w:vAlign w:val="center"/>
          </w:tcPr>
          <w:p w14:paraId="5909BE35">
            <w:pPr>
              <w:spacing w:line="440" w:lineRule="exact"/>
              <w:ind w:firstLine="0" w:firstLineChars="0"/>
              <w:rPr>
                <w:rFonts w:hint="eastAsia" w:hAnsi="Times New Roman"/>
                <w:sz w:val="24"/>
                <w:szCs w:val="24"/>
              </w:rPr>
            </w:pPr>
          </w:p>
        </w:tc>
      </w:tr>
      <w:tr w14:paraId="1D9ED5C0">
        <w:tblPrEx>
          <w:tblCellMar>
            <w:top w:w="0" w:type="dxa"/>
            <w:left w:w="108" w:type="dxa"/>
            <w:bottom w:w="0" w:type="dxa"/>
            <w:right w:w="108" w:type="dxa"/>
          </w:tblCellMar>
        </w:tblPrEx>
        <w:trPr>
          <w:trHeight w:val="900" w:hRule="atLeast"/>
        </w:trPr>
        <w:tc>
          <w:tcPr>
            <w:tcW w:w="556" w:type="dxa"/>
            <w:vMerge w:val="continue"/>
            <w:tcBorders>
              <w:top w:val="single" w:color="auto" w:sz="4" w:space="0"/>
              <w:left w:val="single" w:color="auto" w:sz="4" w:space="0"/>
              <w:bottom w:val="single" w:color="auto" w:sz="4" w:space="0"/>
              <w:right w:val="single" w:color="auto" w:sz="4" w:space="0"/>
            </w:tcBorders>
            <w:tcMar>
              <w:top w:w="0" w:type="dxa"/>
              <w:bottom w:w="0" w:type="dxa"/>
            </w:tcMar>
            <w:vAlign w:val="center"/>
          </w:tcPr>
          <w:p w14:paraId="6B4A9CC5">
            <w:pPr>
              <w:spacing w:line="440" w:lineRule="exact"/>
              <w:ind w:firstLine="0" w:firstLineChars="0"/>
              <w:rPr>
                <w:rFonts w:hint="eastAsia" w:hAnsi="Times New Roman"/>
                <w:sz w:val="24"/>
                <w:szCs w:val="24"/>
              </w:rPr>
            </w:pPr>
          </w:p>
        </w:tc>
        <w:tc>
          <w:tcPr>
            <w:tcW w:w="742" w:type="dxa"/>
            <w:tcBorders>
              <w:top w:val="single" w:color="000000" w:sz="4" w:space="0"/>
              <w:left w:val="nil"/>
              <w:bottom w:val="single" w:color="000000" w:sz="4" w:space="0"/>
              <w:right w:val="single" w:color="000000" w:sz="4" w:space="0"/>
            </w:tcBorders>
            <w:noWrap/>
            <w:tcMar>
              <w:top w:w="0" w:type="dxa"/>
              <w:bottom w:w="0" w:type="dxa"/>
            </w:tcMar>
            <w:vAlign w:val="center"/>
          </w:tcPr>
          <w:p w14:paraId="263D3609">
            <w:pPr>
              <w:spacing w:line="440" w:lineRule="exact"/>
              <w:ind w:firstLine="0" w:firstLineChars="0"/>
              <w:rPr>
                <w:rFonts w:hint="eastAsia" w:hAnsi="Times New Roman"/>
                <w:sz w:val="24"/>
                <w:szCs w:val="24"/>
              </w:rPr>
            </w:pPr>
            <w:r>
              <w:rPr>
                <w:rFonts w:hint="eastAsia" w:hAnsi="Times New Roman"/>
                <w:sz w:val="24"/>
                <w:szCs w:val="24"/>
              </w:rPr>
              <w:t>2</w:t>
            </w:r>
          </w:p>
        </w:tc>
        <w:tc>
          <w:tcPr>
            <w:tcW w:w="5253" w:type="dxa"/>
            <w:gridSpan w:val="2"/>
            <w:tcBorders>
              <w:top w:val="single" w:color="000000" w:sz="4" w:space="0"/>
              <w:left w:val="nil"/>
              <w:bottom w:val="single" w:color="000000" w:sz="4" w:space="0"/>
              <w:right w:val="single" w:color="000000" w:sz="4" w:space="0"/>
            </w:tcBorders>
            <w:tcMar>
              <w:top w:w="0" w:type="dxa"/>
              <w:bottom w:w="0" w:type="dxa"/>
            </w:tcMar>
            <w:vAlign w:val="center"/>
          </w:tcPr>
          <w:p w14:paraId="3BDB1604">
            <w:pPr>
              <w:spacing w:line="440" w:lineRule="exact"/>
              <w:ind w:firstLine="0" w:firstLineChars="0"/>
              <w:rPr>
                <w:rFonts w:hint="eastAsia" w:hAnsi="Times New Roman"/>
                <w:sz w:val="24"/>
                <w:szCs w:val="24"/>
              </w:rPr>
            </w:pPr>
            <w:r>
              <w:rPr>
                <w:rFonts w:hint="eastAsia" w:hAnsi="Times New Roman"/>
                <w:sz w:val="24"/>
                <w:szCs w:val="24"/>
              </w:rPr>
              <w:t>是否符合国家、省产业政策及我区的产业发展规划、产业布局（定位）、土地利用规划、基础设施承载能力</w:t>
            </w:r>
          </w:p>
        </w:tc>
        <w:tc>
          <w:tcPr>
            <w:tcW w:w="1198" w:type="dxa"/>
            <w:tcBorders>
              <w:top w:val="single" w:color="000000" w:sz="4" w:space="0"/>
              <w:left w:val="nil"/>
              <w:bottom w:val="single" w:color="000000" w:sz="4" w:space="0"/>
              <w:right w:val="single" w:color="000000" w:sz="4" w:space="0"/>
            </w:tcBorders>
            <w:noWrap/>
            <w:vAlign w:val="center"/>
          </w:tcPr>
          <w:p w14:paraId="2090511E">
            <w:pPr>
              <w:spacing w:line="440" w:lineRule="exact"/>
              <w:ind w:firstLine="0" w:firstLineChars="0"/>
              <w:rPr>
                <w:rFonts w:hint="eastAsia" w:hAnsi="Times New Roman"/>
                <w:sz w:val="24"/>
                <w:szCs w:val="24"/>
              </w:rPr>
            </w:pPr>
          </w:p>
        </w:tc>
        <w:tc>
          <w:tcPr>
            <w:tcW w:w="912" w:type="dxa"/>
            <w:tcBorders>
              <w:top w:val="single" w:color="000000" w:sz="4" w:space="0"/>
              <w:left w:val="nil"/>
              <w:bottom w:val="single" w:color="000000" w:sz="4" w:space="0"/>
              <w:right w:val="single" w:color="000000" w:sz="4" w:space="0"/>
            </w:tcBorders>
            <w:noWrap/>
            <w:vAlign w:val="center"/>
          </w:tcPr>
          <w:p w14:paraId="4FCC9CB8">
            <w:pPr>
              <w:spacing w:line="440" w:lineRule="exact"/>
              <w:ind w:firstLine="0" w:firstLineChars="0"/>
              <w:rPr>
                <w:rFonts w:hint="eastAsia" w:hAnsi="Times New Roman"/>
                <w:sz w:val="24"/>
                <w:szCs w:val="24"/>
              </w:rPr>
            </w:pPr>
          </w:p>
        </w:tc>
      </w:tr>
      <w:tr w14:paraId="5C86EBD5">
        <w:tblPrEx>
          <w:tblCellMar>
            <w:top w:w="0" w:type="dxa"/>
            <w:left w:w="108" w:type="dxa"/>
            <w:bottom w:w="0" w:type="dxa"/>
            <w:right w:w="108" w:type="dxa"/>
          </w:tblCellMar>
        </w:tblPrEx>
        <w:trPr>
          <w:trHeight w:val="568" w:hRule="atLeast"/>
        </w:trPr>
        <w:tc>
          <w:tcPr>
            <w:tcW w:w="556" w:type="dxa"/>
            <w:vMerge w:val="continue"/>
            <w:tcBorders>
              <w:top w:val="single" w:color="auto" w:sz="4" w:space="0"/>
              <w:left w:val="single" w:color="auto" w:sz="4" w:space="0"/>
              <w:bottom w:val="single" w:color="auto" w:sz="4" w:space="0"/>
              <w:right w:val="single" w:color="auto" w:sz="4" w:space="0"/>
            </w:tcBorders>
            <w:tcMar>
              <w:top w:w="0" w:type="dxa"/>
              <w:bottom w:w="0" w:type="dxa"/>
            </w:tcMar>
            <w:vAlign w:val="center"/>
          </w:tcPr>
          <w:p w14:paraId="739378E6">
            <w:pPr>
              <w:spacing w:line="440" w:lineRule="exact"/>
              <w:ind w:firstLine="0" w:firstLineChars="0"/>
              <w:rPr>
                <w:rFonts w:hint="eastAsia" w:hAnsi="Times New Roman"/>
                <w:sz w:val="24"/>
                <w:szCs w:val="24"/>
              </w:rPr>
            </w:pPr>
          </w:p>
        </w:tc>
        <w:tc>
          <w:tcPr>
            <w:tcW w:w="742" w:type="dxa"/>
            <w:tcBorders>
              <w:top w:val="single" w:color="000000" w:sz="4" w:space="0"/>
              <w:left w:val="nil"/>
              <w:bottom w:val="single" w:color="000000" w:sz="4" w:space="0"/>
              <w:right w:val="single" w:color="000000" w:sz="4" w:space="0"/>
            </w:tcBorders>
            <w:noWrap/>
            <w:tcMar>
              <w:top w:w="0" w:type="dxa"/>
              <w:bottom w:w="0" w:type="dxa"/>
            </w:tcMar>
            <w:vAlign w:val="center"/>
          </w:tcPr>
          <w:p w14:paraId="38611A85">
            <w:pPr>
              <w:spacing w:line="440" w:lineRule="exact"/>
              <w:ind w:firstLine="0" w:firstLineChars="0"/>
              <w:rPr>
                <w:rFonts w:hint="eastAsia" w:hAnsi="Times New Roman"/>
                <w:sz w:val="24"/>
                <w:szCs w:val="24"/>
              </w:rPr>
            </w:pPr>
            <w:r>
              <w:rPr>
                <w:rFonts w:hint="eastAsia" w:hAnsi="Times New Roman"/>
                <w:sz w:val="24"/>
                <w:szCs w:val="24"/>
              </w:rPr>
              <w:t>3</w:t>
            </w:r>
          </w:p>
        </w:tc>
        <w:tc>
          <w:tcPr>
            <w:tcW w:w="5253" w:type="dxa"/>
            <w:gridSpan w:val="2"/>
            <w:tcBorders>
              <w:top w:val="single" w:color="000000" w:sz="4" w:space="0"/>
              <w:left w:val="nil"/>
              <w:bottom w:val="single" w:color="000000" w:sz="4" w:space="0"/>
              <w:right w:val="single" w:color="000000" w:sz="4" w:space="0"/>
            </w:tcBorders>
            <w:tcMar>
              <w:top w:w="0" w:type="dxa"/>
              <w:bottom w:w="0" w:type="dxa"/>
            </w:tcMar>
            <w:vAlign w:val="center"/>
          </w:tcPr>
          <w:p w14:paraId="66696B31">
            <w:pPr>
              <w:spacing w:line="440" w:lineRule="exact"/>
              <w:ind w:firstLine="0" w:firstLineChars="0"/>
              <w:rPr>
                <w:rFonts w:hint="eastAsia" w:hAnsi="Times New Roman"/>
                <w:sz w:val="24"/>
                <w:szCs w:val="24"/>
              </w:rPr>
            </w:pPr>
            <w:r>
              <w:rPr>
                <w:rFonts w:hint="eastAsia" w:hAnsi="Times New Roman"/>
                <w:sz w:val="24"/>
                <w:szCs w:val="24"/>
              </w:rPr>
              <w:t>是否符合环境保护、安全生产、节能减排等要求</w:t>
            </w:r>
          </w:p>
        </w:tc>
        <w:tc>
          <w:tcPr>
            <w:tcW w:w="1198" w:type="dxa"/>
            <w:tcBorders>
              <w:top w:val="single" w:color="000000" w:sz="4" w:space="0"/>
              <w:left w:val="nil"/>
              <w:bottom w:val="single" w:color="000000" w:sz="4" w:space="0"/>
              <w:right w:val="single" w:color="000000" w:sz="4" w:space="0"/>
            </w:tcBorders>
            <w:noWrap/>
            <w:vAlign w:val="center"/>
          </w:tcPr>
          <w:p w14:paraId="398EFC84">
            <w:pPr>
              <w:spacing w:line="440" w:lineRule="exact"/>
              <w:ind w:firstLine="0" w:firstLineChars="0"/>
              <w:rPr>
                <w:rFonts w:hint="eastAsia" w:hAnsi="Times New Roman"/>
                <w:sz w:val="24"/>
                <w:szCs w:val="24"/>
              </w:rPr>
            </w:pPr>
          </w:p>
        </w:tc>
        <w:tc>
          <w:tcPr>
            <w:tcW w:w="912" w:type="dxa"/>
            <w:tcBorders>
              <w:top w:val="single" w:color="000000" w:sz="4" w:space="0"/>
              <w:left w:val="nil"/>
              <w:bottom w:val="single" w:color="000000" w:sz="4" w:space="0"/>
              <w:right w:val="single" w:color="000000" w:sz="4" w:space="0"/>
            </w:tcBorders>
            <w:noWrap/>
            <w:vAlign w:val="center"/>
          </w:tcPr>
          <w:p w14:paraId="5E731D8F">
            <w:pPr>
              <w:spacing w:line="440" w:lineRule="exact"/>
              <w:ind w:firstLine="0" w:firstLineChars="0"/>
              <w:rPr>
                <w:rFonts w:hint="eastAsia" w:hAnsi="Times New Roman"/>
                <w:sz w:val="24"/>
                <w:szCs w:val="24"/>
              </w:rPr>
            </w:pPr>
          </w:p>
        </w:tc>
      </w:tr>
      <w:tr w14:paraId="30C8548E">
        <w:tblPrEx>
          <w:tblCellMar>
            <w:top w:w="0" w:type="dxa"/>
            <w:left w:w="108" w:type="dxa"/>
            <w:bottom w:w="0" w:type="dxa"/>
            <w:right w:w="108" w:type="dxa"/>
          </w:tblCellMar>
        </w:tblPrEx>
        <w:trPr>
          <w:trHeight w:val="840" w:hRule="atLeast"/>
        </w:trPr>
        <w:tc>
          <w:tcPr>
            <w:tcW w:w="556" w:type="dxa"/>
            <w:vMerge w:val="continue"/>
            <w:tcBorders>
              <w:top w:val="single" w:color="auto" w:sz="4" w:space="0"/>
              <w:left w:val="single" w:color="auto" w:sz="4" w:space="0"/>
              <w:bottom w:val="single" w:color="auto" w:sz="4" w:space="0"/>
              <w:right w:val="single" w:color="auto" w:sz="4" w:space="0"/>
            </w:tcBorders>
            <w:vAlign w:val="center"/>
          </w:tcPr>
          <w:p w14:paraId="1A6E9871">
            <w:pPr>
              <w:spacing w:line="440" w:lineRule="exact"/>
              <w:ind w:firstLine="0" w:firstLineChars="0"/>
              <w:rPr>
                <w:rFonts w:hint="eastAsia" w:hAnsi="Times New Roman"/>
                <w:sz w:val="24"/>
                <w:szCs w:val="24"/>
              </w:rPr>
            </w:pPr>
          </w:p>
        </w:tc>
        <w:tc>
          <w:tcPr>
            <w:tcW w:w="742" w:type="dxa"/>
            <w:tcBorders>
              <w:top w:val="single" w:color="000000" w:sz="4" w:space="0"/>
              <w:left w:val="nil"/>
              <w:bottom w:val="single" w:color="000000" w:sz="4" w:space="0"/>
              <w:right w:val="single" w:color="000000" w:sz="4" w:space="0"/>
            </w:tcBorders>
            <w:noWrap/>
            <w:vAlign w:val="center"/>
          </w:tcPr>
          <w:p w14:paraId="3A46B294">
            <w:pPr>
              <w:spacing w:line="440" w:lineRule="exact"/>
              <w:ind w:firstLine="0" w:firstLineChars="0"/>
              <w:rPr>
                <w:rFonts w:hint="eastAsia" w:hAnsi="Times New Roman"/>
                <w:sz w:val="24"/>
                <w:szCs w:val="24"/>
              </w:rPr>
            </w:pPr>
            <w:r>
              <w:rPr>
                <w:rFonts w:hint="eastAsia" w:hAnsi="Times New Roman"/>
                <w:sz w:val="24"/>
                <w:szCs w:val="24"/>
              </w:rPr>
              <w:t>4</w:t>
            </w:r>
          </w:p>
        </w:tc>
        <w:tc>
          <w:tcPr>
            <w:tcW w:w="5253" w:type="dxa"/>
            <w:gridSpan w:val="2"/>
            <w:tcBorders>
              <w:top w:val="single" w:color="000000" w:sz="4" w:space="0"/>
              <w:left w:val="nil"/>
              <w:bottom w:val="single" w:color="000000" w:sz="4" w:space="0"/>
              <w:right w:val="single" w:color="000000" w:sz="4" w:space="0"/>
            </w:tcBorders>
            <w:vAlign w:val="center"/>
          </w:tcPr>
          <w:p w14:paraId="733BF04D">
            <w:pPr>
              <w:spacing w:line="440" w:lineRule="exact"/>
              <w:ind w:firstLine="0" w:firstLineChars="0"/>
              <w:rPr>
                <w:rFonts w:hint="eastAsia" w:hAnsi="Times New Roman"/>
                <w:sz w:val="24"/>
                <w:szCs w:val="24"/>
              </w:rPr>
            </w:pPr>
            <w:r>
              <w:rPr>
                <w:rFonts w:hint="eastAsia" w:hAnsi="Times New Roman"/>
                <w:sz w:val="24"/>
                <w:szCs w:val="24"/>
              </w:rPr>
              <w:t>是否符合科技高度、投资强度、税收额度、就业广度等要求</w:t>
            </w:r>
          </w:p>
        </w:tc>
        <w:tc>
          <w:tcPr>
            <w:tcW w:w="1198" w:type="dxa"/>
            <w:tcBorders>
              <w:top w:val="single" w:color="000000" w:sz="4" w:space="0"/>
              <w:left w:val="nil"/>
              <w:bottom w:val="single" w:color="000000" w:sz="4" w:space="0"/>
              <w:right w:val="single" w:color="000000" w:sz="4" w:space="0"/>
            </w:tcBorders>
            <w:noWrap/>
            <w:vAlign w:val="center"/>
          </w:tcPr>
          <w:p w14:paraId="0A7AB2BB">
            <w:pPr>
              <w:spacing w:line="440" w:lineRule="exact"/>
              <w:ind w:firstLine="0" w:firstLineChars="0"/>
              <w:rPr>
                <w:rFonts w:hint="eastAsia" w:hAnsi="Times New Roman"/>
                <w:sz w:val="24"/>
                <w:szCs w:val="24"/>
              </w:rPr>
            </w:pPr>
          </w:p>
        </w:tc>
        <w:tc>
          <w:tcPr>
            <w:tcW w:w="912" w:type="dxa"/>
            <w:tcBorders>
              <w:top w:val="single" w:color="000000" w:sz="4" w:space="0"/>
              <w:left w:val="nil"/>
              <w:bottom w:val="single" w:color="000000" w:sz="4" w:space="0"/>
              <w:right w:val="single" w:color="000000" w:sz="4" w:space="0"/>
            </w:tcBorders>
            <w:noWrap/>
            <w:vAlign w:val="center"/>
          </w:tcPr>
          <w:p w14:paraId="5417372C">
            <w:pPr>
              <w:spacing w:line="440" w:lineRule="exact"/>
              <w:ind w:firstLine="0" w:firstLineChars="0"/>
              <w:rPr>
                <w:rFonts w:hint="eastAsia" w:hAnsi="Times New Roman"/>
                <w:sz w:val="24"/>
                <w:szCs w:val="24"/>
              </w:rPr>
            </w:pPr>
          </w:p>
        </w:tc>
      </w:tr>
      <w:tr w14:paraId="46E0D981">
        <w:tblPrEx>
          <w:tblCellMar>
            <w:top w:w="0" w:type="dxa"/>
            <w:left w:w="108" w:type="dxa"/>
            <w:bottom w:w="0" w:type="dxa"/>
            <w:right w:w="108" w:type="dxa"/>
          </w:tblCellMar>
        </w:tblPrEx>
        <w:trPr>
          <w:trHeight w:val="570" w:hRule="atLeast"/>
        </w:trPr>
        <w:tc>
          <w:tcPr>
            <w:tcW w:w="556" w:type="dxa"/>
            <w:vMerge w:val="continue"/>
            <w:tcBorders>
              <w:top w:val="single" w:color="auto" w:sz="4" w:space="0"/>
              <w:left w:val="single" w:color="auto" w:sz="4" w:space="0"/>
              <w:bottom w:val="single" w:color="auto" w:sz="4" w:space="0"/>
              <w:right w:val="single" w:color="auto" w:sz="4" w:space="0"/>
            </w:tcBorders>
            <w:vAlign w:val="center"/>
          </w:tcPr>
          <w:p w14:paraId="2BF99DC5">
            <w:pPr>
              <w:spacing w:line="440" w:lineRule="exact"/>
              <w:ind w:firstLine="0" w:firstLineChars="0"/>
              <w:rPr>
                <w:rFonts w:hint="eastAsia" w:hAnsi="Times New Roman"/>
                <w:sz w:val="24"/>
                <w:szCs w:val="24"/>
              </w:rPr>
            </w:pPr>
          </w:p>
        </w:tc>
        <w:tc>
          <w:tcPr>
            <w:tcW w:w="742" w:type="dxa"/>
            <w:tcBorders>
              <w:top w:val="single" w:color="000000" w:sz="4" w:space="0"/>
              <w:left w:val="nil"/>
              <w:bottom w:val="single" w:color="000000" w:sz="4" w:space="0"/>
              <w:right w:val="single" w:color="000000" w:sz="4" w:space="0"/>
            </w:tcBorders>
            <w:noWrap/>
            <w:vAlign w:val="center"/>
          </w:tcPr>
          <w:p w14:paraId="185373CB">
            <w:pPr>
              <w:spacing w:line="440" w:lineRule="exact"/>
              <w:ind w:firstLine="0" w:firstLineChars="0"/>
              <w:rPr>
                <w:rFonts w:hint="eastAsia" w:hAnsi="Times New Roman"/>
                <w:sz w:val="24"/>
                <w:szCs w:val="24"/>
              </w:rPr>
            </w:pPr>
            <w:r>
              <w:rPr>
                <w:rFonts w:hint="eastAsia" w:hAnsi="Times New Roman"/>
                <w:sz w:val="24"/>
                <w:szCs w:val="24"/>
              </w:rPr>
              <w:t>5</w:t>
            </w:r>
          </w:p>
        </w:tc>
        <w:tc>
          <w:tcPr>
            <w:tcW w:w="5253" w:type="dxa"/>
            <w:gridSpan w:val="2"/>
            <w:tcBorders>
              <w:top w:val="single" w:color="000000" w:sz="4" w:space="0"/>
              <w:left w:val="nil"/>
              <w:bottom w:val="single" w:color="000000" w:sz="4" w:space="0"/>
              <w:right w:val="single" w:color="000000" w:sz="4" w:space="0"/>
            </w:tcBorders>
            <w:vAlign w:val="center"/>
          </w:tcPr>
          <w:p w14:paraId="64A2CFC9">
            <w:pPr>
              <w:spacing w:line="440" w:lineRule="exact"/>
              <w:ind w:firstLine="0" w:firstLineChars="0"/>
              <w:rPr>
                <w:rFonts w:hint="eastAsia" w:hAnsi="Times New Roman"/>
                <w:sz w:val="24"/>
                <w:szCs w:val="24"/>
              </w:rPr>
            </w:pPr>
            <w:r>
              <w:rPr>
                <w:rFonts w:hint="eastAsia" w:hAnsi="Times New Roman"/>
                <w:sz w:val="24"/>
                <w:szCs w:val="24"/>
              </w:rPr>
              <w:t>是否合理开发和有效利用资源</w:t>
            </w:r>
          </w:p>
        </w:tc>
        <w:tc>
          <w:tcPr>
            <w:tcW w:w="1198" w:type="dxa"/>
            <w:tcBorders>
              <w:top w:val="single" w:color="000000" w:sz="4" w:space="0"/>
              <w:left w:val="nil"/>
              <w:bottom w:val="single" w:color="000000" w:sz="4" w:space="0"/>
              <w:right w:val="single" w:color="000000" w:sz="4" w:space="0"/>
            </w:tcBorders>
            <w:noWrap/>
            <w:vAlign w:val="center"/>
          </w:tcPr>
          <w:p w14:paraId="6A28EAC4">
            <w:pPr>
              <w:spacing w:line="440" w:lineRule="exact"/>
              <w:ind w:firstLine="0" w:firstLineChars="0"/>
              <w:rPr>
                <w:rFonts w:hint="eastAsia" w:hAnsi="Times New Roman"/>
                <w:sz w:val="24"/>
                <w:szCs w:val="24"/>
              </w:rPr>
            </w:pPr>
          </w:p>
        </w:tc>
        <w:tc>
          <w:tcPr>
            <w:tcW w:w="912" w:type="dxa"/>
            <w:tcBorders>
              <w:top w:val="single" w:color="000000" w:sz="4" w:space="0"/>
              <w:left w:val="nil"/>
              <w:bottom w:val="single" w:color="000000" w:sz="4" w:space="0"/>
              <w:right w:val="single" w:color="000000" w:sz="4" w:space="0"/>
            </w:tcBorders>
            <w:noWrap/>
            <w:vAlign w:val="center"/>
          </w:tcPr>
          <w:p w14:paraId="08A969FD">
            <w:pPr>
              <w:spacing w:line="440" w:lineRule="exact"/>
              <w:ind w:firstLine="0" w:firstLineChars="0"/>
              <w:rPr>
                <w:rFonts w:hint="eastAsia" w:hAnsi="Times New Roman"/>
                <w:sz w:val="24"/>
                <w:szCs w:val="24"/>
              </w:rPr>
            </w:pPr>
          </w:p>
        </w:tc>
      </w:tr>
      <w:tr w14:paraId="72528343">
        <w:tblPrEx>
          <w:tblCellMar>
            <w:top w:w="0" w:type="dxa"/>
            <w:left w:w="108" w:type="dxa"/>
            <w:bottom w:w="0" w:type="dxa"/>
            <w:right w:w="108" w:type="dxa"/>
          </w:tblCellMar>
        </w:tblPrEx>
        <w:trPr>
          <w:trHeight w:val="497" w:hRule="atLeast"/>
        </w:trPr>
        <w:tc>
          <w:tcPr>
            <w:tcW w:w="556" w:type="dxa"/>
            <w:vMerge w:val="continue"/>
            <w:tcBorders>
              <w:top w:val="single" w:color="auto" w:sz="4" w:space="0"/>
              <w:left w:val="single" w:color="auto" w:sz="4" w:space="0"/>
              <w:bottom w:val="single" w:color="auto" w:sz="4" w:space="0"/>
              <w:right w:val="single" w:color="auto" w:sz="4" w:space="0"/>
            </w:tcBorders>
            <w:vAlign w:val="center"/>
          </w:tcPr>
          <w:p w14:paraId="27426313">
            <w:pPr>
              <w:spacing w:line="440" w:lineRule="exact"/>
              <w:ind w:firstLine="0" w:firstLineChars="0"/>
              <w:rPr>
                <w:rFonts w:hint="eastAsia" w:hAnsi="Times New Roman"/>
                <w:sz w:val="24"/>
                <w:szCs w:val="24"/>
              </w:rPr>
            </w:pPr>
          </w:p>
        </w:tc>
        <w:tc>
          <w:tcPr>
            <w:tcW w:w="742" w:type="dxa"/>
            <w:tcBorders>
              <w:top w:val="single" w:color="000000" w:sz="4" w:space="0"/>
              <w:left w:val="nil"/>
              <w:bottom w:val="single" w:color="000000" w:sz="4" w:space="0"/>
              <w:right w:val="single" w:color="000000" w:sz="4" w:space="0"/>
            </w:tcBorders>
            <w:noWrap/>
            <w:vAlign w:val="center"/>
          </w:tcPr>
          <w:p w14:paraId="347C533D">
            <w:pPr>
              <w:spacing w:line="440" w:lineRule="exact"/>
              <w:ind w:firstLine="0" w:firstLineChars="0"/>
              <w:rPr>
                <w:rFonts w:hint="eastAsia" w:hAnsi="Times New Roman"/>
                <w:sz w:val="24"/>
                <w:szCs w:val="24"/>
              </w:rPr>
            </w:pPr>
            <w:r>
              <w:rPr>
                <w:rFonts w:hint="eastAsia" w:hAnsi="Times New Roman"/>
                <w:sz w:val="24"/>
                <w:szCs w:val="24"/>
              </w:rPr>
              <w:t>6</w:t>
            </w:r>
          </w:p>
        </w:tc>
        <w:tc>
          <w:tcPr>
            <w:tcW w:w="5253" w:type="dxa"/>
            <w:gridSpan w:val="2"/>
            <w:tcBorders>
              <w:top w:val="single" w:color="000000" w:sz="4" w:space="0"/>
              <w:left w:val="nil"/>
              <w:bottom w:val="single" w:color="000000" w:sz="4" w:space="0"/>
              <w:right w:val="single" w:color="000000" w:sz="4" w:space="0"/>
            </w:tcBorders>
            <w:vAlign w:val="center"/>
          </w:tcPr>
          <w:p w14:paraId="0F4E5ED8">
            <w:pPr>
              <w:spacing w:line="440" w:lineRule="exact"/>
              <w:ind w:firstLine="0" w:firstLineChars="0"/>
              <w:rPr>
                <w:rFonts w:hint="eastAsia" w:hAnsi="Times New Roman"/>
                <w:sz w:val="24"/>
                <w:szCs w:val="24"/>
              </w:rPr>
            </w:pPr>
            <w:r>
              <w:rPr>
                <w:rFonts w:hint="eastAsia" w:hAnsi="Times New Roman"/>
                <w:sz w:val="24"/>
                <w:szCs w:val="24"/>
              </w:rPr>
              <w:t>是否履约</w:t>
            </w:r>
          </w:p>
        </w:tc>
        <w:tc>
          <w:tcPr>
            <w:tcW w:w="1198" w:type="dxa"/>
            <w:tcBorders>
              <w:top w:val="single" w:color="000000" w:sz="4" w:space="0"/>
              <w:left w:val="nil"/>
              <w:bottom w:val="single" w:color="000000" w:sz="4" w:space="0"/>
              <w:right w:val="single" w:color="000000" w:sz="4" w:space="0"/>
            </w:tcBorders>
            <w:noWrap/>
            <w:vAlign w:val="center"/>
          </w:tcPr>
          <w:p w14:paraId="7E0715E1">
            <w:pPr>
              <w:spacing w:line="440" w:lineRule="exact"/>
              <w:ind w:firstLine="0" w:firstLineChars="0"/>
              <w:rPr>
                <w:rFonts w:hint="eastAsia" w:hAnsi="Times New Roman"/>
                <w:sz w:val="24"/>
                <w:szCs w:val="24"/>
              </w:rPr>
            </w:pPr>
          </w:p>
        </w:tc>
        <w:tc>
          <w:tcPr>
            <w:tcW w:w="912" w:type="dxa"/>
            <w:tcBorders>
              <w:top w:val="single" w:color="000000" w:sz="4" w:space="0"/>
              <w:left w:val="nil"/>
              <w:bottom w:val="single" w:color="000000" w:sz="4" w:space="0"/>
              <w:right w:val="single" w:color="000000" w:sz="4" w:space="0"/>
            </w:tcBorders>
            <w:noWrap/>
            <w:vAlign w:val="center"/>
          </w:tcPr>
          <w:p w14:paraId="07A1B864">
            <w:pPr>
              <w:spacing w:line="440" w:lineRule="exact"/>
              <w:ind w:firstLine="0" w:firstLineChars="0"/>
              <w:rPr>
                <w:rFonts w:hint="eastAsia" w:hAnsi="Times New Roman"/>
                <w:sz w:val="24"/>
                <w:szCs w:val="24"/>
              </w:rPr>
            </w:pPr>
          </w:p>
        </w:tc>
      </w:tr>
      <w:tr w14:paraId="7A3A1FC6">
        <w:tblPrEx>
          <w:tblCellMar>
            <w:top w:w="0" w:type="dxa"/>
            <w:left w:w="108" w:type="dxa"/>
            <w:bottom w:w="0" w:type="dxa"/>
            <w:right w:w="108" w:type="dxa"/>
          </w:tblCellMar>
        </w:tblPrEx>
        <w:trPr>
          <w:trHeight w:val="845" w:hRule="atLeast"/>
        </w:trPr>
        <w:tc>
          <w:tcPr>
            <w:tcW w:w="556" w:type="dxa"/>
            <w:vMerge w:val="continue"/>
            <w:tcBorders>
              <w:top w:val="single" w:color="auto" w:sz="4" w:space="0"/>
              <w:left w:val="single" w:color="auto" w:sz="4" w:space="0"/>
              <w:bottom w:val="single" w:color="auto" w:sz="4" w:space="0"/>
              <w:right w:val="single" w:color="auto" w:sz="4" w:space="0"/>
            </w:tcBorders>
            <w:vAlign w:val="center"/>
          </w:tcPr>
          <w:p w14:paraId="15D8CB6B">
            <w:pPr>
              <w:spacing w:line="440" w:lineRule="exact"/>
              <w:ind w:firstLine="0" w:firstLineChars="0"/>
              <w:rPr>
                <w:rFonts w:hint="eastAsia" w:hAnsi="Times New Roman"/>
                <w:sz w:val="24"/>
                <w:szCs w:val="24"/>
              </w:rPr>
            </w:pPr>
          </w:p>
        </w:tc>
        <w:tc>
          <w:tcPr>
            <w:tcW w:w="742" w:type="dxa"/>
            <w:tcBorders>
              <w:top w:val="single" w:color="000000" w:sz="4" w:space="0"/>
              <w:left w:val="nil"/>
              <w:bottom w:val="single" w:color="000000" w:sz="4" w:space="0"/>
              <w:right w:val="single" w:color="000000" w:sz="4" w:space="0"/>
            </w:tcBorders>
            <w:noWrap/>
            <w:vAlign w:val="center"/>
          </w:tcPr>
          <w:p w14:paraId="128E1285">
            <w:pPr>
              <w:spacing w:line="440" w:lineRule="exact"/>
              <w:ind w:firstLine="0" w:firstLineChars="0"/>
              <w:rPr>
                <w:rFonts w:hint="eastAsia" w:hAnsi="Times New Roman"/>
                <w:sz w:val="24"/>
                <w:szCs w:val="24"/>
              </w:rPr>
            </w:pPr>
            <w:r>
              <w:rPr>
                <w:rFonts w:hint="eastAsia" w:hAnsi="Times New Roman"/>
                <w:sz w:val="24"/>
                <w:szCs w:val="24"/>
              </w:rPr>
              <w:t>7</w:t>
            </w:r>
          </w:p>
        </w:tc>
        <w:tc>
          <w:tcPr>
            <w:tcW w:w="5253" w:type="dxa"/>
            <w:gridSpan w:val="2"/>
            <w:tcBorders>
              <w:top w:val="single" w:color="000000" w:sz="4" w:space="0"/>
              <w:left w:val="nil"/>
              <w:bottom w:val="single" w:color="000000" w:sz="4" w:space="0"/>
              <w:right w:val="single" w:color="000000" w:sz="4" w:space="0"/>
            </w:tcBorders>
            <w:vAlign w:val="center"/>
          </w:tcPr>
          <w:p w14:paraId="2C460647">
            <w:pPr>
              <w:spacing w:line="440" w:lineRule="exact"/>
              <w:ind w:firstLine="0" w:firstLineChars="0"/>
              <w:rPr>
                <w:rFonts w:hint="eastAsia" w:hAnsi="Times New Roman"/>
                <w:sz w:val="24"/>
                <w:szCs w:val="24"/>
              </w:rPr>
            </w:pPr>
            <w:r>
              <w:rPr>
                <w:rFonts w:hint="eastAsia" w:hAnsi="Times New Roman"/>
                <w:sz w:val="24"/>
                <w:szCs w:val="24"/>
              </w:rPr>
              <w:t>是否具有稳定的材料供应和产品销售渠道，工艺流程是否先进合理，是否具有投资效益等</w:t>
            </w:r>
          </w:p>
        </w:tc>
        <w:tc>
          <w:tcPr>
            <w:tcW w:w="1198" w:type="dxa"/>
            <w:tcBorders>
              <w:top w:val="single" w:color="000000" w:sz="4" w:space="0"/>
              <w:left w:val="nil"/>
              <w:bottom w:val="single" w:color="000000" w:sz="4" w:space="0"/>
              <w:right w:val="single" w:color="000000" w:sz="4" w:space="0"/>
            </w:tcBorders>
            <w:noWrap/>
            <w:vAlign w:val="center"/>
          </w:tcPr>
          <w:p w14:paraId="2E1D9465">
            <w:pPr>
              <w:spacing w:line="440" w:lineRule="exact"/>
              <w:ind w:firstLine="0" w:firstLineChars="0"/>
              <w:rPr>
                <w:rFonts w:hint="eastAsia" w:hAnsi="Times New Roman"/>
                <w:sz w:val="24"/>
                <w:szCs w:val="24"/>
              </w:rPr>
            </w:pPr>
          </w:p>
        </w:tc>
        <w:tc>
          <w:tcPr>
            <w:tcW w:w="912" w:type="dxa"/>
            <w:tcBorders>
              <w:top w:val="single" w:color="000000" w:sz="4" w:space="0"/>
              <w:left w:val="nil"/>
              <w:bottom w:val="single" w:color="000000" w:sz="4" w:space="0"/>
              <w:right w:val="single" w:color="000000" w:sz="4" w:space="0"/>
            </w:tcBorders>
            <w:noWrap/>
            <w:vAlign w:val="center"/>
          </w:tcPr>
          <w:p w14:paraId="6B66137D">
            <w:pPr>
              <w:spacing w:line="440" w:lineRule="exact"/>
              <w:ind w:firstLine="0" w:firstLineChars="0"/>
              <w:rPr>
                <w:rFonts w:hint="eastAsia" w:hAnsi="Times New Roman"/>
                <w:sz w:val="24"/>
                <w:szCs w:val="24"/>
              </w:rPr>
            </w:pPr>
          </w:p>
        </w:tc>
      </w:tr>
      <w:tr w14:paraId="5445D12F">
        <w:tblPrEx>
          <w:tblCellMar>
            <w:top w:w="0" w:type="dxa"/>
            <w:left w:w="108" w:type="dxa"/>
            <w:bottom w:w="0" w:type="dxa"/>
            <w:right w:w="108" w:type="dxa"/>
          </w:tblCellMar>
        </w:tblPrEx>
        <w:trPr>
          <w:trHeight w:val="1445" w:hRule="atLeast"/>
        </w:trPr>
        <w:tc>
          <w:tcPr>
            <w:tcW w:w="556" w:type="dxa"/>
            <w:vMerge w:val="continue"/>
            <w:tcBorders>
              <w:top w:val="single" w:color="auto" w:sz="4" w:space="0"/>
              <w:left w:val="single" w:color="auto" w:sz="4" w:space="0"/>
              <w:bottom w:val="single" w:color="auto" w:sz="4" w:space="0"/>
              <w:right w:val="single" w:color="auto" w:sz="4" w:space="0"/>
            </w:tcBorders>
            <w:vAlign w:val="center"/>
          </w:tcPr>
          <w:p w14:paraId="567234CD">
            <w:pPr>
              <w:spacing w:line="440" w:lineRule="exact"/>
              <w:ind w:firstLine="0" w:firstLineChars="0"/>
              <w:rPr>
                <w:rFonts w:hint="eastAsia" w:hAnsi="Times New Roman"/>
                <w:sz w:val="24"/>
                <w:szCs w:val="24"/>
              </w:rPr>
            </w:pPr>
          </w:p>
        </w:tc>
        <w:tc>
          <w:tcPr>
            <w:tcW w:w="742" w:type="dxa"/>
            <w:tcBorders>
              <w:top w:val="single" w:color="000000" w:sz="4" w:space="0"/>
              <w:left w:val="nil"/>
              <w:bottom w:val="single" w:color="000000" w:sz="4" w:space="0"/>
              <w:right w:val="single" w:color="000000" w:sz="4" w:space="0"/>
            </w:tcBorders>
            <w:noWrap/>
            <w:vAlign w:val="center"/>
          </w:tcPr>
          <w:p w14:paraId="6E8614D0">
            <w:pPr>
              <w:spacing w:line="440" w:lineRule="exact"/>
              <w:ind w:firstLine="0" w:firstLineChars="0"/>
              <w:rPr>
                <w:rFonts w:hint="eastAsia" w:hAnsi="Times New Roman"/>
                <w:sz w:val="24"/>
                <w:szCs w:val="24"/>
              </w:rPr>
            </w:pPr>
            <w:r>
              <w:rPr>
                <w:rFonts w:hint="eastAsia" w:hAnsi="Times New Roman"/>
                <w:sz w:val="24"/>
                <w:szCs w:val="24"/>
              </w:rPr>
              <w:t>8</w:t>
            </w:r>
          </w:p>
        </w:tc>
        <w:tc>
          <w:tcPr>
            <w:tcW w:w="5253" w:type="dxa"/>
            <w:gridSpan w:val="2"/>
            <w:tcBorders>
              <w:top w:val="single" w:color="000000" w:sz="4" w:space="0"/>
              <w:left w:val="nil"/>
              <w:bottom w:val="single" w:color="000000" w:sz="4" w:space="0"/>
              <w:right w:val="single" w:color="000000" w:sz="4" w:space="0"/>
            </w:tcBorders>
            <w:vAlign w:val="center"/>
          </w:tcPr>
          <w:p w14:paraId="11A11D38">
            <w:pPr>
              <w:spacing w:line="440" w:lineRule="exact"/>
              <w:ind w:firstLine="0" w:firstLineChars="0"/>
              <w:rPr>
                <w:rFonts w:hint="eastAsia" w:hAnsi="Times New Roman"/>
                <w:sz w:val="24"/>
                <w:szCs w:val="24"/>
              </w:rPr>
            </w:pPr>
            <w:r>
              <w:rPr>
                <w:rFonts w:hint="eastAsia" w:hAnsi="Times New Roman"/>
                <w:sz w:val="24"/>
                <w:szCs w:val="24"/>
              </w:rPr>
              <w:t>是否在合同约定的开工日期满6个月后，因企业自身原因未开工建设；虽已开工但无实质性进展的；建设速度过慢，超过规定时间一年</w:t>
            </w:r>
          </w:p>
        </w:tc>
        <w:tc>
          <w:tcPr>
            <w:tcW w:w="1198" w:type="dxa"/>
            <w:tcBorders>
              <w:top w:val="single" w:color="000000" w:sz="4" w:space="0"/>
              <w:left w:val="nil"/>
              <w:bottom w:val="single" w:color="000000" w:sz="4" w:space="0"/>
              <w:right w:val="single" w:color="000000" w:sz="4" w:space="0"/>
            </w:tcBorders>
            <w:noWrap/>
            <w:vAlign w:val="center"/>
          </w:tcPr>
          <w:p w14:paraId="597913C1">
            <w:pPr>
              <w:spacing w:line="440" w:lineRule="exact"/>
              <w:ind w:firstLine="0" w:firstLineChars="0"/>
              <w:rPr>
                <w:rFonts w:hint="eastAsia" w:hAnsi="Times New Roman"/>
                <w:sz w:val="24"/>
                <w:szCs w:val="24"/>
              </w:rPr>
            </w:pPr>
          </w:p>
        </w:tc>
        <w:tc>
          <w:tcPr>
            <w:tcW w:w="912" w:type="dxa"/>
            <w:tcBorders>
              <w:top w:val="single" w:color="000000" w:sz="4" w:space="0"/>
              <w:left w:val="nil"/>
              <w:bottom w:val="single" w:color="000000" w:sz="4" w:space="0"/>
              <w:right w:val="single" w:color="000000" w:sz="4" w:space="0"/>
            </w:tcBorders>
            <w:noWrap/>
            <w:vAlign w:val="center"/>
          </w:tcPr>
          <w:p w14:paraId="6431AC85">
            <w:pPr>
              <w:spacing w:line="440" w:lineRule="exact"/>
              <w:ind w:firstLine="0" w:firstLineChars="0"/>
              <w:rPr>
                <w:rFonts w:hint="eastAsia" w:hAnsi="Times New Roman"/>
                <w:sz w:val="24"/>
                <w:szCs w:val="24"/>
              </w:rPr>
            </w:pPr>
          </w:p>
        </w:tc>
      </w:tr>
      <w:tr w14:paraId="44ED3373">
        <w:tblPrEx>
          <w:tblCellMar>
            <w:top w:w="0" w:type="dxa"/>
            <w:left w:w="108" w:type="dxa"/>
            <w:bottom w:w="0" w:type="dxa"/>
            <w:right w:w="108" w:type="dxa"/>
          </w:tblCellMar>
        </w:tblPrEx>
        <w:trPr>
          <w:trHeight w:val="1190" w:hRule="atLeast"/>
        </w:trPr>
        <w:tc>
          <w:tcPr>
            <w:tcW w:w="556" w:type="dxa"/>
            <w:vMerge w:val="continue"/>
            <w:tcBorders>
              <w:top w:val="single" w:color="auto" w:sz="4" w:space="0"/>
              <w:left w:val="single" w:color="auto" w:sz="4" w:space="0"/>
              <w:bottom w:val="single" w:color="auto" w:sz="4" w:space="0"/>
              <w:right w:val="single" w:color="auto" w:sz="4" w:space="0"/>
            </w:tcBorders>
            <w:vAlign w:val="center"/>
          </w:tcPr>
          <w:p w14:paraId="0009F898">
            <w:pPr>
              <w:spacing w:line="440" w:lineRule="exact"/>
              <w:ind w:firstLine="0" w:firstLineChars="0"/>
              <w:rPr>
                <w:rFonts w:hint="eastAsia" w:hAnsi="Times New Roman"/>
                <w:sz w:val="24"/>
                <w:szCs w:val="24"/>
              </w:rPr>
            </w:pPr>
          </w:p>
        </w:tc>
        <w:tc>
          <w:tcPr>
            <w:tcW w:w="742" w:type="dxa"/>
            <w:tcBorders>
              <w:top w:val="single" w:color="000000" w:sz="4" w:space="0"/>
              <w:left w:val="nil"/>
              <w:bottom w:val="single" w:color="000000" w:sz="4" w:space="0"/>
              <w:right w:val="single" w:color="000000" w:sz="4" w:space="0"/>
            </w:tcBorders>
            <w:noWrap/>
            <w:vAlign w:val="center"/>
          </w:tcPr>
          <w:p w14:paraId="14BB3A9F">
            <w:pPr>
              <w:spacing w:line="440" w:lineRule="exact"/>
              <w:ind w:firstLine="0" w:firstLineChars="0"/>
              <w:rPr>
                <w:rFonts w:hint="eastAsia" w:hAnsi="Times New Roman"/>
                <w:sz w:val="24"/>
                <w:szCs w:val="24"/>
              </w:rPr>
            </w:pPr>
            <w:r>
              <w:rPr>
                <w:rFonts w:hint="eastAsia" w:hAnsi="Times New Roman"/>
                <w:sz w:val="24"/>
                <w:szCs w:val="24"/>
              </w:rPr>
              <w:t>9</w:t>
            </w:r>
          </w:p>
        </w:tc>
        <w:tc>
          <w:tcPr>
            <w:tcW w:w="5253" w:type="dxa"/>
            <w:gridSpan w:val="2"/>
            <w:tcBorders>
              <w:top w:val="single" w:color="000000" w:sz="4" w:space="0"/>
              <w:left w:val="nil"/>
              <w:bottom w:val="single" w:color="000000" w:sz="4" w:space="0"/>
              <w:right w:val="single" w:color="000000" w:sz="4" w:space="0"/>
            </w:tcBorders>
            <w:vAlign w:val="center"/>
          </w:tcPr>
          <w:p w14:paraId="5CBDB2A1">
            <w:pPr>
              <w:spacing w:line="440" w:lineRule="exact"/>
              <w:ind w:firstLine="0" w:firstLineChars="0"/>
              <w:rPr>
                <w:rFonts w:hint="eastAsia" w:hAnsi="Times New Roman"/>
                <w:sz w:val="24"/>
                <w:szCs w:val="24"/>
              </w:rPr>
            </w:pPr>
            <w:r>
              <w:rPr>
                <w:rFonts w:hint="eastAsia" w:hAnsi="Times New Roman"/>
                <w:sz w:val="24"/>
                <w:szCs w:val="24"/>
              </w:rPr>
              <w:t>是否在企业建成投产后，投资强度达不到园区规定，未经批准中止建设满1年的；闲置率超过40%的</w:t>
            </w:r>
          </w:p>
        </w:tc>
        <w:tc>
          <w:tcPr>
            <w:tcW w:w="1198" w:type="dxa"/>
            <w:tcBorders>
              <w:top w:val="single" w:color="000000" w:sz="4" w:space="0"/>
              <w:left w:val="nil"/>
              <w:bottom w:val="single" w:color="000000" w:sz="4" w:space="0"/>
              <w:right w:val="single" w:color="000000" w:sz="4" w:space="0"/>
            </w:tcBorders>
            <w:noWrap/>
            <w:vAlign w:val="center"/>
          </w:tcPr>
          <w:p w14:paraId="62C58848">
            <w:pPr>
              <w:spacing w:line="440" w:lineRule="exact"/>
              <w:ind w:firstLine="0" w:firstLineChars="0"/>
              <w:rPr>
                <w:rFonts w:hint="eastAsia" w:hAnsi="Times New Roman"/>
                <w:sz w:val="24"/>
                <w:szCs w:val="24"/>
              </w:rPr>
            </w:pPr>
          </w:p>
        </w:tc>
        <w:tc>
          <w:tcPr>
            <w:tcW w:w="912" w:type="dxa"/>
            <w:tcBorders>
              <w:top w:val="single" w:color="000000" w:sz="4" w:space="0"/>
              <w:left w:val="nil"/>
              <w:bottom w:val="single" w:color="000000" w:sz="4" w:space="0"/>
              <w:right w:val="single" w:color="000000" w:sz="4" w:space="0"/>
            </w:tcBorders>
            <w:noWrap/>
            <w:vAlign w:val="center"/>
          </w:tcPr>
          <w:p w14:paraId="2F51C766">
            <w:pPr>
              <w:spacing w:line="440" w:lineRule="exact"/>
              <w:ind w:firstLine="0" w:firstLineChars="0"/>
              <w:rPr>
                <w:rFonts w:hint="eastAsia" w:hAnsi="Times New Roman"/>
                <w:sz w:val="24"/>
                <w:szCs w:val="24"/>
              </w:rPr>
            </w:pPr>
          </w:p>
        </w:tc>
      </w:tr>
      <w:tr w14:paraId="21C76423">
        <w:trPr>
          <w:trHeight w:val="1165" w:hRule="atLeast"/>
        </w:trPr>
        <w:tc>
          <w:tcPr>
            <w:tcW w:w="556" w:type="dxa"/>
            <w:vMerge w:val="continue"/>
            <w:tcBorders>
              <w:top w:val="single" w:color="auto" w:sz="4" w:space="0"/>
              <w:left w:val="single" w:color="auto" w:sz="4" w:space="0"/>
              <w:bottom w:val="single" w:color="auto" w:sz="4" w:space="0"/>
              <w:right w:val="single" w:color="auto" w:sz="4" w:space="0"/>
            </w:tcBorders>
            <w:vAlign w:val="center"/>
          </w:tcPr>
          <w:p w14:paraId="21E442A5">
            <w:pPr>
              <w:spacing w:line="440" w:lineRule="exact"/>
              <w:ind w:firstLine="0" w:firstLineChars="0"/>
              <w:rPr>
                <w:rFonts w:hint="eastAsia" w:hAnsi="Times New Roman"/>
                <w:sz w:val="24"/>
                <w:szCs w:val="24"/>
              </w:rPr>
            </w:pPr>
          </w:p>
        </w:tc>
        <w:tc>
          <w:tcPr>
            <w:tcW w:w="742" w:type="dxa"/>
            <w:tcBorders>
              <w:top w:val="single" w:color="000000" w:sz="4" w:space="0"/>
              <w:left w:val="nil"/>
              <w:bottom w:val="single" w:color="000000" w:sz="4" w:space="0"/>
              <w:right w:val="single" w:color="000000" w:sz="4" w:space="0"/>
            </w:tcBorders>
            <w:noWrap/>
            <w:vAlign w:val="center"/>
          </w:tcPr>
          <w:p w14:paraId="32A44DCE">
            <w:pPr>
              <w:spacing w:line="440" w:lineRule="exact"/>
              <w:ind w:firstLine="0" w:firstLineChars="0"/>
              <w:rPr>
                <w:rFonts w:hint="eastAsia" w:hAnsi="Times New Roman"/>
                <w:sz w:val="24"/>
                <w:szCs w:val="24"/>
              </w:rPr>
            </w:pPr>
            <w:r>
              <w:rPr>
                <w:rFonts w:hint="eastAsia" w:hAnsi="Times New Roman"/>
                <w:sz w:val="24"/>
                <w:szCs w:val="24"/>
              </w:rPr>
              <w:t>10</w:t>
            </w:r>
          </w:p>
        </w:tc>
        <w:tc>
          <w:tcPr>
            <w:tcW w:w="5253" w:type="dxa"/>
            <w:gridSpan w:val="2"/>
            <w:tcBorders>
              <w:top w:val="single" w:color="000000" w:sz="4" w:space="0"/>
              <w:left w:val="nil"/>
              <w:bottom w:val="single" w:color="000000" w:sz="4" w:space="0"/>
              <w:right w:val="single" w:color="000000" w:sz="4" w:space="0"/>
            </w:tcBorders>
            <w:vAlign w:val="center"/>
          </w:tcPr>
          <w:p w14:paraId="33261374">
            <w:pPr>
              <w:spacing w:line="440" w:lineRule="exact"/>
              <w:ind w:firstLine="0" w:firstLineChars="0"/>
              <w:rPr>
                <w:rFonts w:hint="eastAsia" w:hAnsi="Times New Roman"/>
                <w:sz w:val="24"/>
                <w:szCs w:val="24"/>
              </w:rPr>
            </w:pPr>
            <w:r>
              <w:rPr>
                <w:rFonts w:hint="eastAsia" w:hAnsi="Times New Roman"/>
                <w:sz w:val="24"/>
                <w:szCs w:val="24"/>
              </w:rPr>
              <w:t>是否企业投产2年后，税收要求达不到化工园区新项目准入要求，或企业的产品经济效益差，连续亏损2年以上的</w:t>
            </w:r>
          </w:p>
        </w:tc>
        <w:tc>
          <w:tcPr>
            <w:tcW w:w="1198" w:type="dxa"/>
            <w:tcBorders>
              <w:top w:val="single" w:color="000000" w:sz="4" w:space="0"/>
              <w:left w:val="nil"/>
              <w:bottom w:val="single" w:color="000000" w:sz="4" w:space="0"/>
              <w:right w:val="single" w:color="000000" w:sz="4" w:space="0"/>
            </w:tcBorders>
            <w:noWrap/>
            <w:vAlign w:val="center"/>
          </w:tcPr>
          <w:p w14:paraId="6F8D91A4">
            <w:pPr>
              <w:spacing w:line="440" w:lineRule="exact"/>
              <w:ind w:firstLine="0" w:firstLineChars="0"/>
              <w:rPr>
                <w:rFonts w:hint="eastAsia" w:hAnsi="Times New Roman"/>
                <w:sz w:val="24"/>
                <w:szCs w:val="24"/>
              </w:rPr>
            </w:pPr>
          </w:p>
        </w:tc>
        <w:tc>
          <w:tcPr>
            <w:tcW w:w="912" w:type="dxa"/>
            <w:tcBorders>
              <w:top w:val="single" w:color="000000" w:sz="4" w:space="0"/>
              <w:left w:val="nil"/>
              <w:bottom w:val="single" w:color="000000" w:sz="4" w:space="0"/>
              <w:right w:val="single" w:color="000000" w:sz="4" w:space="0"/>
            </w:tcBorders>
            <w:noWrap/>
            <w:vAlign w:val="center"/>
          </w:tcPr>
          <w:p w14:paraId="2B18751A">
            <w:pPr>
              <w:spacing w:line="440" w:lineRule="exact"/>
              <w:ind w:firstLine="0" w:firstLineChars="0"/>
              <w:rPr>
                <w:rFonts w:hint="eastAsia" w:hAnsi="Times New Roman"/>
                <w:sz w:val="24"/>
                <w:szCs w:val="24"/>
              </w:rPr>
            </w:pPr>
          </w:p>
        </w:tc>
      </w:tr>
      <w:tr w14:paraId="484888F9">
        <w:tblPrEx>
          <w:tblCellMar>
            <w:top w:w="0" w:type="dxa"/>
            <w:left w:w="108" w:type="dxa"/>
            <w:bottom w:w="0" w:type="dxa"/>
            <w:right w:w="108" w:type="dxa"/>
          </w:tblCellMar>
        </w:tblPrEx>
        <w:trPr>
          <w:trHeight w:val="688" w:hRule="atLeast"/>
        </w:trPr>
        <w:tc>
          <w:tcPr>
            <w:tcW w:w="556" w:type="dxa"/>
            <w:vMerge w:val="continue"/>
            <w:tcBorders>
              <w:top w:val="single" w:color="auto" w:sz="4" w:space="0"/>
              <w:left w:val="single" w:color="auto" w:sz="4" w:space="0"/>
              <w:bottom w:val="single" w:color="auto" w:sz="4" w:space="0"/>
              <w:right w:val="single" w:color="auto" w:sz="4" w:space="0"/>
            </w:tcBorders>
            <w:vAlign w:val="center"/>
          </w:tcPr>
          <w:p w14:paraId="29483EEC">
            <w:pPr>
              <w:spacing w:line="440" w:lineRule="exact"/>
              <w:ind w:firstLine="0" w:firstLineChars="0"/>
              <w:rPr>
                <w:rFonts w:hint="eastAsia" w:hAnsi="Times New Roman"/>
                <w:sz w:val="24"/>
                <w:szCs w:val="24"/>
              </w:rPr>
            </w:pPr>
          </w:p>
        </w:tc>
        <w:tc>
          <w:tcPr>
            <w:tcW w:w="742" w:type="dxa"/>
            <w:tcBorders>
              <w:top w:val="single" w:color="000000" w:sz="4" w:space="0"/>
              <w:left w:val="nil"/>
              <w:bottom w:val="single" w:color="000000" w:sz="4" w:space="0"/>
              <w:right w:val="single" w:color="000000" w:sz="4" w:space="0"/>
            </w:tcBorders>
            <w:noWrap/>
            <w:vAlign w:val="center"/>
          </w:tcPr>
          <w:p w14:paraId="6C5DD820">
            <w:pPr>
              <w:spacing w:line="440" w:lineRule="exact"/>
              <w:ind w:firstLine="0" w:firstLineChars="0"/>
              <w:rPr>
                <w:rFonts w:hint="eastAsia" w:hAnsi="Times New Roman"/>
                <w:sz w:val="24"/>
                <w:szCs w:val="24"/>
              </w:rPr>
            </w:pPr>
            <w:r>
              <w:rPr>
                <w:rFonts w:hint="eastAsia" w:hAnsi="Times New Roman"/>
                <w:sz w:val="24"/>
                <w:szCs w:val="24"/>
              </w:rPr>
              <w:t>11</w:t>
            </w:r>
          </w:p>
        </w:tc>
        <w:tc>
          <w:tcPr>
            <w:tcW w:w="5253" w:type="dxa"/>
            <w:gridSpan w:val="2"/>
            <w:tcBorders>
              <w:top w:val="single" w:color="000000" w:sz="4" w:space="0"/>
              <w:left w:val="nil"/>
              <w:bottom w:val="single" w:color="000000" w:sz="4" w:space="0"/>
              <w:right w:val="single" w:color="000000" w:sz="4" w:space="0"/>
            </w:tcBorders>
            <w:vAlign w:val="center"/>
          </w:tcPr>
          <w:p w14:paraId="2F06A78C">
            <w:pPr>
              <w:spacing w:line="440" w:lineRule="exact"/>
              <w:ind w:firstLine="0" w:firstLineChars="0"/>
              <w:rPr>
                <w:rFonts w:hint="eastAsia" w:hAnsi="Times New Roman"/>
                <w:sz w:val="24"/>
                <w:szCs w:val="24"/>
              </w:rPr>
            </w:pPr>
            <w:r>
              <w:rPr>
                <w:rFonts w:hint="eastAsia" w:hAnsi="Times New Roman"/>
                <w:sz w:val="24"/>
                <w:szCs w:val="24"/>
              </w:rPr>
              <w:t>是否产品低端、低效、高能耗、高污染，生产过程危险程度、工艺和装备技术落后、自动化水平低、不符合国家、省、市相关产业政策和要求的</w:t>
            </w:r>
          </w:p>
        </w:tc>
        <w:tc>
          <w:tcPr>
            <w:tcW w:w="1198" w:type="dxa"/>
            <w:tcBorders>
              <w:top w:val="single" w:color="000000" w:sz="4" w:space="0"/>
              <w:left w:val="nil"/>
              <w:bottom w:val="single" w:color="000000" w:sz="4" w:space="0"/>
              <w:right w:val="single" w:color="000000" w:sz="4" w:space="0"/>
            </w:tcBorders>
            <w:noWrap/>
            <w:vAlign w:val="center"/>
          </w:tcPr>
          <w:p w14:paraId="09543D2B">
            <w:pPr>
              <w:spacing w:line="440" w:lineRule="exact"/>
              <w:ind w:firstLine="0" w:firstLineChars="0"/>
              <w:rPr>
                <w:rFonts w:hint="eastAsia" w:hAnsi="Times New Roman"/>
                <w:sz w:val="24"/>
                <w:szCs w:val="24"/>
              </w:rPr>
            </w:pPr>
          </w:p>
        </w:tc>
        <w:tc>
          <w:tcPr>
            <w:tcW w:w="912" w:type="dxa"/>
            <w:tcBorders>
              <w:top w:val="single" w:color="000000" w:sz="4" w:space="0"/>
              <w:left w:val="nil"/>
              <w:bottom w:val="single" w:color="000000" w:sz="4" w:space="0"/>
              <w:right w:val="single" w:color="000000" w:sz="4" w:space="0"/>
            </w:tcBorders>
            <w:noWrap/>
            <w:vAlign w:val="center"/>
          </w:tcPr>
          <w:p w14:paraId="170D88FC">
            <w:pPr>
              <w:spacing w:line="440" w:lineRule="exact"/>
              <w:ind w:firstLine="0" w:firstLineChars="0"/>
              <w:rPr>
                <w:rFonts w:hint="eastAsia" w:hAnsi="Times New Roman"/>
                <w:sz w:val="24"/>
                <w:szCs w:val="24"/>
              </w:rPr>
            </w:pPr>
          </w:p>
        </w:tc>
      </w:tr>
      <w:tr w14:paraId="61428FE1">
        <w:trPr>
          <w:trHeight w:val="987" w:hRule="atLeast"/>
        </w:trPr>
        <w:tc>
          <w:tcPr>
            <w:tcW w:w="556" w:type="dxa"/>
            <w:vMerge w:val="continue"/>
            <w:tcBorders>
              <w:top w:val="nil"/>
              <w:left w:val="single" w:color="000000" w:sz="4" w:space="0"/>
              <w:bottom w:val="nil"/>
              <w:right w:val="single" w:color="000000" w:sz="4" w:space="0"/>
            </w:tcBorders>
            <w:vAlign w:val="center"/>
          </w:tcPr>
          <w:p w14:paraId="27CFB176">
            <w:pPr>
              <w:spacing w:line="440" w:lineRule="exact"/>
              <w:ind w:firstLine="0" w:firstLineChars="0"/>
              <w:rPr>
                <w:rFonts w:hint="eastAsia" w:hAnsi="Times New Roman"/>
                <w:sz w:val="24"/>
                <w:szCs w:val="24"/>
              </w:rPr>
            </w:pPr>
          </w:p>
        </w:tc>
        <w:tc>
          <w:tcPr>
            <w:tcW w:w="742" w:type="dxa"/>
            <w:tcBorders>
              <w:top w:val="single" w:color="000000" w:sz="4" w:space="0"/>
              <w:left w:val="nil"/>
              <w:bottom w:val="single" w:color="000000" w:sz="4" w:space="0"/>
              <w:right w:val="single" w:color="000000" w:sz="4" w:space="0"/>
            </w:tcBorders>
            <w:noWrap/>
            <w:vAlign w:val="center"/>
          </w:tcPr>
          <w:p w14:paraId="7D5BA99F">
            <w:pPr>
              <w:spacing w:line="440" w:lineRule="exact"/>
              <w:ind w:firstLine="0" w:firstLineChars="0"/>
              <w:rPr>
                <w:rFonts w:hint="eastAsia" w:hAnsi="Times New Roman"/>
                <w:sz w:val="24"/>
                <w:szCs w:val="24"/>
              </w:rPr>
            </w:pPr>
            <w:r>
              <w:rPr>
                <w:rFonts w:hint="eastAsia" w:hAnsi="Times New Roman"/>
                <w:sz w:val="24"/>
                <w:szCs w:val="24"/>
              </w:rPr>
              <w:t>12</w:t>
            </w:r>
          </w:p>
        </w:tc>
        <w:tc>
          <w:tcPr>
            <w:tcW w:w="5253" w:type="dxa"/>
            <w:gridSpan w:val="2"/>
            <w:tcBorders>
              <w:top w:val="single" w:color="000000" w:sz="4" w:space="0"/>
              <w:left w:val="nil"/>
              <w:bottom w:val="single" w:color="000000" w:sz="4" w:space="0"/>
              <w:right w:val="single" w:color="000000" w:sz="4" w:space="0"/>
            </w:tcBorders>
            <w:vAlign w:val="center"/>
          </w:tcPr>
          <w:p w14:paraId="71DD691E">
            <w:pPr>
              <w:spacing w:line="440" w:lineRule="exact"/>
              <w:ind w:firstLine="0" w:firstLineChars="0"/>
              <w:rPr>
                <w:rFonts w:hint="eastAsia" w:hAnsi="Times New Roman"/>
                <w:sz w:val="24"/>
                <w:szCs w:val="24"/>
              </w:rPr>
            </w:pPr>
            <w:r>
              <w:rPr>
                <w:rFonts w:hint="eastAsia" w:hAnsi="Times New Roman"/>
                <w:sz w:val="24"/>
                <w:szCs w:val="24"/>
              </w:rPr>
              <w:t>是否环保、安全、消防等问题突出，整改难度大，经停产整改后仍不具备环保、安全生产条件的</w:t>
            </w:r>
          </w:p>
        </w:tc>
        <w:tc>
          <w:tcPr>
            <w:tcW w:w="1198" w:type="dxa"/>
            <w:tcBorders>
              <w:top w:val="single" w:color="000000" w:sz="4" w:space="0"/>
              <w:left w:val="nil"/>
              <w:bottom w:val="single" w:color="000000" w:sz="4" w:space="0"/>
              <w:right w:val="single" w:color="000000" w:sz="4" w:space="0"/>
            </w:tcBorders>
            <w:noWrap/>
            <w:vAlign w:val="center"/>
          </w:tcPr>
          <w:p w14:paraId="6604B3BB">
            <w:pPr>
              <w:spacing w:line="440" w:lineRule="exact"/>
              <w:ind w:firstLine="0" w:firstLineChars="0"/>
              <w:rPr>
                <w:rFonts w:hint="eastAsia" w:hAnsi="Times New Roman"/>
                <w:sz w:val="24"/>
                <w:szCs w:val="24"/>
              </w:rPr>
            </w:pPr>
          </w:p>
        </w:tc>
        <w:tc>
          <w:tcPr>
            <w:tcW w:w="912" w:type="dxa"/>
            <w:tcBorders>
              <w:top w:val="single" w:color="000000" w:sz="4" w:space="0"/>
              <w:left w:val="nil"/>
              <w:bottom w:val="single" w:color="000000" w:sz="4" w:space="0"/>
              <w:right w:val="single" w:color="000000" w:sz="4" w:space="0"/>
            </w:tcBorders>
            <w:noWrap/>
            <w:vAlign w:val="center"/>
          </w:tcPr>
          <w:p w14:paraId="60B83529">
            <w:pPr>
              <w:spacing w:line="440" w:lineRule="exact"/>
              <w:ind w:firstLine="0" w:firstLineChars="0"/>
              <w:rPr>
                <w:rFonts w:hint="eastAsia" w:hAnsi="Times New Roman"/>
                <w:sz w:val="24"/>
                <w:szCs w:val="24"/>
              </w:rPr>
            </w:pPr>
          </w:p>
        </w:tc>
      </w:tr>
      <w:tr w14:paraId="684CDC36">
        <w:tblPrEx>
          <w:tblCellMar>
            <w:top w:w="0" w:type="dxa"/>
            <w:left w:w="108" w:type="dxa"/>
            <w:bottom w:w="0" w:type="dxa"/>
            <w:right w:w="108" w:type="dxa"/>
          </w:tblCellMar>
        </w:tblPrEx>
        <w:trPr>
          <w:trHeight w:val="900" w:hRule="atLeast"/>
        </w:trPr>
        <w:tc>
          <w:tcPr>
            <w:tcW w:w="556" w:type="dxa"/>
            <w:vMerge w:val="continue"/>
            <w:tcBorders>
              <w:top w:val="nil"/>
              <w:left w:val="single" w:color="000000" w:sz="4" w:space="0"/>
              <w:bottom w:val="nil"/>
              <w:right w:val="single" w:color="000000" w:sz="4" w:space="0"/>
            </w:tcBorders>
            <w:vAlign w:val="center"/>
          </w:tcPr>
          <w:p w14:paraId="6800ABB5">
            <w:pPr>
              <w:spacing w:line="440" w:lineRule="exact"/>
              <w:ind w:firstLine="0" w:firstLineChars="0"/>
              <w:rPr>
                <w:rFonts w:hint="eastAsia" w:hAnsi="Times New Roman"/>
                <w:sz w:val="24"/>
                <w:szCs w:val="24"/>
              </w:rPr>
            </w:pPr>
          </w:p>
        </w:tc>
        <w:tc>
          <w:tcPr>
            <w:tcW w:w="742" w:type="dxa"/>
            <w:tcBorders>
              <w:top w:val="single" w:color="000000" w:sz="4" w:space="0"/>
              <w:left w:val="nil"/>
              <w:bottom w:val="single" w:color="000000" w:sz="4" w:space="0"/>
              <w:right w:val="single" w:color="000000" w:sz="4" w:space="0"/>
            </w:tcBorders>
            <w:noWrap/>
            <w:vAlign w:val="center"/>
          </w:tcPr>
          <w:p w14:paraId="620388EC">
            <w:pPr>
              <w:spacing w:line="440" w:lineRule="exact"/>
              <w:ind w:firstLine="0" w:firstLineChars="0"/>
              <w:rPr>
                <w:rFonts w:hint="eastAsia" w:hAnsi="Times New Roman"/>
                <w:sz w:val="24"/>
                <w:szCs w:val="24"/>
              </w:rPr>
            </w:pPr>
            <w:r>
              <w:rPr>
                <w:rFonts w:hint="eastAsia" w:hAnsi="Times New Roman"/>
                <w:sz w:val="24"/>
                <w:szCs w:val="24"/>
              </w:rPr>
              <w:t>13</w:t>
            </w:r>
          </w:p>
        </w:tc>
        <w:tc>
          <w:tcPr>
            <w:tcW w:w="5253" w:type="dxa"/>
            <w:gridSpan w:val="2"/>
            <w:tcBorders>
              <w:top w:val="single" w:color="000000" w:sz="4" w:space="0"/>
              <w:left w:val="nil"/>
              <w:bottom w:val="single" w:color="000000" w:sz="4" w:space="0"/>
              <w:right w:val="single" w:color="000000" w:sz="4" w:space="0"/>
            </w:tcBorders>
            <w:vAlign w:val="center"/>
          </w:tcPr>
          <w:p w14:paraId="77EB3BDB">
            <w:pPr>
              <w:spacing w:line="440" w:lineRule="exact"/>
              <w:ind w:firstLine="0" w:firstLineChars="0"/>
              <w:rPr>
                <w:rFonts w:hint="eastAsia" w:hAnsi="Times New Roman"/>
                <w:sz w:val="24"/>
                <w:szCs w:val="24"/>
              </w:rPr>
            </w:pPr>
            <w:r>
              <w:rPr>
                <w:rFonts w:hint="eastAsia" w:hAnsi="Times New Roman"/>
                <w:sz w:val="24"/>
                <w:szCs w:val="24"/>
              </w:rPr>
              <w:t>是否发生环境污染、安全生产事故或从事违法经营活动被查处，造成重大社会不良影响的</w:t>
            </w:r>
          </w:p>
        </w:tc>
        <w:tc>
          <w:tcPr>
            <w:tcW w:w="1198" w:type="dxa"/>
            <w:tcBorders>
              <w:top w:val="single" w:color="000000" w:sz="4" w:space="0"/>
              <w:left w:val="nil"/>
              <w:bottom w:val="single" w:color="000000" w:sz="4" w:space="0"/>
              <w:right w:val="single" w:color="000000" w:sz="4" w:space="0"/>
            </w:tcBorders>
            <w:noWrap/>
            <w:vAlign w:val="center"/>
          </w:tcPr>
          <w:p w14:paraId="69A1BE05">
            <w:pPr>
              <w:spacing w:line="440" w:lineRule="exact"/>
              <w:ind w:firstLine="0" w:firstLineChars="0"/>
              <w:rPr>
                <w:rFonts w:hint="eastAsia" w:hAnsi="Times New Roman"/>
                <w:sz w:val="24"/>
                <w:szCs w:val="24"/>
              </w:rPr>
            </w:pPr>
          </w:p>
        </w:tc>
        <w:tc>
          <w:tcPr>
            <w:tcW w:w="912" w:type="dxa"/>
            <w:tcBorders>
              <w:top w:val="single" w:color="000000" w:sz="4" w:space="0"/>
              <w:left w:val="nil"/>
              <w:bottom w:val="single" w:color="000000" w:sz="4" w:space="0"/>
              <w:right w:val="single" w:color="000000" w:sz="4" w:space="0"/>
            </w:tcBorders>
            <w:noWrap/>
            <w:vAlign w:val="center"/>
          </w:tcPr>
          <w:p w14:paraId="7B3F3C5C">
            <w:pPr>
              <w:spacing w:line="440" w:lineRule="exact"/>
              <w:ind w:firstLine="0" w:firstLineChars="0"/>
              <w:rPr>
                <w:rFonts w:hint="eastAsia" w:hAnsi="Times New Roman"/>
                <w:sz w:val="24"/>
                <w:szCs w:val="24"/>
              </w:rPr>
            </w:pPr>
          </w:p>
        </w:tc>
      </w:tr>
      <w:tr w14:paraId="17307812">
        <w:tblPrEx>
          <w:tblCellMar>
            <w:top w:w="0" w:type="dxa"/>
            <w:left w:w="108" w:type="dxa"/>
            <w:bottom w:w="0" w:type="dxa"/>
            <w:right w:w="108" w:type="dxa"/>
          </w:tblCellMar>
        </w:tblPrEx>
        <w:trPr>
          <w:trHeight w:val="900" w:hRule="atLeast"/>
        </w:trPr>
        <w:tc>
          <w:tcPr>
            <w:tcW w:w="556" w:type="dxa"/>
            <w:vMerge w:val="continue"/>
            <w:tcBorders>
              <w:top w:val="nil"/>
              <w:left w:val="single" w:color="000000" w:sz="4" w:space="0"/>
              <w:bottom w:val="nil"/>
              <w:right w:val="single" w:color="000000" w:sz="4" w:space="0"/>
            </w:tcBorders>
            <w:vAlign w:val="center"/>
          </w:tcPr>
          <w:p w14:paraId="172CE715">
            <w:pPr>
              <w:spacing w:line="440" w:lineRule="exact"/>
              <w:ind w:firstLine="0" w:firstLineChars="0"/>
              <w:rPr>
                <w:rFonts w:hint="eastAsia" w:hAnsi="Times New Roman"/>
                <w:sz w:val="24"/>
                <w:szCs w:val="24"/>
              </w:rPr>
            </w:pPr>
          </w:p>
        </w:tc>
        <w:tc>
          <w:tcPr>
            <w:tcW w:w="742" w:type="dxa"/>
            <w:tcBorders>
              <w:top w:val="single" w:color="000000" w:sz="4" w:space="0"/>
              <w:left w:val="nil"/>
              <w:bottom w:val="single" w:color="000000" w:sz="4" w:space="0"/>
              <w:right w:val="single" w:color="000000" w:sz="4" w:space="0"/>
            </w:tcBorders>
            <w:noWrap/>
            <w:vAlign w:val="center"/>
          </w:tcPr>
          <w:p w14:paraId="004B14F0">
            <w:pPr>
              <w:spacing w:line="440" w:lineRule="exact"/>
              <w:ind w:firstLine="0" w:firstLineChars="0"/>
              <w:rPr>
                <w:rFonts w:hint="eastAsia" w:hAnsi="Times New Roman"/>
                <w:sz w:val="24"/>
                <w:szCs w:val="24"/>
              </w:rPr>
            </w:pPr>
            <w:r>
              <w:rPr>
                <w:rFonts w:hint="eastAsia" w:hAnsi="Times New Roman"/>
                <w:sz w:val="24"/>
                <w:szCs w:val="24"/>
              </w:rPr>
              <w:t>14</w:t>
            </w:r>
          </w:p>
        </w:tc>
        <w:tc>
          <w:tcPr>
            <w:tcW w:w="5253" w:type="dxa"/>
            <w:gridSpan w:val="2"/>
            <w:tcBorders>
              <w:top w:val="single" w:color="000000" w:sz="4" w:space="0"/>
              <w:left w:val="nil"/>
              <w:bottom w:val="single" w:color="000000" w:sz="4" w:space="0"/>
              <w:right w:val="single" w:color="000000" w:sz="4" w:space="0"/>
            </w:tcBorders>
            <w:vAlign w:val="center"/>
          </w:tcPr>
          <w:p w14:paraId="13C92988">
            <w:pPr>
              <w:spacing w:line="440" w:lineRule="exact"/>
              <w:ind w:firstLine="0" w:firstLineChars="0"/>
              <w:rPr>
                <w:rFonts w:hint="eastAsia" w:hAnsi="Times New Roman"/>
                <w:sz w:val="24"/>
                <w:szCs w:val="24"/>
              </w:rPr>
            </w:pPr>
            <w:r>
              <w:rPr>
                <w:rFonts w:hint="eastAsia" w:hAnsi="Times New Roman"/>
                <w:sz w:val="24"/>
                <w:szCs w:val="24"/>
              </w:rPr>
              <w:t>是否因自身原因陷入困境的“僵尸”企业，整改拖拉、信心不足，严重影响化工园区高质量发展</w:t>
            </w:r>
          </w:p>
        </w:tc>
        <w:tc>
          <w:tcPr>
            <w:tcW w:w="1198" w:type="dxa"/>
            <w:tcBorders>
              <w:top w:val="single" w:color="000000" w:sz="4" w:space="0"/>
              <w:left w:val="nil"/>
              <w:bottom w:val="single" w:color="000000" w:sz="4" w:space="0"/>
              <w:right w:val="single" w:color="000000" w:sz="4" w:space="0"/>
            </w:tcBorders>
            <w:noWrap/>
            <w:vAlign w:val="center"/>
          </w:tcPr>
          <w:p w14:paraId="654904D2">
            <w:pPr>
              <w:spacing w:line="440" w:lineRule="exact"/>
              <w:ind w:firstLine="0" w:firstLineChars="0"/>
              <w:rPr>
                <w:rFonts w:hint="eastAsia" w:hAnsi="Times New Roman"/>
                <w:sz w:val="24"/>
                <w:szCs w:val="24"/>
              </w:rPr>
            </w:pPr>
          </w:p>
        </w:tc>
        <w:tc>
          <w:tcPr>
            <w:tcW w:w="912" w:type="dxa"/>
            <w:tcBorders>
              <w:top w:val="single" w:color="000000" w:sz="4" w:space="0"/>
              <w:left w:val="nil"/>
              <w:bottom w:val="single" w:color="000000" w:sz="4" w:space="0"/>
              <w:right w:val="single" w:color="000000" w:sz="4" w:space="0"/>
            </w:tcBorders>
            <w:noWrap/>
            <w:vAlign w:val="center"/>
          </w:tcPr>
          <w:p w14:paraId="5AA6D13E">
            <w:pPr>
              <w:spacing w:line="440" w:lineRule="exact"/>
              <w:ind w:firstLine="0" w:firstLineChars="0"/>
              <w:rPr>
                <w:rFonts w:hint="eastAsia" w:hAnsi="Times New Roman"/>
                <w:sz w:val="24"/>
                <w:szCs w:val="24"/>
              </w:rPr>
            </w:pPr>
          </w:p>
        </w:tc>
      </w:tr>
      <w:tr w14:paraId="1F912851">
        <w:trPr>
          <w:trHeight w:val="865" w:hRule="atLeast"/>
        </w:trPr>
        <w:tc>
          <w:tcPr>
            <w:tcW w:w="556" w:type="dxa"/>
            <w:vMerge w:val="continue"/>
            <w:tcBorders>
              <w:top w:val="nil"/>
              <w:left w:val="single" w:color="000000" w:sz="4" w:space="0"/>
              <w:bottom w:val="nil"/>
              <w:right w:val="single" w:color="000000" w:sz="4" w:space="0"/>
            </w:tcBorders>
            <w:vAlign w:val="center"/>
          </w:tcPr>
          <w:p w14:paraId="169761F6">
            <w:pPr>
              <w:spacing w:line="440" w:lineRule="exact"/>
              <w:ind w:firstLine="0" w:firstLineChars="0"/>
              <w:rPr>
                <w:rFonts w:hint="eastAsia" w:hAnsi="Times New Roman"/>
                <w:sz w:val="24"/>
                <w:szCs w:val="24"/>
              </w:rPr>
            </w:pPr>
          </w:p>
        </w:tc>
        <w:tc>
          <w:tcPr>
            <w:tcW w:w="742" w:type="dxa"/>
            <w:tcBorders>
              <w:top w:val="single" w:color="000000" w:sz="4" w:space="0"/>
              <w:left w:val="nil"/>
              <w:bottom w:val="single" w:color="000000" w:sz="4" w:space="0"/>
              <w:right w:val="single" w:color="000000" w:sz="4" w:space="0"/>
            </w:tcBorders>
            <w:noWrap/>
            <w:vAlign w:val="center"/>
          </w:tcPr>
          <w:p w14:paraId="32C77966">
            <w:pPr>
              <w:spacing w:line="440" w:lineRule="exact"/>
              <w:ind w:firstLine="0" w:firstLineChars="0"/>
              <w:rPr>
                <w:rFonts w:hint="eastAsia" w:hAnsi="Times New Roman"/>
                <w:sz w:val="24"/>
                <w:szCs w:val="24"/>
              </w:rPr>
            </w:pPr>
            <w:r>
              <w:rPr>
                <w:rFonts w:hint="eastAsia" w:hAnsi="Times New Roman"/>
                <w:sz w:val="24"/>
                <w:szCs w:val="24"/>
              </w:rPr>
              <w:t>16</w:t>
            </w:r>
          </w:p>
        </w:tc>
        <w:tc>
          <w:tcPr>
            <w:tcW w:w="5253" w:type="dxa"/>
            <w:gridSpan w:val="2"/>
            <w:tcBorders>
              <w:top w:val="single" w:color="000000" w:sz="4" w:space="0"/>
              <w:left w:val="nil"/>
              <w:bottom w:val="single" w:color="000000" w:sz="4" w:space="0"/>
              <w:right w:val="single" w:color="000000" w:sz="4" w:space="0"/>
            </w:tcBorders>
            <w:vAlign w:val="center"/>
          </w:tcPr>
          <w:p w14:paraId="006F9BD6">
            <w:pPr>
              <w:spacing w:line="440" w:lineRule="exact"/>
              <w:ind w:firstLine="0" w:firstLineChars="0"/>
              <w:rPr>
                <w:rFonts w:hint="eastAsia" w:hAnsi="Times New Roman"/>
                <w:sz w:val="24"/>
                <w:szCs w:val="24"/>
              </w:rPr>
            </w:pPr>
            <w:r>
              <w:rPr>
                <w:rFonts w:hint="eastAsia" w:hAnsi="Times New Roman"/>
                <w:sz w:val="24"/>
                <w:szCs w:val="24"/>
              </w:rPr>
              <w:t>是否符合省政府文件中其他相关条件需关闭的</w:t>
            </w:r>
          </w:p>
        </w:tc>
        <w:tc>
          <w:tcPr>
            <w:tcW w:w="1198" w:type="dxa"/>
            <w:tcBorders>
              <w:top w:val="single" w:color="000000" w:sz="4" w:space="0"/>
              <w:left w:val="nil"/>
              <w:bottom w:val="single" w:color="000000" w:sz="4" w:space="0"/>
              <w:right w:val="single" w:color="000000" w:sz="4" w:space="0"/>
            </w:tcBorders>
            <w:noWrap/>
            <w:vAlign w:val="center"/>
          </w:tcPr>
          <w:p w14:paraId="025F4485">
            <w:pPr>
              <w:spacing w:line="440" w:lineRule="exact"/>
              <w:ind w:firstLine="0" w:firstLineChars="0"/>
              <w:rPr>
                <w:rFonts w:hint="eastAsia" w:hAnsi="Times New Roman"/>
                <w:sz w:val="24"/>
                <w:szCs w:val="24"/>
              </w:rPr>
            </w:pPr>
          </w:p>
        </w:tc>
        <w:tc>
          <w:tcPr>
            <w:tcW w:w="912" w:type="dxa"/>
            <w:tcBorders>
              <w:top w:val="single" w:color="000000" w:sz="4" w:space="0"/>
              <w:left w:val="nil"/>
              <w:bottom w:val="single" w:color="000000" w:sz="4" w:space="0"/>
              <w:right w:val="single" w:color="000000" w:sz="4" w:space="0"/>
            </w:tcBorders>
            <w:noWrap/>
            <w:vAlign w:val="center"/>
          </w:tcPr>
          <w:p w14:paraId="3E6F2F28">
            <w:pPr>
              <w:spacing w:line="440" w:lineRule="exact"/>
              <w:ind w:firstLine="0" w:firstLineChars="0"/>
              <w:rPr>
                <w:rFonts w:hint="eastAsia" w:hAnsi="Times New Roman"/>
                <w:sz w:val="24"/>
                <w:szCs w:val="24"/>
              </w:rPr>
            </w:pPr>
          </w:p>
        </w:tc>
      </w:tr>
      <w:tr w14:paraId="54726060">
        <w:tblPrEx>
          <w:tblCellMar>
            <w:top w:w="0" w:type="dxa"/>
            <w:left w:w="108" w:type="dxa"/>
            <w:bottom w:w="0" w:type="dxa"/>
            <w:right w:w="108" w:type="dxa"/>
          </w:tblCellMar>
        </w:tblPrEx>
        <w:trPr>
          <w:trHeight w:val="736" w:hRule="atLeast"/>
        </w:trPr>
        <w:tc>
          <w:tcPr>
            <w:tcW w:w="8661" w:type="dxa"/>
            <w:gridSpan w:val="6"/>
            <w:tcBorders>
              <w:top w:val="single" w:color="000000" w:sz="4" w:space="0"/>
              <w:left w:val="single" w:color="000000" w:sz="4" w:space="0"/>
              <w:bottom w:val="single" w:color="000000" w:sz="4" w:space="0"/>
              <w:right w:val="single" w:color="000000" w:sz="4" w:space="0"/>
            </w:tcBorders>
            <w:noWrap/>
            <w:vAlign w:val="center"/>
          </w:tcPr>
          <w:p w14:paraId="6D997B19">
            <w:pPr>
              <w:spacing w:line="440" w:lineRule="exact"/>
              <w:ind w:firstLine="0" w:firstLineChars="0"/>
              <w:rPr>
                <w:rFonts w:hint="eastAsia" w:hAnsi="Times New Roman"/>
                <w:sz w:val="24"/>
                <w:szCs w:val="24"/>
              </w:rPr>
            </w:pPr>
            <w:r>
              <w:rPr>
                <w:rFonts w:hint="eastAsia" w:hAnsi="Times New Roman"/>
                <w:sz w:val="24"/>
                <w:szCs w:val="24"/>
              </w:rPr>
              <w:t>考核结论：</w:t>
            </w:r>
          </w:p>
        </w:tc>
      </w:tr>
      <w:tr w14:paraId="097F181B">
        <w:tblPrEx>
          <w:tblCellMar>
            <w:top w:w="0" w:type="dxa"/>
            <w:left w:w="108" w:type="dxa"/>
            <w:bottom w:w="0" w:type="dxa"/>
            <w:right w:w="108" w:type="dxa"/>
          </w:tblCellMar>
        </w:tblPrEx>
        <w:trPr>
          <w:trHeight w:val="270" w:hRule="atLeast"/>
        </w:trPr>
        <w:tc>
          <w:tcPr>
            <w:tcW w:w="4644" w:type="dxa"/>
            <w:gridSpan w:val="3"/>
            <w:tcBorders>
              <w:top w:val="single" w:color="000000" w:sz="4" w:space="0"/>
              <w:left w:val="single" w:color="000000" w:sz="4" w:space="0"/>
              <w:bottom w:val="single" w:color="000000" w:sz="4" w:space="0"/>
              <w:right w:val="single" w:color="000000" w:sz="4" w:space="0"/>
            </w:tcBorders>
          </w:tcPr>
          <w:p w14:paraId="5E168F7D">
            <w:pPr>
              <w:spacing w:line="440" w:lineRule="exact"/>
              <w:ind w:firstLine="0" w:firstLineChars="0"/>
              <w:rPr>
                <w:rFonts w:hint="eastAsia" w:hAnsi="Times New Roman"/>
                <w:sz w:val="24"/>
                <w:szCs w:val="24"/>
              </w:rPr>
            </w:pPr>
            <w:r>
              <w:rPr>
                <w:rFonts w:hint="eastAsia" w:hAnsi="Times New Roman"/>
                <w:sz w:val="24"/>
                <w:szCs w:val="24"/>
              </w:rPr>
              <w:t>考核单位及考核人（签字或盖章）：</w:t>
            </w:r>
          </w:p>
          <w:p w14:paraId="1C3A2023">
            <w:pPr>
              <w:spacing w:line="440" w:lineRule="exact"/>
              <w:ind w:firstLine="0" w:firstLineChars="0"/>
              <w:rPr>
                <w:rFonts w:hint="eastAsia" w:hAnsi="Times New Roman"/>
                <w:sz w:val="24"/>
                <w:szCs w:val="24"/>
              </w:rPr>
            </w:pPr>
          </w:p>
          <w:p w14:paraId="6B460124">
            <w:pPr>
              <w:spacing w:line="440" w:lineRule="exact"/>
              <w:ind w:firstLine="0" w:firstLineChars="0"/>
              <w:rPr>
                <w:rFonts w:hint="eastAsia" w:hAnsi="Times New Roman"/>
                <w:sz w:val="24"/>
                <w:szCs w:val="24"/>
              </w:rPr>
            </w:pPr>
          </w:p>
          <w:p w14:paraId="0918F764">
            <w:pPr>
              <w:spacing w:line="440" w:lineRule="exact"/>
              <w:ind w:firstLine="0" w:firstLineChars="0"/>
              <w:rPr>
                <w:rFonts w:hint="eastAsia" w:hAnsi="Times New Roman"/>
                <w:sz w:val="24"/>
                <w:szCs w:val="24"/>
              </w:rPr>
            </w:pPr>
            <w:r>
              <w:rPr>
                <w:rFonts w:hint="eastAsia" w:hAnsi="Times New Roman"/>
                <w:sz w:val="24"/>
                <w:szCs w:val="24"/>
              </w:rPr>
              <w:t xml:space="preserve">                考核时间：</w:t>
            </w:r>
          </w:p>
        </w:tc>
        <w:tc>
          <w:tcPr>
            <w:tcW w:w="4017" w:type="dxa"/>
            <w:gridSpan w:val="3"/>
            <w:tcBorders>
              <w:top w:val="single" w:color="000000" w:sz="4" w:space="0"/>
              <w:left w:val="nil"/>
              <w:bottom w:val="single" w:color="000000" w:sz="4" w:space="0"/>
              <w:right w:val="single" w:color="000000" w:sz="4" w:space="0"/>
            </w:tcBorders>
            <w:vAlign w:val="center"/>
          </w:tcPr>
          <w:p w14:paraId="025EB47F">
            <w:pPr>
              <w:spacing w:line="440" w:lineRule="exact"/>
              <w:ind w:firstLine="0" w:firstLineChars="0"/>
              <w:rPr>
                <w:rFonts w:hint="eastAsia" w:hAnsi="Times New Roman"/>
                <w:sz w:val="24"/>
                <w:szCs w:val="24"/>
              </w:rPr>
            </w:pPr>
            <w:r>
              <w:rPr>
                <w:rFonts w:hint="eastAsia" w:hAnsi="Times New Roman"/>
                <w:sz w:val="24"/>
                <w:szCs w:val="24"/>
              </w:rPr>
              <w:t>备注</w:t>
            </w:r>
          </w:p>
        </w:tc>
      </w:tr>
    </w:tbl>
    <w:p w14:paraId="6A01B677">
      <w:pPr>
        <w:ind w:firstLine="0" w:firstLineChars="0"/>
        <w:rPr>
          <w:rFonts w:hint="eastAsia" w:ascii="Times New Roman" w:hAnsi="Times New Roman"/>
        </w:rPr>
      </w:pPr>
    </w:p>
    <w:p w14:paraId="17752066">
      <w:pPr>
        <w:ind w:firstLine="0" w:firstLineChars="0"/>
        <w:rPr>
          <w:rFonts w:hint="eastAsia" w:ascii="Times New Roman" w:hAnsi="Times New Roman"/>
        </w:rPr>
      </w:pPr>
    </w:p>
    <w:p w14:paraId="60990254">
      <w:pPr>
        <w:ind w:firstLine="0" w:firstLineChars="0"/>
        <w:rPr>
          <w:rFonts w:ascii="Times New Roman" w:hAnsi="Times New Roman"/>
        </w:rPr>
      </w:pPr>
    </w:p>
    <w:p w14:paraId="7FC1849C">
      <w:pPr>
        <w:ind w:firstLine="640"/>
        <w:rPr>
          <w:rFonts w:ascii="Times New Roman" w:hAnsi="Times New Roman"/>
        </w:rPr>
      </w:pPr>
    </w:p>
    <w:p w14:paraId="0FCAC3BD">
      <w:pPr>
        <w:ind w:firstLine="640"/>
        <w:rPr>
          <w:rFonts w:ascii="Times New Roman" w:hAnsi="Times New Roman"/>
        </w:rPr>
        <w:sectPr>
          <w:pgSz w:w="11906" w:h="16838"/>
          <w:pgMar w:top="2098" w:right="1531" w:bottom="1984" w:left="1531" w:header="851" w:footer="1417" w:gutter="0"/>
          <w:cols w:space="720" w:num="1"/>
          <w:docGrid w:type="lines" w:linePitch="439" w:charSpace="0"/>
        </w:sectPr>
      </w:pPr>
    </w:p>
    <w:p w14:paraId="57435A3D">
      <w:pPr>
        <w:pStyle w:val="2"/>
        <w:spacing w:before="0" w:after="0" w:line="600" w:lineRule="exact"/>
        <w:rPr>
          <w:rFonts w:ascii="Times New Roman" w:hAnsi="Times New Roman"/>
        </w:rPr>
      </w:pPr>
      <w:bookmarkStart w:id="22" w:name="_Toc11291"/>
      <w:bookmarkStart w:id="23" w:name="_Toc28539"/>
      <w:r>
        <w:rPr>
          <w:rFonts w:ascii="Times New Roman" w:hAnsi="Times New Roman"/>
        </w:rPr>
        <w:t>第四章</w:t>
      </w:r>
      <w:r>
        <w:rPr>
          <w:rFonts w:hint="eastAsia" w:ascii="Times New Roman" w:hAnsi="Times New Roman"/>
          <w:lang w:val="en-US" w:eastAsia="zh-CN"/>
        </w:rPr>
        <w:t xml:space="preserve"> </w:t>
      </w:r>
      <w:r>
        <w:rPr>
          <w:rFonts w:ascii="Times New Roman" w:hAnsi="Times New Roman"/>
        </w:rPr>
        <w:t xml:space="preserve"> 建设项目安全“三同时”监管制度</w:t>
      </w:r>
      <w:bookmarkEnd w:id="22"/>
      <w:bookmarkEnd w:id="23"/>
    </w:p>
    <w:p w14:paraId="28C0B762">
      <w:pPr>
        <w:ind w:firstLine="640"/>
        <w:rPr>
          <w:rFonts w:hint="eastAsia"/>
        </w:rPr>
      </w:pPr>
    </w:p>
    <w:p w14:paraId="3EDD1872">
      <w:pPr>
        <w:pStyle w:val="3"/>
        <w:spacing w:line="600" w:lineRule="exact"/>
        <w:ind w:firstLine="640"/>
        <w:jc w:val="both"/>
        <w:rPr>
          <w:rFonts w:ascii="黑体" w:hAnsi="黑体" w:eastAsia="黑体"/>
          <w:b w:val="0"/>
          <w:bCs/>
          <w:sz w:val="32"/>
          <w:szCs w:val="21"/>
        </w:rPr>
      </w:pPr>
      <w:bookmarkStart w:id="24" w:name="_Toc16768"/>
      <w:r>
        <w:rPr>
          <w:rFonts w:ascii="黑体" w:hAnsi="黑体" w:eastAsia="黑体"/>
          <w:b w:val="0"/>
          <w:bCs/>
          <w:sz w:val="32"/>
          <w:szCs w:val="21"/>
        </w:rPr>
        <w:t>十</w:t>
      </w:r>
      <w:r>
        <w:rPr>
          <w:rFonts w:hint="eastAsia" w:ascii="黑体" w:hAnsi="黑体" w:eastAsia="黑体"/>
          <w:b w:val="0"/>
          <w:bCs/>
          <w:sz w:val="32"/>
          <w:szCs w:val="21"/>
        </w:rPr>
        <w:t>三</w:t>
      </w:r>
      <w:r>
        <w:rPr>
          <w:rFonts w:ascii="黑体" w:hAnsi="黑体" w:eastAsia="黑体"/>
          <w:b w:val="0"/>
          <w:bCs/>
          <w:sz w:val="32"/>
          <w:szCs w:val="21"/>
        </w:rPr>
        <w:t>、建设项目安全“三同时”监管制度</w:t>
      </w:r>
      <w:bookmarkEnd w:id="24"/>
    </w:p>
    <w:p w14:paraId="706063DC">
      <w:pPr>
        <w:pStyle w:val="4"/>
        <w:ind w:firstLine="643"/>
      </w:pPr>
      <w:r>
        <w:rPr>
          <w:rFonts w:hint="eastAsia"/>
        </w:rPr>
        <w:t>（一）</w:t>
      </w:r>
      <w:r>
        <w:t>目的</w:t>
      </w:r>
    </w:p>
    <w:p w14:paraId="63A7B443">
      <w:pPr>
        <w:ind w:firstLine="640"/>
        <w:rPr>
          <w:rFonts w:ascii="Times New Roman" w:hAnsi="Times New Roman"/>
        </w:rPr>
      </w:pPr>
      <w:r>
        <w:rPr>
          <w:rFonts w:ascii="Times New Roman" w:hAnsi="Times New Roman"/>
        </w:rPr>
        <w:t>为强化园区危险化学品建设项目安全风险防控，严格项目安全准入管理，加强项目安全决策咨询服务、规范项目“三同时”过程管理，按照《建设项目安全设施“三同时”监督管理办法》《危险化学品建设项目安全监督管理办法》等法律、法规及文件要求，结合化工园区实际，制定本制度。</w:t>
      </w:r>
    </w:p>
    <w:p w14:paraId="5C2C96C9">
      <w:pPr>
        <w:pStyle w:val="4"/>
        <w:ind w:firstLine="643"/>
      </w:pPr>
      <w:r>
        <w:rPr>
          <w:rFonts w:hint="eastAsia"/>
        </w:rPr>
        <w:t>（二）</w:t>
      </w:r>
      <w:r>
        <w:t>适用范围</w:t>
      </w:r>
    </w:p>
    <w:p w14:paraId="1118438C">
      <w:pPr>
        <w:ind w:firstLine="640"/>
        <w:rPr>
          <w:rFonts w:ascii="Times New Roman" w:hAnsi="Times New Roman"/>
        </w:rPr>
      </w:pPr>
      <w:r>
        <w:rPr>
          <w:rFonts w:ascii="Times New Roman" w:hAnsi="Times New Roman"/>
        </w:rPr>
        <w:t>本制度适用于化工园区范围内经</w:t>
      </w:r>
      <w:r>
        <w:rPr>
          <w:rFonts w:hint="eastAsia" w:ascii="Times New Roman" w:hAnsi="Times New Roman"/>
        </w:rPr>
        <w:t>区</w:t>
      </w:r>
      <w:r>
        <w:rPr>
          <w:rFonts w:ascii="Times New Roman" w:hAnsi="Times New Roman"/>
        </w:rPr>
        <w:t>、市或上级人民政府及其有关主管部门依法审批、核准或者备案的化工生产经营单位新建、改建、扩建工程项目（以下统称建设项目）安全设施的建设及其监督管理，其他建设项目依照其规定。</w:t>
      </w:r>
    </w:p>
    <w:p w14:paraId="604FBE44">
      <w:pPr>
        <w:pStyle w:val="4"/>
        <w:ind w:firstLine="643"/>
      </w:pPr>
      <w:r>
        <w:rPr>
          <w:rFonts w:hint="eastAsia"/>
        </w:rPr>
        <w:t>（三）</w:t>
      </w:r>
      <w:r>
        <w:t>定义</w:t>
      </w:r>
    </w:p>
    <w:p w14:paraId="3D5247AD">
      <w:pPr>
        <w:ind w:firstLine="640"/>
        <w:rPr>
          <w:rFonts w:ascii="Times New Roman" w:hAnsi="Times New Roman"/>
        </w:rPr>
      </w:pPr>
      <w:r>
        <w:rPr>
          <w:rFonts w:ascii="Times New Roman" w:hAnsi="Times New Roman"/>
        </w:rPr>
        <w:t>安全设施，是指生产经营单位在生产经营活动中用于预防生产安全事故的设备、设施、装置、构（建）筑物和其他技术措施的总称。</w:t>
      </w:r>
    </w:p>
    <w:p w14:paraId="3E072E6D">
      <w:pPr>
        <w:ind w:firstLine="640"/>
        <w:rPr>
          <w:rFonts w:ascii="Times New Roman" w:hAnsi="Times New Roman"/>
        </w:rPr>
      </w:pPr>
      <w:r>
        <w:rPr>
          <w:rFonts w:ascii="Times New Roman" w:hAnsi="Times New Roman"/>
        </w:rPr>
        <w:t>建设项目安全设施必须与主体工程同时设计、同时施工、同时投入生产和使用（以下简称“三同时”）。</w:t>
      </w:r>
    </w:p>
    <w:p w14:paraId="2C36888E">
      <w:pPr>
        <w:pStyle w:val="4"/>
        <w:ind w:firstLine="643"/>
      </w:pPr>
      <w:r>
        <w:rPr>
          <w:rFonts w:hint="eastAsia"/>
        </w:rPr>
        <w:t>（四）</w:t>
      </w:r>
      <w:r>
        <w:t>职责</w:t>
      </w:r>
    </w:p>
    <w:p w14:paraId="674F880E">
      <w:pPr>
        <w:ind w:firstLine="640"/>
        <w:rPr>
          <w:rFonts w:hint="eastAsia" w:hAnsi="Times New Roman"/>
        </w:rPr>
      </w:pPr>
      <w:r>
        <w:rPr>
          <w:rFonts w:hint="eastAsia" w:hAnsi="Times New Roman"/>
        </w:rPr>
        <w:t>1.区应急局是本制度的日常管理部门，负责组织本制度的编制与修订，并对本制度的执行提供辅导和审核。</w:t>
      </w:r>
    </w:p>
    <w:p w14:paraId="5B06CB92">
      <w:pPr>
        <w:ind w:firstLine="640"/>
        <w:rPr>
          <w:rFonts w:hint="eastAsia" w:hAnsi="Times New Roman"/>
        </w:rPr>
      </w:pPr>
      <w:r>
        <w:rPr>
          <w:rFonts w:hint="eastAsia" w:hAnsi="Times New Roman"/>
        </w:rPr>
        <w:t>2.生产经营单位是建设项目安全设施建设的责任主体，并严格依照本制度落实安全设施“三同时”程序。</w:t>
      </w:r>
    </w:p>
    <w:p w14:paraId="306D8055">
      <w:pPr>
        <w:ind w:firstLine="640"/>
        <w:rPr>
          <w:rFonts w:ascii="Times New Roman" w:hAnsi="Times New Roman"/>
        </w:rPr>
      </w:pPr>
      <w:r>
        <w:rPr>
          <w:rFonts w:hint="eastAsia" w:hAnsi="Times New Roman"/>
        </w:rPr>
        <w:t>3.区应</w:t>
      </w:r>
      <w:r>
        <w:rPr>
          <w:rFonts w:ascii="Times New Roman" w:hAnsi="Times New Roman"/>
        </w:rPr>
        <w:t>急局对化工园区内的建设项目安全设施“三同时”实施综合监督管理，落实有关行政许可及其监管责任，督促生产经营单位落实安全设施建设责任。</w:t>
      </w:r>
    </w:p>
    <w:p w14:paraId="5828CB2E">
      <w:pPr>
        <w:pStyle w:val="4"/>
        <w:ind w:firstLine="643"/>
      </w:pPr>
      <w:r>
        <w:rPr>
          <w:rFonts w:hint="eastAsia"/>
        </w:rPr>
        <w:t>（五）</w:t>
      </w:r>
      <w:r>
        <w:t>危险化学品生产经营单位建设项目</w:t>
      </w:r>
    </w:p>
    <w:p w14:paraId="3B04BA7A">
      <w:pPr>
        <w:ind w:firstLine="640"/>
        <w:rPr>
          <w:rFonts w:hint="eastAsia" w:hAnsi="Times New Roman"/>
        </w:rPr>
      </w:pPr>
      <w:r>
        <w:rPr>
          <w:rFonts w:hint="eastAsia" w:hAnsi="Times New Roman"/>
        </w:rPr>
        <w:t>1.安全条件审查</w:t>
      </w:r>
    </w:p>
    <w:p w14:paraId="7CFBB02E">
      <w:pPr>
        <w:ind w:firstLine="640"/>
        <w:rPr>
          <w:rFonts w:hint="eastAsia" w:hAnsi="Times New Roman"/>
        </w:rPr>
      </w:pPr>
      <w:r>
        <w:rPr>
          <w:rFonts w:hint="eastAsia" w:hAnsi="Times New Roman"/>
        </w:rPr>
        <w:t>建设单位应当在建设项目初步的可行性研究阶段，委托具备相应资质的安全评价机构对建设项目进行安全评价。</w:t>
      </w:r>
    </w:p>
    <w:p w14:paraId="4117CEE8">
      <w:pPr>
        <w:ind w:firstLine="640"/>
        <w:rPr>
          <w:rFonts w:hint="eastAsia" w:hAnsi="Times New Roman"/>
        </w:rPr>
      </w:pPr>
      <w:r>
        <w:rPr>
          <w:rFonts w:hint="eastAsia" w:hAnsi="Times New Roman"/>
        </w:rPr>
        <w:t>建设单位应当在建设项目开始初步设计前，向相应的应急管理部门申请建设项目安全条件审查，并对其真实性负责。</w:t>
      </w:r>
    </w:p>
    <w:p w14:paraId="3BCB455F">
      <w:pPr>
        <w:ind w:firstLine="640"/>
        <w:rPr>
          <w:rFonts w:hint="eastAsia" w:hAnsi="Times New Roman"/>
        </w:rPr>
      </w:pPr>
      <w:r>
        <w:rPr>
          <w:rFonts w:hint="eastAsia" w:hAnsi="Times New Roman"/>
        </w:rPr>
        <w:t>建设项目周边条件发生重大变化；变更建设地址；主要技术、工艺路线、产品方案或者装置规模发生重大变化；建设项目在安全条件审查意见书有效期内未开工建设，期限届满后需要开工建设的需要重新进行安全评价，并申请审查。</w:t>
      </w:r>
    </w:p>
    <w:p w14:paraId="006E1E9C">
      <w:pPr>
        <w:ind w:firstLine="640"/>
        <w:rPr>
          <w:rFonts w:ascii="Times New Roman" w:hAnsi="Times New Roman"/>
        </w:rPr>
      </w:pPr>
      <w:r>
        <w:rPr>
          <w:rFonts w:hint="eastAsia" w:hAnsi="Times New Roman"/>
        </w:rPr>
        <w:t>2.安全设施</w:t>
      </w:r>
      <w:r>
        <w:rPr>
          <w:rFonts w:ascii="Times New Roman" w:hAnsi="Times New Roman"/>
        </w:rPr>
        <w:t>设计审查</w:t>
      </w:r>
    </w:p>
    <w:p w14:paraId="7BE5BCD8">
      <w:pPr>
        <w:ind w:firstLine="640"/>
        <w:rPr>
          <w:rFonts w:ascii="Times New Roman" w:hAnsi="Times New Roman"/>
        </w:rPr>
      </w:pPr>
      <w:r>
        <w:rPr>
          <w:rFonts w:ascii="Times New Roman" w:hAnsi="Times New Roman"/>
        </w:rPr>
        <w:t>建设单位应当在建设项目初步设计完成后、详细设计开始前，向出具安全条件审查意见书的应急部门申请建设项目安全设施设计审查，并对其真实性负责。</w:t>
      </w:r>
    </w:p>
    <w:p w14:paraId="10262B89">
      <w:pPr>
        <w:ind w:firstLine="640"/>
        <w:rPr>
          <w:rFonts w:ascii="Times New Roman" w:hAnsi="Times New Roman"/>
        </w:rPr>
      </w:pPr>
      <w:r>
        <w:rPr>
          <w:rFonts w:ascii="Times New Roman" w:hAnsi="Times New Roman"/>
        </w:rPr>
        <w:t>建设项目安全设施设计审查未通过的，建设单位经过整改后可以重新申请建设项目安全设施设计的审查。改变安全设施设计且可能降低安全性能；在施工期间重新设计的需向原审查部门申请变更设计审查。</w:t>
      </w:r>
    </w:p>
    <w:p w14:paraId="424A6581">
      <w:pPr>
        <w:ind w:firstLine="640"/>
        <w:rPr>
          <w:rFonts w:hint="eastAsia" w:hAnsi="Times New Roman"/>
        </w:rPr>
      </w:pPr>
      <w:r>
        <w:rPr>
          <w:rFonts w:hint="eastAsia" w:hAnsi="Times New Roman"/>
        </w:rPr>
        <w:t>3.试生产（使用）</w:t>
      </w:r>
    </w:p>
    <w:p w14:paraId="5DE86415">
      <w:pPr>
        <w:ind w:firstLine="640"/>
        <w:rPr>
          <w:rFonts w:hint="eastAsia" w:hAnsi="Times New Roman"/>
        </w:rPr>
      </w:pPr>
      <w:r>
        <w:rPr>
          <w:rFonts w:hint="eastAsia" w:hAnsi="Times New Roman"/>
        </w:rPr>
        <w:t>建设单位应当在安全设施施工完成后、试生产（使用）前，向原安全设施设计审查意见书的审查单位申请建设项目试生产（使用）审查，并对其真实性负责。</w:t>
      </w:r>
    </w:p>
    <w:p w14:paraId="0790A2ED">
      <w:pPr>
        <w:ind w:firstLine="640"/>
        <w:rPr>
          <w:rFonts w:hint="eastAsia" w:hAnsi="Times New Roman"/>
        </w:rPr>
      </w:pPr>
      <w:r>
        <w:rPr>
          <w:rFonts w:hint="eastAsia" w:hAnsi="Times New Roman"/>
        </w:rPr>
        <w:t>建设项目试生产期限应当不少于30日，不超过１年。</w:t>
      </w:r>
    </w:p>
    <w:p w14:paraId="2D88E586">
      <w:pPr>
        <w:ind w:firstLine="640"/>
        <w:rPr>
          <w:rFonts w:ascii="Times New Roman" w:hAnsi="Times New Roman"/>
        </w:rPr>
      </w:pPr>
      <w:r>
        <w:rPr>
          <w:rFonts w:hint="eastAsia" w:hAnsi="Times New Roman"/>
        </w:rPr>
        <w:t>4.安全设</w:t>
      </w:r>
      <w:r>
        <w:rPr>
          <w:rFonts w:ascii="Times New Roman" w:hAnsi="Times New Roman"/>
        </w:rPr>
        <w:t>施竣工验收</w:t>
      </w:r>
    </w:p>
    <w:p w14:paraId="4718462F">
      <w:pPr>
        <w:ind w:firstLine="640"/>
        <w:rPr>
          <w:rFonts w:ascii="Times New Roman" w:hAnsi="Times New Roman"/>
        </w:rPr>
      </w:pPr>
      <w:r>
        <w:rPr>
          <w:rFonts w:ascii="Times New Roman" w:hAnsi="Times New Roman"/>
        </w:rPr>
        <w:t>建设项目试生产期间应当委托有相应资质的安全评价机构对建设项目及其安全设施试生产（使用）情况进行安全验收评价，且不得与安全预评价为同一安全评价机构。</w:t>
      </w:r>
    </w:p>
    <w:p w14:paraId="194412F9">
      <w:pPr>
        <w:ind w:firstLine="640"/>
        <w:rPr>
          <w:rFonts w:ascii="Times New Roman" w:hAnsi="Times New Roman"/>
        </w:rPr>
      </w:pPr>
      <w:r>
        <w:rPr>
          <w:rFonts w:ascii="Times New Roman" w:hAnsi="Times New Roman"/>
        </w:rPr>
        <w:t>建设项目投入生产和使用前，建设单位应当组织人员进行安全设施竣工验收，作出建设项目安全设施竣工验收是否通过的结论。</w:t>
      </w:r>
    </w:p>
    <w:p w14:paraId="11EFD1A5">
      <w:pPr>
        <w:ind w:firstLine="640"/>
        <w:rPr>
          <w:rFonts w:ascii="Times New Roman" w:hAnsi="Times New Roman"/>
        </w:rPr>
      </w:pPr>
      <w:r>
        <w:rPr>
          <w:rFonts w:ascii="Times New Roman" w:hAnsi="Times New Roman"/>
        </w:rPr>
        <w:t>建设项目安全设施竣工验收未通过的，建设单位经过整改后可以再次组织安全设施竣工验收。竣工验收合格后，应将涉及的文件、资料存档，并按照有关规定申请危险化学品的相关安全许可。</w:t>
      </w:r>
    </w:p>
    <w:p w14:paraId="7A5F705E">
      <w:pPr>
        <w:pStyle w:val="4"/>
        <w:ind w:firstLine="643"/>
      </w:pPr>
      <w:r>
        <w:rPr>
          <w:rFonts w:hint="eastAsia"/>
        </w:rPr>
        <w:t>（六）</w:t>
      </w:r>
      <w:r>
        <w:t>非危险化学品生产经营单位建设项目工作程序</w:t>
      </w:r>
    </w:p>
    <w:p w14:paraId="07E4E229">
      <w:pPr>
        <w:ind w:firstLine="640"/>
        <w:rPr>
          <w:rFonts w:hint="eastAsia" w:hAnsi="Times New Roman"/>
        </w:rPr>
      </w:pPr>
      <w:r>
        <w:rPr>
          <w:rFonts w:hint="eastAsia" w:hAnsi="Times New Roman"/>
        </w:rPr>
        <w:t>1.安全预评价</w:t>
      </w:r>
    </w:p>
    <w:p w14:paraId="35AA2BE2">
      <w:pPr>
        <w:ind w:firstLine="640"/>
        <w:rPr>
          <w:rFonts w:hint="eastAsia" w:hAnsi="Times New Roman"/>
        </w:rPr>
      </w:pPr>
      <w:r>
        <w:rPr>
          <w:rFonts w:hint="eastAsia" w:hAnsi="Times New Roman"/>
        </w:rPr>
        <w:t>非危险化学品生产经营单位建设项目在可行性研究时，生产经营单位应当按照国家规定自行或委托第三方机构对其建设项目安全生产条件和设施进行综合分析，并编制安全生产条件和设施综合分析报告备查。</w:t>
      </w:r>
    </w:p>
    <w:p w14:paraId="3EDF3D2D">
      <w:pPr>
        <w:ind w:firstLine="640"/>
        <w:rPr>
          <w:rFonts w:hint="eastAsia" w:hAnsi="Times New Roman"/>
        </w:rPr>
      </w:pPr>
      <w:r>
        <w:rPr>
          <w:rFonts w:hint="eastAsia" w:hAnsi="Times New Roman"/>
        </w:rPr>
        <w:t>2.安全设施设计</w:t>
      </w:r>
    </w:p>
    <w:p w14:paraId="7D0ACE4B">
      <w:pPr>
        <w:ind w:firstLine="640"/>
        <w:rPr>
          <w:rFonts w:hint="eastAsia" w:hAnsi="Times New Roman"/>
        </w:rPr>
      </w:pPr>
      <w:r>
        <w:rPr>
          <w:rFonts w:hint="eastAsia" w:hAnsi="Times New Roman"/>
        </w:rPr>
        <w:t>非危险化学品生产经营单位在建设项目初步设计时，应当委托有相应资质的设计单位对建设项目安全设施同时进行设计，编制安全设施设计，安全设施设计应符合《建设项目安全设施“三同时”监督管理办法》第11条规定。安全设施设计完成后，由生产经营单位自行组织审查，形成书面报告备查。</w:t>
      </w:r>
    </w:p>
    <w:p w14:paraId="5F597EEA">
      <w:pPr>
        <w:ind w:firstLine="640"/>
        <w:rPr>
          <w:rFonts w:hint="eastAsia" w:hAnsi="Times New Roman"/>
        </w:rPr>
      </w:pPr>
      <w:r>
        <w:rPr>
          <w:rFonts w:hint="eastAsia" w:hAnsi="Times New Roman"/>
        </w:rPr>
        <w:t>3.安全设施竣工验收</w:t>
      </w:r>
    </w:p>
    <w:p w14:paraId="5F4FB3F5">
      <w:pPr>
        <w:ind w:firstLine="640"/>
        <w:rPr>
          <w:rFonts w:ascii="Times New Roman" w:hAnsi="Times New Roman"/>
        </w:rPr>
      </w:pPr>
      <w:r>
        <w:rPr>
          <w:rFonts w:hint="eastAsia" w:hAnsi="Times New Roman"/>
        </w:rPr>
        <w:t>非</w:t>
      </w:r>
      <w:r>
        <w:rPr>
          <w:rFonts w:ascii="Times New Roman" w:hAnsi="Times New Roman"/>
        </w:rPr>
        <w:t>危险化学品生产经营单位建设项目竣工投入生产或者使用前，生产经营单位应当组织设计、施工、监理等单位的相关人员对安全设施进行竣工验收，自行或者委托第三方机构编制建设项目安全设施竣工验收书面报告备查。</w:t>
      </w:r>
    </w:p>
    <w:p w14:paraId="6D2D0D8E">
      <w:pPr>
        <w:ind w:firstLine="640"/>
        <w:rPr>
          <w:rFonts w:ascii="Times New Roman" w:hAnsi="Times New Roman"/>
        </w:rPr>
      </w:pPr>
    </w:p>
    <w:p w14:paraId="502A2EF0">
      <w:pPr>
        <w:ind w:firstLine="640"/>
        <w:rPr>
          <w:rFonts w:ascii="Times New Roman" w:hAnsi="Times New Roman"/>
        </w:rPr>
        <w:sectPr>
          <w:pgSz w:w="11906" w:h="16838"/>
          <w:pgMar w:top="2098" w:right="1531" w:bottom="1984" w:left="1531" w:header="851" w:footer="1417" w:gutter="0"/>
          <w:cols w:space="720" w:num="1"/>
          <w:docGrid w:type="lines" w:linePitch="439" w:charSpace="0"/>
        </w:sectPr>
      </w:pPr>
    </w:p>
    <w:p w14:paraId="4E186933">
      <w:pPr>
        <w:pStyle w:val="2"/>
        <w:spacing w:before="0" w:after="0" w:line="600" w:lineRule="exact"/>
        <w:rPr>
          <w:rFonts w:ascii="Times New Roman" w:hAnsi="Times New Roman"/>
        </w:rPr>
      </w:pPr>
      <w:bookmarkStart w:id="25" w:name="_Toc13969"/>
      <w:bookmarkStart w:id="26" w:name="_Toc8196"/>
      <w:r>
        <w:rPr>
          <w:rFonts w:ascii="Times New Roman" w:hAnsi="Times New Roman"/>
        </w:rPr>
        <w:t xml:space="preserve">第五章 </w:t>
      </w:r>
      <w:r>
        <w:rPr>
          <w:rFonts w:hint="eastAsia" w:ascii="Times New Roman" w:hAnsi="Times New Roman"/>
          <w:lang w:val="en-US" w:eastAsia="zh-CN"/>
        </w:rPr>
        <w:t xml:space="preserve"> </w:t>
      </w:r>
      <w:r>
        <w:rPr>
          <w:rFonts w:ascii="Times New Roman" w:hAnsi="Times New Roman"/>
        </w:rPr>
        <w:t>宣传教育培训</w:t>
      </w:r>
      <w:bookmarkEnd w:id="25"/>
      <w:bookmarkEnd w:id="26"/>
    </w:p>
    <w:p w14:paraId="69B50643">
      <w:pPr>
        <w:ind w:firstLine="640"/>
        <w:rPr>
          <w:rFonts w:hint="eastAsia"/>
        </w:rPr>
      </w:pPr>
    </w:p>
    <w:p w14:paraId="61AEEF8B">
      <w:pPr>
        <w:pStyle w:val="3"/>
        <w:spacing w:line="600" w:lineRule="exact"/>
        <w:ind w:firstLine="720"/>
        <w:jc w:val="left"/>
        <w:rPr>
          <w:rFonts w:ascii="黑体" w:hAnsi="黑体" w:eastAsia="黑体"/>
          <w:b w:val="0"/>
          <w:bCs/>
        </w:rPr>
      </w:pPr>
      <w:bookmarkStart w:id="27" w:name="_Toc27600"/>
      <w:r>
        <w:rPr>
          <w:rFonts w:ascii="黑体" w:hAnsi="黑体" w:eastAsia="黑体"/>
          <w:b w:val="0"/>
          <w:bCs/>
        </w:rPr>
        <w:t>十</w:t>
      </w:r>
      <w:r>
        <w:rPr>
          <w:rFonts w:hint="eastAsia" w:ascii="黑体" w:hAnsi="黑体" w:eastAsia="黑体"/>
          <w:b w:val="0"/>
          <w:bCs/>
        </w:rPr>
        <w:t>四</w:t>
      </w:r>
      <w:r>
        <w:rPr>
          <w:rFonts w:ascii="黑体" w:hAnsi="黑体" w:eastAsia="黑体"/>
          <w:b w:val="0"/>
          <w:bCs/>
        </w:rPr>
        <w:t>、化工园区宣传培训管理制度</w:t>
      </w:r>
      <w:bookmarkEnd w:id="27"/>
    </w:p>
    <w:p w14:paraId="13976C05">
      <w:pPr>
        <w:spacing w:line="540" w:lineRule="exact"/>
        <w:ind w:firstLine="643"/>
        <w:rPr>
          <w:rFonts w:ascii="Times New Roman" w:hAnsi="Times New Roman"/>
        </w:rPr>
      </w:pPr>
      <w:r>
        <w:rPr>
          <w:rFonts w:hint="eastAsia" w:ascii="Times New Roman" w:hAnsi="Times New Roman"/>
          <w:b/>
          <w:bCs/>
          <w:color w:val="000000"/>
          <w:szCs w:val="32"/>
        </w:rPr>
        <w:t xml:space="preserve">第一条  </w:t>
      </w:r>
      <w:r>
        <w:rPr>
          <w:rFonts w:hint="eastAsia" w:ascii="Times New Roman" w:hAnsi="Times New Roman"/>
        </w:rPr>
        <w:t>安全生产部室</w:t>
      </w:r>
      <w:r>
        <w:rPr>
          <w:rFonts w:ascii="Times New Roman" w:hAnsi="Times New Roman"/>
        </w:rPr>
        <w:t>应结合每个时期的特点，认真组织开展“素质固安”、“安全生产月”、法律法规宣传等安全培训活动。运用安全生产现场观摩会以及标语等形式，开展丰富多彩的群众性安全生产科普教育，普及安全知识。</w:t>
      </w:r>
    </w:p>
    <w:p w14:paraId="24733401">
      <w:pPr>
        <w:spacing w:line="540" w:lineRule="exact"/>
        <w:ind w:firstLine="643"/>
        <w:rPr>
          <w:rFonts w:ascii="Times New Roman" w:hAnsi="Times New Roman"/>
        </w:rPr>
      </w:pPr>
      <w:r>
        <w:rPr>
          <w:rFonts w:hint="eastAsia" w:ascii="Times New Roman" w:hAnsi="Times New Roman"/>
          <w:b/>
          <w:bCs/>
          <w:color w:val="000000"/>
          <w:szCs w:val="32"/>
        </w:rPr>
        <w:t xml:space="preserve">第二条  </w:t>
      </w:r>
      <w:r>
        <w:rPr>
          <w:rFonts w:ascii="Times New Roman" w:hAnsi="Times New Roman"/>
        </w:rPr>
        <w:t>有计划地对化工园区内企业主要负责人、分管负责人、安全管理人员进行法律法规、规章制度、安全管理知识教育培训，组织各企业的特种作业、特种设备操作、涉及“两重点一重大”管理和操作等重点岗位人员开展技能培训。</w:t>
      </w:r>
    </w:p>
    <w:p w14:paraId="291DFFC7">
      <w:pPr>
        <w:spacing w:line="540" w:lineRule="exact"/>
        <w:ind w:firstLine="643"/>
        <w:rPr>
          <w:rFonts w:ascii="Times New Roman" w:hAnsi="Times New Roman"/>
        </w:rPr>
      </w:pPr>
      <w:r>
        <w:rPr>
          <w:rFonts w:hint="eastAsia" w:ascii="Times New Roman" w:hAnsi="Times New Roman"/>
          <w:b/>
          <w:bCs/>
          <w:color w:val="000000"/>
          <w:szCs w:val="32"/>
        </w:rPr>
        <w:t xml:space="preserve">第三条  </w:t>
      </w:r>
      <w:r>
        <w:rPr>
          <w:rFonts w:hint="eastAsia" w:ascii="Times New Roman" w:hAnsi="Times New Roman"/>
        </w:rPr>
        <w:t>协助区应急管理局</w:t>
      </w:r>
      <w:r>
        <w:rPr>
          <w:rFonts w:ascii="Times New Roman" w:hAnsi="Times New Roman"/>
        </w:rPr>
        <w:t>督促化工园区各企业特种作业人员参加有关部门组织的专业安全技术教育，取得特种作业人员操作证后，方可上岗作业。确保化工园区内企业特种作业人员持证上岗率100％。</w:t>
      </w:r>
    </w:p>
    <w:p w14:paraId="6C8165DE">
      <w:pPr>
        <w:spacing w:line="540" w:lineRule="exact"/>
        <w:ind w:firstLine="643"/>
        <w:rPr>
          <w:rFonts w:ascii="Times New Roman" w:hAnsi="Times New Roman"/>
        </w:rPr>
      </w:pPr>
      <w:r>
        <w:rPr>
          <w:rFonts w:hint="eastAsia" w:ascii="Times New Roman" w:hAnsi="Times New Roman"/>
          <w:b/>
          <w:bCs/>
          <w:color w:val="000000"/>
          <w:szCs w:val="32"/>
        </w:rPr>
        <w:t xml:space="preserve">第四条  </w:t>
      </w:r>
      <w:r>
        <w:rPr>
          <w:rFonts w:hint="eastAsia" w:ascii="Times New Roman" w:hAnsi="Times New Roman"/>
        </w:rPr>
        <w:t>安全生产部室</w:t>
      </w:r>
      <w:r>
        <w:rPr>
          <w:rFonts w:ascii="Times New Roman" w:hAnsi="Times New Roman"/>
        </w:rPr>
        <w:t>及相关职能部门应督促化工园区的企业开展“三级安全教育”。各企业的职工应参加三级安全教育并经考核合格后，方可上岗；职工厂际调动后，应重新进行入厂三级安全教育；厂内工作调动、干部顶岗劳动以及脱离岗位六个月以上者，应进行车间和班组两级安全教育，考试合格后，方可从事新岗位工作。化工园区各企业职工“三级安全教育”率100%。</w:t>
      </w:r>
    </w:p>
    <w:p w14:paraId="7AF51DB6">
      <w:pPr>
        <w:spacing w:line="540" w:lineRule="exact"/>
        <w:ind w:firstLine="643"/>
        <w:rPr>
          <w:rFonts w:ascii="Times New Roman" w:hAnsi="Times New Roman"/>
        </w:rPr>
      </w:pPr>
      <w:r>
        <w:rPr>
          <w:rFonts w:hint="eastAsia" w:ascii="Times New Roman" w:hAnsi="Times New Roman"/>
          <w:b/>
          <w:bCs/>
          <w:color w:val="000000"/>
          <w:szCs w:val="32"/>
        </w:rPr>
        <w:t xml:space="preserve">第五条  </w:t>
      </w:r>
      <w:r>
        <w:rPr>
          <w:rFonts w:ascii="Times New Roman" w:hAnsi="Times New Roman"/>
        </w:rPr>
        <w:t>化工园区内发生安全事故或恶性未遂生产安全事故时，</w:t>
      </w:r>
      <w:r>
        <w:rPr>
          <w:rFonts w:hint="eastAsia" w:ascii="Times New Roman" w:hAnsi="Times New Roman"/>
          <w:lang w:val="en-US" w:eastAsia="zh-CN"/>
        </w:rPr>
        <w:t>高新</w:t>
      </w:r>
      <w:r>
        <w:rPr>
          <w:rFonts w:ascii="Times New Roman" w:hAnsi="Times New Roman"/>
        </w:rPr>
        <w:t>区管委会应组织有关人员进行事故现场教育，吸取教训，防止类似事故发生。</w:t>
      </w:r>
    </w:p>
    <w:p w14:paraId="7BDD3999">
      <w:pPr>
        <w:spacing w:line="540" w:lineRule="exact"/>
        <w:ind w:firstLine="640"/>
        <w:rPr>
          <w:rFonts w:hint="eastAsia" w:ascii="Times New Roman" w:hAnsi="Times New Roman"/>
        </w:rPr>
      </w:pPr>
    </w:p>
    <w:p w14:paraId="5601B764">
      <w:pPr>
        <w:pStyle w:val="3"/>
        <w:ind w:firstLine="720"/>
        <w:jc w:val="left"/>
        <w:rPr>
          <w:rFonts w:ascii="黑体" w:hAnsi="黑体" w:eastAsia="黑体"/>
          <w:b w:val="0"/>
          <w:bCs/>
        </w:rPr>
      </w:pPr>
      <w:bookmarkStart w:id="28" w:name="_Toc12844"/>
      <w:r>
        <w:rPr>
          <w:rFonts w:ascii="黑体" w:hAnsi="黑体" w:eastAsia="黑体"/>
          <w:b w:val="0"/>
          <w:bCs/>
        </w:rPr>
        <w:t>十</w:t>
      </w:r>
      <w:r>
        <w:rPr>
          <w:rFonts w:hint="eastAsia" w:ascii="黑体" w:hAnsi="黑体" w:eastAsia="黑体"/>
          <w:b w:val="0"/>
          <w:bCs/>
        </w:rPr>
        <w:t>五</w:t>
      </w:r>
      <w:r>
        <w:rPr>
          <w:rFonts w:ascii="黑体" w:hAnsi="黑体" w:eastAsia="黑体"/>
          <w:b w:val="0"/>
          <w:bCs/>
        </w:rPr>
        <w:t>、企业安全生产教育管理要求</w:t>
      </w:r>
      <w:bookmarkEnd w:id="28"/>
    </w:p>
    <w:p w14:paraId="262274B3">
      <w:pPr>
        <w:ind w:firstLine="643"/>
        <w:rPr>
          <w:rFonts w:ascii="Times New Roman" w:hAnsi="Times New Roman"/>
        </w:rPr>
      </w:pPr>
      <w:r>
        <w:rPr>
          <w:rFonts w:hint="eastAsia" w:ascii="Times New Roman" w:hAnsi="Times New Roman"/>
          <w:b/>
          <w:bCs/>
          <w:color w:val="000000"/>
          <w:szCs w:val="32"/>
        </w:rPr>
        <w:t xml:space="preserve">第一条  </w:t>
      </w:r>
      <w:r>
        <w:rPr>
          <w:rFonts w:ascii="Times New Roman" w:hAnsi="Times New Roman"/>
        </w:rPr>
        <w:t>为加强和规范生产经营单位安全培训工作，提高从业人员安全素质，防范伤亡事故，减轻职业危害，根据安全生产法和有关法律、行政法规，制定本要求。化工园区内生产经营单位从业人员的安全培训，适用本要求。</w:t>
      </w:r>
    </w:p>
    <w:p w14:paraId="0A07AE14">
      <w:pPr>
        <w:ind w:firstLine="643"/>
        <w:rPr>
          <w:rFonts w:ascii="Times New Roman" w:hAnsi="Times New Roman"/>
        </w:rPr>
      </w:pPr>
      <w:r>
        <w:rPr>
          <w:rFonts w:hint="eastAsia" w:ascii="Times New Roman" w:hAnsi="Times New Roman"/>
          <w:b/>
          <w:bCs/>
          <w:color w:val="000000"/>
          <w:szCs w:val="32"/>
        </w:rPr>
        <w:t xml:space="preserve">第二条  </w:t>
      </w:r>
      <w:r>
        <w:rPr>
          <w:rFonts w:ascii="Times New Roman" w:hAnsi="Times New Roman"/>
        </w:rPr>
        <w:t>生产经营单位负责本单位从业人员安全培训工作。生产经营单位应当按照安全生产法和有关法律、行政法规，建立健全安全培训工作制度。</w:t>
      </w:r>
    </w:p>
    <w:p w14:paraId="5136C850">
      <w:pPr>
        <w:ind w:firstLine="643"/>
        <w:rPr>
          <w:rFonts w:ascii="Times New Roman" w:hAnsi="Times New Roman"/>
        </w:rPr>
      </w:pPr>
      <w:r>
        <w:rPr>
          <w:rFonts w:hint="eastAsia" w:ascii="Times New Roman" w:hAnsi="Times New Roman"/>
          <w:b/>
          <w:bCs/>
          <w:color w:val="000000"/>
          <w:szCs w:val="32"/>
        </w:rPr>
        <w:t xml:space="preserve">第三条  </w:t>
      </w:r>
      <w:r>
        <w:rPr>
          <w:rFonts w:ascii="Times New Roman" w:hAnsi="Times New Roman"/>
        </w:rPr>
        <w:t>生产经营单位应当进行安全培训的从业人员包括主要负责人、安全生产管理人员、特种作业人员和其他从业人员。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生产经营单位接收中等职业学校、高等学校学生实习的，应当对实习学生进行相应的安全生产教育和培训，提供必要的劳动防护用品。学校应当协助生产经营单位对实习学生进行安全生产教育和培训。</w:t>
      </w:r>
    </w:p>
    <w:p w14:paraId="1B5AFF16">
      <w:pPr>
        <w:ind w:firstLine="640"/>
        <w:rPr>
          <w:rFonts w:ascii="Times New Roman" w:hAnsi="Times New Roman"/>
        </w:rPr>
      </w:pPr>
      <w:r>
        <w:rPr>
          <w:rFonts w:ascii="Times New Roman" w:hAnsi="Times New Roman"/>
        </w:rPr>
        <w:t>生产经营单位从业人员应当接受安全培训，熟悉有关安全生产规章制度和安全操作规程，具备必要的安全生产知识，掌握本岗位的安全操作技能，了解事故应急处理措施，知悉自身在安全生产方面的权利和义务。</w:t>
      </w:r>
    </w:p>
    <w:p w14:paraId="196E9EA4">
      <w:pPr>
        <w:ind w:firstLine="640"/>
        <w:rPr>
          <w:rFonts w:ascii="Times New Roman" w:hAnsi="Times New Roman"/>
        </w:rPr>
      </w:pPr>
      <w:r>
        <w:rPr>
          <w:rFonts w:ascii="Times New Roman" w:hAnsi="Times New Roman"/>
        </w:rPr>
        <w:t>所有企业的主要负责人，应按照国家有关规定要求，参加法定的安全生产教育培训，经考核合格后持证上岗。所有企业的安全技术管理人员应经过安全教育培训，考核合格后方能任职。未经安全教育培训合格的从业人员，不得上岗作业。</w:t>
      </w:r>
    </w:p>
    <w:p w14:paraId="60D9EAED">
      <w:pPr>
        <w:ind w:firstLine="643"/>
        <w:rPr>
          <w:rFonts w:ascii="Times New Roman" w:hAnsi="Times New Roman"/>
        </w:rPr>
      </w:pPr>
      <w:r>
        <w:rPr>
          <w:rFonts w:hint="eastAsia" w:ascii="Times New Roman" w:hAnsi="Times New Roman"/>
          <w:b/>
          <w:bCs/>
          <w:color w:val="000000"/>
          <w:szCs w:val="32"/>
        </w:rPr>
        <w:t xml:space="preserve">第四条  </w:t>
      </w:r>
      <w:r>
        <w:rPr>
          <w:rFonts w:ascii="Times New Roman" w:hAnsi="Times New Roman"/>
        </w:rPr>
        <w:t>生产经营单位主要负责人和安全生产管理人员应当接受安全培训，具备与所从事的生产经营活动相适应的安全生产知识和管理能力。</w:t>
      </w:r>
    </w:p>
    <w:p w14:paraId="31A335AE">
      <w:pPr>
        <w:ind w:firstLine="643"/>
        <w:rPr>
          <w:rFonts w:ascii="Times New Roman" w:hAnsi="Times New Roman"/>
        </w:rPr>
      </w:pPr>
      <w:r>
        <w:rPr>
          <w:rFonts w:hint="eastAsia" w:ascii="Times New Roman" w:hAnsi="Times New Roman"/>
          <w:b/>
          <w:bCs/>
          <w:color w:val="000000"/>
          <w:szCs w:val="32"/>
        </w:rPr>
        <w:t xml:space="preserve">第五条  </w:t>
      </w:r>
      <w:r>
        <w:rPr>
          <w:rFonts w:ascii="Times New Roman" w:hAnsi="Times New Roman"/>
        </w:rPr>
        <w:t>生产经营单位主要负责人安全培训应当包括下列内容：</w:t>
      </w:r>
    </w:p>
    <w:p w14:paraId="29AE6C9C">
      <w:pPr>
        <w:ind w:firstLine="640"/>
        <w:rPr>
          <w:rFonts w:hint="eastAsia" w:hAnsi="Times New Roman"/>
        </w:rPr>
      </w:pPr>
      <w:r>
        <w:rPr>
          <w:rFonts w:hint="eastAsia" w:hAnsi="Times New Roman"/>
        </w:rPr>
        <w:t>1.国家安全生产方针、政策和有关安全生产的法律、法规、规章及标准；</w:t>
      </w:r>
    </w:p>
    <w:p w14:paraId="27B21147">
      <w:pPr>
        <w:ind w:firstLine="640"/>
        <w:rPr>
          <w:rFonts w:hint="eastAsia" w:hAnsi="Times New Roman"/>
        </w:rPr>
      </w:pPr>
      <w:r>
        <w:rPr>
          <w:rFonts w:hint="eastAsia" w:hAnsi="Times New Roman"/>
        </w:rPr>
        <w:t>2.安全生产管理基本知识、安全生产技术、安全生产专业知识；</w:t>
      </w:r>
    </w:p>
    <w:p w14:paraId="5B688146">
      <w:pPr>
        <w:ind w:firstLine="640"/>
        <w:rPr>
          <w:rFonts w:hint="eastAsia" w:hAnsi="Times New Roman"/>
        </w:rPr>
      </w:pPr>
      <w:r>
        <w:rPr>
          <w:rFonts w:hint="eastAsia" w:hAnsi="Times New Roman"/>
        </w:rPr>
        <w:t>3.重大危险源管理、重大事故防范、应急管理和救援组织以及事故调查处理的有关规定；</w:t>
      </w:r>
    </w:p>
    <w:p w14:paraId="181717BE">
      <w:pPr>
        <w:ind w:firstLine="640"/>
        <w:rPr>
          <w:rFonts w:hint="eastAsia" w:hAnsi="Times New Roman"/>
        </w:rPr>
      </w:pPr>
      <w:r>
        <w:rPr>
          <w:rFonts w:hint="eastAsia" w:hAnsi="Times New Roman"/>
        </w:rPr>
        <w:t>4.职业危害及其预防措施；</w:t>
      </w:r>
    </w:p>
    <w:p w14:paraId="22B7BC24">
      <w:pPr>
        <w:ind w:firstLine="640"/>
        <w:rPr>
          <w:rFonts w:hint="eastAsia" w:hAnsi="Times New Roman"/>
        </w:rPr>
      </w:pPr>
      <w:r>
        <w:rPr>
          <w:rFonts w:hint="eastAsia" w:hAnsi="Times New Roman"/>
        </w:rPr>
        <w:t>5.国内外先进的安全生产管理经验；</w:t>
      </w:r>
    </w:p>
    <w:p w14:paraId="357F1D0A">
      <w:pPr>
        <w:ind w:firstLine="640"/>
        <w:rPr>
          <w:rFonts w:hint="eastAsia" w:hAnsi="Times New Roman"/>
        </w:rPr>
      </w:pPr>
      <w:r>
        <w:rPr>
          <w:rFonts w:hint="eastAsia" w:hAnsi="Times New Roman"/>
        </w:rPr>
        <w:t>6.典型事故和应急救援案例分析；</w:t>
      </w:r>
    </w:p>
    <w:p w14:paraId="641F3D9A">
      <w:pPr>
        <w:ind w:firstLine="640"/>
        <w:rPr>
          <w:rFonts w:ascii="Times New Roman" w:hAnsi="Times New Roman"/>
        </w:rPr>
      </w:pPr>
      <w:r>
        <w:rPr>
          <w:rFonts w:hint="eastAsia" w:hAnsi="Times New Roman"/>
        </w:rPr>
        <w:t>7.其他需要培训的</w:t>
      </w:r>
      <w:r>
        <w:rPr>
          <w:rFonts w:ascii="Times New Roman" w:hAnsi="Times New Roman"/>
        </w:rPr>
        <w:t>内容。</w:t>
      </w:r>
    </w:p>
    <w:p w14:paraId="5C027CB4">
      <w:pPr>
        <w:ind w:firstLine="643"/>
        <w:rPr>
          <w:rFonts w:ascii="Times New Roman" w:hAnsi="Times New Roman"/>
        </w:rPr>
      </w:pPr>
      <w:r>
        <w:rPr>
          <w:rFonts w:hint="eastAsia" w:ascii="Times New Roman" w:hAnsi="Times New Roman"/>
          <w:b/>
          <w:bCs/>
          <w:color w:val="000000"/>
          <w:szCs w:val="32"/>
        </w:rPr>
        <w:t xml:space="preserve">第六条  </w:t>
      </w:r>
      <w:r>
        <w:rPr>
          <w:rFonts w:ascii="Times New Roman" w:hAnsi="Times New Roman"/>
        </w:rPr>
        <w:t>生产经营单位主要负责人和安全生产管理人员初次安全培训时间不得少于48学时，每年再培训时间不得少于16学时。</w:t>
      </w:r>
    </w:p>
    <w:p w14:paraId="0D565EA9">
      <w:pPr>
        <w:ind w:firstLine="643"/>
        <w:rPr>
          <w:rFonts w:ascii="Times New Roman" w:hAnsi="Times New Roman"/>
        </w:rPr>
      </w:pPr>
      <w:r>
        <w:rPr>
          <w:rFonts w:hint="eastAsia" w:ascii="Times New Roman" w:hAnsi="Times New Roman"/>
          <w:b/>
          <w:bCs/>
          <w:color w:val="000000"/>
          <w:szCs w:val="32"/>
        </w:rPr>
        <w:t xml:space="preserve">第七条  </w:t>
      </w:r>
      <w:r>
        <w:rPr>
          <w:rFonts w:ascii="Times New Roman" w:hAnsi="Times New Roman"/>
        </w:rPr>
        <w:t>生产经营单位必须对新上岗的临时工、合同工、劳务工、轮换工、协议工等进行强制性安全培训，保证其具备本岗位安全操作、自救互救以及应急处置所需的知识和技能后，方能安排上岗作业。</w:t>
      </w:r>
    </w:p>
    <w:p w14:paraId="2D885489">
      <w:pPr>
        <w:ind w:firstLine="643"/>
        <w:rPr>
          <w:rFonts w:ascii="Times New Roman" w:hAnsi="Times New Roman"/>
        </w:rPr>
      </w:pPr>
      <w:r>
        <w:rPr>
          <w:rFonts w:hint="eastAsia" w:ascii="Times New Roman" w:hAnsi="Times New Roman"/>
          <w:b/>
          <w:bCs/>
          <w:color w:val="000000"/>
          <w:szCs w:val="32"/>
        </w:rPr>
        <w:t xml:space="preserve">第八条  </w:t>
      </w:r>
      <w:r>
        <w:rPr>
          <w:rFonts w:ascii="Times New Roman" w:hAnsi="Times New Roman"/>
        </w:rPr>
        <w:t>生产经营单位的其他从业人员，在上岗前必须经过三级安全培训教育。生产经营单位应当根据工作性质对其他从业人员进行安全培训，保证其具备本岗位安全操作、应急处置等知识和技能。</w:t>
      </w:r>
    </w:p>
    <w:p w14:paraId="10F623B9">
      <w:pPr>
        <w:ind w:firstLine="643"/>
        <w:rPr>
          <w:rFonts w:ascii="Times New Roman" w:hAnsi="Times New Roman"/>
        </w:rPr>
      </w:pPr>
      <w:r>
        <w:rPr>
          <w:rFonts w:hint="eastAsia" w:ascii="Times New Roman" w:hAnsi="Times New Roman"/>
          <w:b/>
          <w:bCs/>
          <w:color w:val="000000"/>
          <w:szCs w:val="32"/>
        </w:rPr>
        <w:t xml:space="preserve">第九条  </w:t>
      </w:r>
      <w:r>
        <w:rPr>
          <w:rFonts w:ascii="Times New Roman" w:hAnsi="Times New Roman"/>
        </w:rPr>
        <w:t>生产经营单位新上岗的从业人员安全培训时间不得少于72学时，每年再培训的时间不得少于20学时。</w:t>
      </w:r>
    </w:p>
    <w:p w14:paraId="5AC11605">
      <w:pPr>
        <w:ind w:firstLine="643"/>
        <w:rPr>
          <w:rFonts w:ascii="Times New Roman" w:hAnsi="Times New Roman"/>
        </w:rPr>
      </w:pPr>
      <w:r>
        <w:rPr>
          <w:rFonts w:hint="eastAsia" w:ascii="Times New Roman" w:hAnsi="Times New Roman"/>
          <w:b/>
          <w:bCs/>
          <w:color w:val="000000"/>
          <w:szCs w:val="32"/>
        </w:rPr>
        <w:t xml:space="preserve">第十条  </w:t>
      </w:r>
      <w:r>
        <w:rPr>
          <w:rFonts w:ascii="Times New Roman" w:hAnsi="Times New Roman"/>
        </w:rPr>
        <w:t>厂级岗前安全培训内容应当包括：</w:t>
      </w:r>
    </w:p>
    <w:p w14:paraId="3470B6B2">
      <w:pPr>
        <w:ind w:firstLine="640"/>
        <w:rPr>
          <w:rFonts w:hint="eastAsia" w:hAnsi="Times New Roman"/>
        </w:rPr>
      </w:pPr>
      <w:r>
        <w:rPr>
          <w:rFonts w:hint="eastAsia" w:hAnsi="Times New Roman"/>
        </w:rPr>
        <w:t>1.本单位安全生产情况及安全生产基本知识；</w:t>
      </w:r>
    </w:p>
    <w:p w14:paraId="0631CF2B">
      <w:pPr>
        <w:ind w:firstLine="640"/>
        <w:rPr>
          <w:rFonts w:hint="eastAsia" w:hAnsi="Times New Roman"/>
        </w:rPr>
      </w:pPr>
      <w:r>
        <w:rPr>
          <w:rFonts w:hint="eastAsia" w:hAnsi="Times New Roman"/>
        </w:rPr>
        <w:t>2.本单位安全生产规章制度和劳动纪律；</w:t>
      </w:r>
    </w:p>
    <w:p w14:paraId="2FDBB790">
      <w:pPr>
        <w:ind w:firstLine="640"/>
        <w:rPr>
          <w:rFonts w:hint="eastAsia" w:hAnsi="Times New Roman"/>
        </w:rPr>
      </w:pPr>
      <w:r>
        <w:rPr>
          <w:rFonts w:hint="eastAsia" w:hAnsi="Times New Roman"/>
        </w:rPr>
        <w:t>3.从业人员安全生产权利和义务；</w:t>
      </w:r>
    </w:p>
    <w:p w14:paraId="6008F632">
      <w:pPr>
        <w:ind w:firstLine="640"/>
        <w:rPr>
          <w:rFonts w:hint="eastAsia" w:hAnsi="Times New Roman"/>
        </w:rPr>
      </w:pPr>
      <w:r>
        <w:rPr>
          <w:rFonts w:hint="eastAsia" w:hAnsi="Times New Roman"/>
        </w:rPr>
        <w:t>4.有关事故案例；</w:t>
      </w:r>
    </w:p>
    <w:p w14:paraId="36AC5FFC">
      <w:pPr>
        <w:ind w:firstLine="640"/>
        <w:rPr>
          <w:rFonts w:ascii="Times New Roman" w:hAnsi="Times New Roman"/>
        </w:rPr>
      </w:pPr>
      <w:r>
        <w:rPr>
          <w:rFonts w:hint="eastAsia" w:hAnsi="Times New Roman"/>
        </w:rPr>
        <w:t>5.事故应</w:t>
      </w:r>
      <w:r>
        <w:rPr>
          <w:rFonts w:ascii="Times New Roman" w:hAnsi="Times New Roman"/>
        </w:rPr>
        <w:t>急救援、事故应急预案演练及防范措施等。</w:t>
      </w:r>
    </w:p>
    <w:p w14:paraId="1A9A5B32">
      <w:pPr>
        <w:ind w:firstLine="643"/>
        <w:rPr>
          <w:rFonts w:ascii="Times New Roman" w:hAnsi="Times New Roman"/>
        </w:rPr>
      </w:pPr>
      <w:r>
        <w:rPr>
          <w:rFonts w:hint="eastAsia" w:ascii="Times New Roman" w:hAnsi="Times New Roman"/>
          <w:b/>
          <w:bCs/>
          <w:color w:val="000000"/>
          <w:szCs w:val="32"/>
        </w:rPr>
        <w:t xml:space="preserve">第十一条  </w:t>
      </w:r>
      <w:r>
        <w:rPr>
          <w:rFonts w:ascii="Times New Roman" w:hAnsi="Times New Roman"/>
        </w:rPr>
        <w:t>车间级岗前安全培训内容应当包括：</w:t>
      </w:r>
    </w:p>
    <w:p w14:paraId="70581CFB">
      <w:pPr>
        <w:ind w:firstLine="640"/>
        <w:rPr>
          <w:rFonts w:hint="eastAsia" w:hAnsi="Times New Roman"/>
        </w:rPr>
      </w:pPr>
      <w:r>
        <w:rPr>
          <w:rFonts w:hint="eastAsia" w:hAnsi="Times New Roman"/>
        </w:rPr>
        <w:t>1.工作环境及危险因素；</w:t>
      </w:r>
    </w:p>
    <w:p w14:paraId="4C660F70">
      <w:pPr>
        <w:ind w:firstLine="640"/>
        <w:rPr>
          <w:rFonts w:hint="eastAsia" w:hAnsi="Times New Roman"/>
        </w:rPr>
      </w:pPr>
      <w:r>
        <w:rPr>
          <w:rFonts w:hint="eastAsia" w:hAnsi="Times New Roman"/>
        </w:rPr>
        <w:t>2.所从事工种可能遭受的职业伤害和伤亡事故；</w:t>
      </w:r>
    </w:p>
    <w:p w14:paraId="7A536908">
      <w:pPr>
        <w:ind w:firstLine="640"/>
        <w:rPr>
          <w:rFonts w:hint="eastAsia" w:hAnsi="Times New Roman"/>
        </w:rPr>
      </w:pPr>
      <w:r>
        <w:rPr>
          <w:rFonts w:hint="eastAsia" w:hAnsi="Times New Roman"/>
        </w:rPr>
        <w:t>3.所从事工种的安全职责、操作技能及强制性标准；</w:t>
      </w:r>
    </w:p>
    <w:p w14:paraId="4135D761">
      <w:pPr>
        <w:ind w:firstLine="640"/>
        <w:rPr>
          <w:rFonts w:hint="eastAsia" w:hAnsi="Times New Roman"/>
        </w:rPr>
      </w:pPr>
      <w:r>
        <w:rPr>
          <w:rFonts w:hint="eastAsia" w:hAnsi="Times New Roman"/>
        </w:rPr>
        <w:t>4.自救互救、急救方法、疏散和现场紧急情况的处理；</w:t>
      </w:r>
    </w:p>
    <w:p w14:paraId="3FC383AE">
      <w:pPr>
        <w:ind w:firstLine="640"/>
        <w:rPr>
          <w:rFonts w:hint="eastAsia" w:hAnsi="Times New Roman"/>
        </w:rPr>
      </w:pPr>
      <w:r>
        <w:rPr>
          <w:rFonts w:hint="eastAsia" w:hAnsi="Times New Roman"/>
        </w:rPr>
        <w:t>5.安全设备设施、个人防护用品的使用和维护；</w:t>
      </w:r>
    </w:p>
    <w:p w14:paraId="5517FE33">
      <w:pPr>
        <w:ind w:firstLine="640"/>
        <w:rPr>
          <w:rFonts w:hint="eastAsia" w:hAnsi="Times New Roman"/>
        </w:rPr>
      </w:pPr>
      <w:r>
        <w:rPr>
          <w:rFonts w:hint="eastAsia" w:hAnsi="Times New Roman"/>
        </w:rPr>
        <w:t>6.本车间（工段、区、队）安全生产状况及规章制度；</w:t>
      </w:r>
    </w:p>
    <w:p w14:paraId="2CC9C5A2">
      <w:pPr>
        <w:ind w:firstLine="640"/>
        <w:rPr>
          <w:rFonts w:hint="eastAsia" w:hAnsi="Times New Roman"/>
        </w:rPr>
      </w:pPr>
      <w:r>
        <w:rPr>
          <w:rFonts w:hint="eastAsia" w:hAnsi="Times New Roman"/>
        </w:rPr>
        <w:t>7.预防事故和职业危害的措施及应注意的安全事项；</w:t>
      </w:r>
    </w:p>
    <w:p w14:paraId="2493D4AE">
      <w:pPr>
        <w:ind w:firstLine="640"/>
        <w:rPr>
          <w:rFonts w:hint="eastAsia" w:hAnsi="Times New Roman"/>
        </w:rPr>
      </w:pPr>
      <w:r>
        <w:rPr>
          <w:rFonts w:hint="eastAsia" w:hAnsi="Times New Roman"/>
        </w:rPr>
        <w:t>8.有关事故案例；</w:t>
      </w:r>
    </w:p>
    <w:p w14:paraId="2E77B9B8">
      <w:pPr>
        <w:ind w:firstLine="640"/>
        <w:rPr>
          <w:rFonts w:ascii="Times New Roman" w:hAnsi="Times New Roman"/>
        </w:rPr>
      </w:pPr>
      <w:r>
        <w:rPr>
          <w:rFonts w:hint="eastAsia" w:hAnsi="Times New Roman"/>
        </w:rPr>
        <w:t>9.其他需</w:t>
      </w:r>
      <w:r>
        <w:rPr>
          <w:rFonts w:ascii="Times New Roman" w:hAnsi="Times New Roman"/>
        </w:rPr>
        <w:t>要培训的内容。</w:t>
      </w:r>
    </w:p>
    <w:p w14:paraId="7CBFF100">
      <w:pPr>
        <w:ind w:firstLine="643"/>
        <w:rPr>
          <w:rFonts w:ascii="Times New Roman" w:hAnsi="Times New Roman"/>
        </w:rPr>
      </w:pPr>
      <w:r>
        <w:rPr>
          <w:rFonts w:hint="eastAsia" w:ascii="Times New Roman" w:hAnsi="Times New Roman"/>
          <w:b/>
          <w:bCs/>
          <w:color w:val="000000"/>
          <w:szCs w:val="32"/>
        </w:rPr>
        <w:t>第</w:t>
      </w:r>
      <w:r>
        <w:rPr>
          <w:rFonts w:ascii="Times New Roman" w:hAnsi="Times New Roman"/>
          <w:b/>
          <w:bCs/>
          <w:color w:val="000000"/>
          <w:szCs w:val="32"/>
        </w:rPr>
        <w:t>十二</w:t>
      </w:r>
      <w:r>
        <w:rPr>
          <w:rFonts w:hint="eastAsia" w:ascii="Times New Roman" w:hAnsi="Times New Roman"/>
          <w:b/>
          <w:bCs/>
          <w:color w:val="000000"/>
          <w:szCs w:val="32"/>
        </w:rPr>
        <w:t xml:space="preserve">条  </w:t>
      </w:r>
      <w:r>
        <w:rPr>
          <w:rFonts w:ascii="Times New Roman" w:hAnsi="Times New Roman"/>
        </w:rPr>
        <w:t>班组级岗前安全培训内容应当包括：</w:t>
      </w:r>
    </w:p>
    <w:p w14:paraId="49D8969B">
      <w:pPr>
        <w:ind w:firstLine="640"/>
        <w:rPr>
          <w:rFonts w:hint="eastAsia" w:hAnsi="Times New Roman"/>
        </w:rPr>
      </w:pPr>
      <w:r>
        <w:rPr>
          <w:rFonts w:hint="eastAsia" w:hAnsi="Times New Roman"/>
        </w:rPr>
        <w:t>1.岗位安全操作规程；</w:t>
      </w:r>
    </w:p>
    <w:p w14:paraId="47C69F9A">
      <w:pPr>
        <w:ind w:firstLine="640"/>
        <w:rPr>
          <w:rFonts w:hint="eastAsia" w:hAnsi="Times New Roman"/>
        </w:rPr>
      </w:pPr>
      <w:r>
        <w:rPr>
          <w:rFonts w:hint="eastAsia" w:hAnsi="Times New Roman"/>
        </w:rPr>
        <w:t>2.岗位之间工作衔接配合的安全与职业卫生事项；</w:t>
      </w:r>
    </w:p>
    <w:p w14:paraId="04A8C8E3">
      <w:pPr>
        <w:ind w:firstLine="640"/>
        <w:rPr>
          <w:rFonts w:hint="eastAsia" w:hAnsi="Times New Roman"/>
        </w:rPr>
      </w:pPr>
      <w:r>
        <w:rPr>
          <w:rFonts w:hint="eastAsia" w:hAnsi="Times New Roman"/>
        </w:rPr>
        <w:t>3.有关事故案例；</w:t>
      </w:r>
    </w:p>
    <w:p w14:paraId="722C9CD3">
      <w:pPr>
        <w:ind w:firstLine="640"/>
        <w:rPr>
          <w:rFonts w:ascii="Times New Roman" w:hAnsi="Times New Roman"/>
        </w:rPr>
      </w:pPr>
      <w:r>
        <w:rPr>
          <w:rFonts w:hint="eastAsia" w:hAnsi="Times New Roman"/>
        </w:rPr>
        <w:t>4.其他</w:t>
      </w:r>
      <w:r>
        <w:rPr>
          <w:rFonts w:ascii="Times New Roman" w:hAnsi="Times New Roman"/>
        </w:rPr>
        <w:t>需要培训的内容。</w:t>
      </w:r>
    </w:p>
    <w:p w14:paraId="0DD8DCAC">
      <w:pPr>
        <w:ind w:firstLine="643"/>
        <w:rPr>
          <w:rFonts w:ascii="Times New Roman" w:hAnsi="Times New Roman"/>
        </w:rPr>
      </w:pPr>
      <w:r>
        <w:rPr>
          <w:rFonts w:hint="eastAsia" w:ascii="Times New Roman" w:hAnsi="Times New Roman"/>
          <w:b/>
          <w:bCs/>
          <w:color w:val="000000"/>
          <w:szCs w:val="32"/>
        </w:rPr>
        <w:t xml:space="preserve">第十三条 </w:t>
      </w:r>
      <w:r>
        <w:rPr>
          <w:rFonts w:hint="eastAsia" w:ascii="Times New Roman" w:hAnsi="Times New Roman"/>
        </w:rPr>
        <w:t xml:space="preserve"> </w:t>
      </w:r>
      <w:r>
        <w:rPr>
          <w:rFonts w:ascii="Times New Roman" w:hAnsi="Times New Roman"/>
        </w:rPr>
        <w:t>从业人员在本生产经营单位内调整工作岗位或离岗一年以上重新上岗时，应当重新接受车间级和班组级的安全培训。</w:t>
      </w:r>
    </w:p>
    <w:p w14:paraId="1924577C">
      <w:pPr>
        <w:ind w:firstLine="640"/>
        <w:rPr>
          <w:rFonts w:ascii="Times New Roman" w:hAnsi="Times New Roman"/>
        </w:rPr>
      </w:pPr>
      <w:r>
        <w:rPr>
          <w:rFonts w:ascii="Times New Roman" w:hAnsi="Times New Roman"/>
        </w:rPr>
        <w:t>生产经营单位采用新工艺、新技术、新材料或者使用新设备时，应当对有关从业人员重新进行有针对性的安全培训。</w:t>
      </w:r>
    </w:p>
    <w:p w14:paraId="65CD9951">
      <w:pPr>
        <w:ind w:firstLine="643"/>
        <w:rPr>
          <w:rFonts w:ascii="Times New Roman" w:hAnsi="Times New Roman"/>
        </w:rPr>
      </w:pPr>
      <w:r>
        <w:rPr>
          <w:rFonts w:hint="eastAsia" w:ascii="Times New Roman" w:hAnsi="Times New Roman"/>
          <w:b/>
          <w:bCs/>
          <w:color w:val="000000"/>
          <w:szCs w:val="32"/>
        </w:rPr>
        <w:t>第</w:t>
      </w:r>
      <w:r>
        <w:rPr>
          <w:rFonts w:ascii="Times New Roman" w:hAnsi="Times New Roman"/>
          <w:b/>
          <w:bCs/>
          <w:color w:val="000000"/>
          <w:szCs w:val="32"/>
        </w:rPr>
        <w:t>十</w:t>
      </w:r>
      <w:r>
        <w:rPr>
          <w:rFonts w:hint="eastAsia" w:ascii="Times New Roman" w:hAnsi="Times New Roman"/>
          <w:b/>
          <w:bCs/>
          <w:color w:val="000000"/>
          <w:szCs w:val="32"/>
        </w:rPr>
        <w:t xml:space="preserve">四条  </w:t>
      </w:r>
      <w:r>
        <w:rPr>
          <w:rFonts w:ascii="Times New Roman" w:hAnsi="Times New Roman"/>
        </w:rPr>
        <w:t>生产经营单位的特种作业人员，必须按照国家有关法律、法规的规定接受专门的安全培训，经考核合格，取得特种作业操作资格证书后，方可上岗作业。</w:t>
      </w:r>
    </w:p>
    <w:p w14:paraId="780D03C5">
      <w:pPr>
        <w:ind w:firstLine="643"/>
        <w:rPr>
          <w:rFonts w:ascii="Times New Roman" w:hAnsi="Times New Roman"/>
        </w:rPr>
      </w:pPr>
      <w:r>
        <w:rPr>
          <w:rFonts w:hint="eastAsia" w:ascii="Times New Roman" w:hAnsi="Times New Roman"/>
          <w:b/>
          <w:bCs/>
          <w:color w:val="000000"/>
          <w:szCs w:val="32"/>
        </w:rPr>
        <w:t>第</w:t>
      </w:r>
      <w:r>
        <w:rPr>
          <w:rFonts w:ascii="Times New Roman" w:hAnsi="Times New Roman"/>
          <w:b/>
          <w:bCs/>
          <w:color w:val="000000"/>
          <w:szCs w:val="32"/>
        </w:rPr>
        <w:t>十</w:t>
      </w:r>
      <w:r>
        <w:rPr>
          <w:rFonts w:hint="eastAsia" w:ascii="Times New Roman" w:hAnsi="Times New Roman"/>
          <w:b/>
          <w:bCs/>
          <w:color w:val="000000"/>
          <w:szCs w:val="32"/>
        </w:rPr>
        <w:t xml:space="preserve">五条  </w:t>
      </w:r>
      <w:r>
        <w:rPr>
          <w:rFonts w:ascii="Times New Roman" w:hAnsi="Times New Roman"/>
        </w:rPr>
        <w:t>发生事故后，按《事故管理规定》的要求，对事故责任者和相关员工进行安全教育，吸取教训，落实防范措施，防止类似事故发生。</w:t>
      </w:r>
    </w:p>
    <w:p w14:paraId="399CB209">
      <w:pPr>
        <w:ind w:firstLine="643"/>
        <w:rPr>
          <w:rFonts w:ascii="Times New Roman" w:hAnsi="Times New Roman"/>
        </w:rPr>
      </w:pPr>
      <w:r>
        <w:rPr>
          <w:rFonts w:hint="eastAsia" w:ascii="Times New Roman" w:hAnsi="Times New Roman"/>
          <w:b/>
          <w:bCs/>
          <w:color w:val="000000"/>
          <w:szCs w:val="32"/>
        </w:rPr>
        <w:t>第</w:t>
      </w:r>
      <w:r>
        <w:rPr>
          <w:rFonts w:ascii="Times New Roman" w:hAnsi="Times New Roman"/>
          <w:b/>
          <w:bCs/>
          <w:color w:val="000000"/>
          <w:szCs w:val="32"/>
        </w:rPr>
        <w:t>十</w:t>
      </w:r>
      <w:r>
        <w:rPr>
          <w:rFonts w:hint="eastAsia" w:ascii="Times New Roman" w:hAnsi="Times New Roman"/>
          <w:b/>
          <w:bCs/>
          <w:color w:val="000000"/>
          <w:szCs w:val="32"/>
        </w:rPr>
        <w:t xml:space="preserve">六条  </w:t>
      </w:r>
      <w:r>
        <w:rPr>
          <w:rFonts w:ascii="Times New Roman" w:hAnsi="Times New Roman"/>
        </w:rPr>
        <w:t>企业应开展以班组为单位的安全活动。安全活动应有针对性、科学性，做到经常化、制度化、规范化，防止流于形式和走过场。班组安全活动应做到有领导、有计划、有内容、有记录。单位领导和安全员应对安全活动记录进行检查、签字，并写出评语</w:t>
      </w:r>
      <w:r>
        <w:rPr>
          <w:rFonts w:hint="eastAsia" w:ascii="Times New Roman" w:hAnsi="Times New Roman"/>
        </w:rPr>
        <w:t>。</w:t>
      </w:r>
    </w:p>
    <w:p w14:paraId="36D41794">
      <w:pPr>
        <w:ind w:firstLine="643"/>
        <w:rPr>
          <w:rFonts w:ascii="Times New Roman" w:hAnsi="Times New Roman"/>
        </w:rPr>
      </w:pPr>
      <w:r>
        <w:rPr>
          <w:rFonts w:hint="eastAsia" w:ascii="Times New Roman" w:hAnsi="Times New Roman"/>
          <w:b/>
          <w:bCs/>
          <w:color w:val="000000"/>
          <w:szCs w:val="32"/>
        </w:rPr>
        <w:t>第</w:t>
      </w:r>
      <w:r>
        <w:rPr>
          <w:rFonts w:ascii="Times New Roman" w:hAnsi="Times New Roman"/>
          <w:b/>
          <w:bCs/>
          <w:color w:val="000000"/>
          <w:szCs w:val="32"/>
        </w:rPr>
        <w:t>十七</w:t>
      </w:r>
      <w:r>
        <w:rPr>
          <w:rFonts w:hint="eastAsia" w:ascii="Times New Roman" w:hAnsi="Times New Roman"/>
          <w:b/>
          <w:bCs/>
          <w:color w:val="000000"/>
          <w:szCs w:val="32"/>
        </w:rPr>
        <w:t xml:space="preserve">条  </w:t>
      </w:r>
      <w:r>
        <w:rPr>
          <w:rFonts w:ascii="Times New Roman" w:hAnsi="Times New Roman"/>
        </w:rPr>
        <w:t>班组安全活动是日常安全教育的一项重要工作，应认真组织，严格考勤制度，保证出勤率，不应无故缺席，有事须经单位领导批准。</w:t>
      </w:r>
    </w:p>
    <w:p w14:paraId="7AA8A901">
      <w:pPr>
        <w:ind w:firstLine="643"/>
        <w:rPr>
          <w:rFonts w:ascii="Times New Roman" w:hAnsi="Times New Roman"/>
        </w:rPr>
      </w:pPr>
      <w:r>
        <w:rPr>
          <w:rFonts w:hint="eastAsia" w:ascii="Times New Roman" w:hAnsi="Times New Roman"/>
          <w:b/>
          <w:bCs/>
          <w:color w:val="000000"/>
          <w:szCs w:val="32"/>
        </w:rPr>
        <w:t>第</w:t>
      </w:r>
      <w:r>
        <w:rPr>
          <w:rFonts w:ascii="Times New Roman" w:hAnsi="Times New Roman"/>
          <w:b/>
          <w:bCs/>
          <w:color w:val="000000"/>
          <w:szCs w:val="32"/>
        </w:rPr>
        <w:t>十八</w:t>
      </w:r>
      <w:r>
        <w:rPr>
          <w:rFonts w:hint="eastAsia" w:ascii="Times New Roman" w:hAnsi="Times New Roman"/>
          <w:b/>
          <w:bCs/>
          <w:color w:val="000000"/>
          <w:szCs w:val="32"/>
        </w:rPr>
        <w:t xml:space="preserve">条  </w:t>
      </w:r>
      <w:r>
        <w:rPr>
          <w:rFonts w:ascii="Times New Roman" w:hAnsi="Times New Roman"/>
        </w:rPr>
        <w:t>班组安全活动内容：</w:t>
      </w:r>
    </w:p>
    <w:p w14:paraId="7A823455">
      <w:pPr>
        <w:ind w:firstLine="640"/>
        <w:rPr>
          <w:rFonts w:hint="eastAsia" w:hAnsi="Times New Roman"/>
        </w:rPr>
      </w:pPr>
      <w:r>
        <w:rPr>
          <w:rFonts w:hint="eastAsia" w:hAnsi="Times New Roman"/>
        </w:rPr>
        <w:t>1.学习国家和政府颁发的有关安全生产法令和法规；</w:t>
      </w:r>
    </w:p>
    <w:p w14:paraId="660BBAAB">
      <w:pPr>
        <w:ind w:firstLine="640"/>
        <w:rPr>
          <w:rFonts w:hint="eastAsia" w:hAnsi="Times New Roman"/>
        </w:rPr>
      </w:pPr>
      <w:r>
        <w:rPr>
          <w:rFonts w:hint="eastAsia" w:hAnsi="Times New Roman"/>
        </w:rPr>
        <w:t>2.学习有关安全生产文件、安全通报、安全技术规程、安全管理制度及安全技术知识；</w:t>
      </w:r>
    </w:p>
    <w:p w14:paraId="1683D307">
      <w:pPr>
        <w:ind w:firstLine="640"/>
        <w:rPr>
          <w:rFonts w:hint="eastAsia" w:hAnsi="Times New Roman"/>
        </w:rPr>
      </w:pPr>
      <w:r>
        <w:rPr>
          <w:rFonts w:hint="eastAsia" w:hAnsi="Times New Roman"/>
        </w:rPr>
        <w:t>3.讨论分析典型事故，总结和吸取事故教训；</w:t>
      </w:r>
    </w:p>
    <w:p w14:paraId="110CB67C">
      <w:pPr>
        <w:ind w:firstLine="640"/>
        <w:rPr>
          <w:rFonts w:hint="eastAsia" w:hAnsi="Times New Roman"/>
        </w:rPr>
      </w:pPr>
      <w:r>
        <w:rPr>
          <w:rFonts w:hint="eastAsia" w:hAnsi="Times New Roman"/>
        </w:rPr>
        <w:t>4.开展防火、防爆、防中毒及自我保护能力训练，以及异常情况紧急处理和应急预案演练；</w:t>
      </w:r>
    </w:p>
    <w:p w14:paraId="6F12F1FF">
      <w:pPr>
        <w:ind w:firstLine="640"/>
        <w:rPr>
          <w:rFonts w:hint="eastAsia" w:hAnsi="Times New Roman"/>
        </w:rPr>
      </w:pPr>
      <w:r>
        <w:rPr>
          <w:rFonts w:hint="eastAsia" w:hAnsi="Times New Roman"/>
        </w:rPr>
        <w:t>5.开展岗位安全技术练兵、比武活动；</w:t>
      </w:r>
    </w:p>
    <w:p w14:paraId="408A4941">
      <w:pPr>
        <w:ind w:firstLine="640"/>
        <w:rPr>
          <w:rFonts w:hint="eastAsia" w:hAnsi="Times New Roman"/>
        </w:rPr>
      </w:pPr>
      <w:r>
        <w:rPr>
          <w:rFonts w:hint="eastAsia" w:hAnsi="Times New Roman"/>
        </w:rPr>
        <w:t>6.开展查隐患、纠违章活动；</w:t>
      </w:r>
    </w:p>
    <w:p w14:paraId="3D434024">
      <w:pPr>
        <w:ind w:firstLine="640"/>
        <w:rPr>
          <w:rFonts w:hint="eastAsia" w:hAnsi="Times New Roman"/>
        </w:rPr>
      </w:pPr>
      <w:r>
        <w:rPr>
          <w:rFonts w:hint="eastAsia" w:hAnsi="Times New Roman"/>
        </w:rPr>
        <w:t>7.开展安全技术座谈，观看安全教育电影和录像；</w:t>
      </w:r>
    </w:p>
    <w:p w14:paraId="2355F214">
      <w:pPr>
        <w:ind w:firstLine="640"/>
        <w:rPr>
          <w:rFonts w:ascii="Times New Roman" w:hAnsi="Times New Roman"/>
        </w:rPr>
      </w:pPr>
      <w:r>
        <w:rPr>
          <w:rFonts w:hint="eastAsia" w:hAnsi="Times New Roman"/>
        </w:rPr>
        <w:t>8.其他安</w:t>
      </w:r>
      <w:r>
        <w:rPr>
          <w:rFonts w:ascii="Times New Roman" w:hAnsi="Times New Roman"/>
        </w:rPr>
        <w:t>全活动。</w:t>
      </w:r>
    </w:p>
    <w:p w14:paraId="0C8E91D0">
      <w:pPr>
        <w:ind w:firstLine="643"/>
        <w:rPr>
          <w:rFonts w:ascii="Times New Roman" w:hAnsi="Times New Roman"/>
        </w:rPr>
      </w:pPr>
      <w:r>
        <w:rPr>
          <w:rFonts w:hint="eastAsia" w:ascii="Times New Roman" w:hAnsi="Times New Roman"/>
          <w:b/>
          <w:bCs/>
          <w:color w:val="000000"/>
          <w:szCs w:val="32"/>
        </w:rPr>
        <w:t>第</w:t>
      </w:r>
      <w:r>
        <w:rPr>
          <w:rFonts w:ascii="Times New Roman" w:hAnsi="Times New Roman"/>
          <w:b/>
          <w:bCs/>
          <w:color w:val="000000"/>
          <w:szCs w:val="32"/>
        </w:rPr>
        <w:t>十</w:t>
      </w:r>
      <w:r>
        <w:rPr>
          <w:rFonts w:hint="eastAsia" w:ascii="Times New Roman" w:hAnsi="Times New Roman"/>
          <w:b/>
          <w:bCs/>
          <w:color w:val="000000"/>
          <w:szCs w:val="32"/>
        </w:rPr>
        <w:t xml:space="preserve">九条  </w:t>
      </w:r>
      <w:r>
        <w:rPr>
          <w:rFonts w:ascii="Times New Roman" w:hAnsi="Times New Roman"/>
        </w:rPr>
        <w:t>安全教育组织管理制度：</w:t>
      </w:r>
    </w:p>
    <w:p w14:paraId="6DA4AFC5">
      <w:pPr>
        <w:ind w:firstLine="640"/>
        <w:rPr>
          <w:rFonts w:hint="eastAsia" w:hAnsi="Times New Roman"/>
        </w:rPr>
      </w:pPr>
      <w:r>
        <w:rPr>
          <w:rFonts w:hint="eastAsia" w:hAnsi="Times New Roman"/>
        </w:rPr>
        <w:t>1.企业的各级主要负责人，对本单位的安全教育工作负责。</w:t>
      </w:r>
    </w:p>
    <w:p w14:paraId="58817A7D">
      <w:pPr>
        <w:ind w:firstLine="640"/>
        <w:rPr>
          <w:rFonts w:hint="eastAsia" w:hAnsi="Times New Roman"/>
        </w:rPr>
      </w:pPr>
      <w:r>
        <w:rPr>
          <w:rFonts w:hint="eastAsia" w:hAnsi="Times New Roman"/>
        </w:rPr>
        <w:t>2.安全教育培训工作应纳入本单位教育培训年度计划和中长期规划，应保证所需人员、资金和物资。</w:t>
      </w:r>
    </w:p>
    <w:p w14:paraId="14153EB7">
      <w:pPr>
        <w:ind w:firstLine="640"/>
        <w:rPr>
          <w:rFonts w:hint="eastAsia" w:hAnsi="Times New Roman"/>
        </w:rPr>
      </w:pPr>
      <w:r>
        <w:rPr>
          <w:rFonts w:hint="eastAsia" w:hAnsi="Times New Roman"/>
        </w:rPr>
        <w:t>3.应建立健全安全教育培训档案并实行分级管理。</w:t>
      </w:r>
    </w:p>
    <w:p w14:paraId="7F13D870">
      <w:pPr>
        <w:ind w:firstLine="640"/>
        <w:rPr>
          <w:rFonts w:hint="eastAsia" w:hAnsi="Times New Roman"/>
        </w:rPr>
      </w:pPr>
      <w:r>
        <w:rPr>
          <w:rFonts w:hint="eastAsia" w:hAnsi="Times New Roman"/>
        </w:rPr>
        <w:t>4.对认真开展安全教育培训并在防止伤亡事故、减少职业危害方面做出成绩的单位和个人，应予以表彰和奖励。</w:t>
      </w:r>
    </w:p>
    <w:p w14:paraId="3FD1D2CA">
      <w:pPr>
        <w:ind w:firstLine="640"/>
        <w:rPr>
          <w:rFonts w:ascii="Times New Roman" w:hAnsi="Times New Roman"/>
        </w:rPr>
      </w:pPr>
      <w:r>
        <w:rPr>
          <w:rFonts w:hint="eastAsia" w:hAnsi="Times New Roman"/>
        </w:rPr>
        <w:t>5.对未按</w:t>
      </w:r>
      <w:r>
        <w:rPr>
          <w:rFonts w:ascii="Times New Roman" w:hAnsi="Times New Roman"/>
        </w:rPr>
        <w:t>本规定要求进行安全教育培训，安全教育培训不到位造成事故的，将追究有关责任人的责任。</w:t>
      </w:r>
    </w:p>
    <w:p w14:paraId="534CD375">
      <w:pPr>
        <w:ind w:firstLine="640"/>
        <w:rPr>
          <w:rFonts w:hint="eastAsia" w:ascii="Times New Roman" w:hAnsi="Times New Roman"/>
        </w:rPr>
      </w:pPr>
    </w:p>
    <w:p w14:paraId="17C0963E">
      <w:pPr>
        <w:pStyle w:val="3"/>
        <w:ind w:firstLine="720"/>
        <w:jc w:val="left"/>
        <w:rPr>
          <w:rFonts w:ascii="黑体" w:hAnsi="黑体" w:eastAsia="黑体"/>
          <w:b w:val="0"/>
          <w:bCs/>
        </w:rPr>
      </w:pPr>
      <w:bookmarkStart w:id="29" w:name="_Toc637"/>
      <w:r>
        <w:rPr>
          <w:rFonts w:ascii="黑体" w:hAnsi="黑体" w:eastAsia="黑体"/>
          <w:b w:val="0"/>
          <w:bCs/>
        </w:rPr>
        <w:t>十</w:t>
      </w:r>
      <w:r>
        <w:rPr>
          <w:rFonts w:hint="eastAsia" w:ascii="黑体" w:hAnsi="黑体" w:eastAsia="黑体"/>
          <w:b w:val="0"/>
          <w:bCs/>
        </w:rPr>
        <w:t>六</w:t>
      </w:r>
      <w:r>
        <w:rPr>
          <w:rFonts w:ascii="黑体" w:hAnsi="黑体" w:eastAsia="黑体"/>
          <w:b w:val="0"/>
          <w:bCs/>
        </w:rPr>
        <w:t>、化工园区实训基地管理制度</w:t>
      </w:r>
      <w:bookmarkEnd w:id="29"/>
    </w:p>
    <w:p w14:paraId="4FFFF090">
      <w:pPr>
        <w:ind w:firstLine="643"/>
        <w:rPr>
          <w:rFonts w:ascii="Times New Roman" w:hAnsi="Times New Roman"/>
          <w:color w:val="000000"/>
        </w:rPr>
      </w:pPr>
      <w:r>
        <w:rPr>
          <w:rFonts w:hint="eastAsia" w:ascii="Times New Roman" w:hAnsi="Times New Roman"/>
          <w:b/>
          <w:bCs/>
          <w:color w:val="000000"/>
          <w:szCs w:val="32"/>
        </w:rPr>
        <w:t xml:space="preserve">第一条  </w:t>
      </w:r>
      <w:r>
        <w:rPr>
          <w:rFonts w:hint="eastAsia" w:ascii="Times New Roman" w:hAnsi="Times New Roman"/>
          <w:color w:val="000000"/>
        </w:rPr>
        <w:t>随州市青春化工工业园</w:t>
      </w:r>
      <w:r>
        <w:rPr>
          <w:rFonts w:ascii="Times New Roman" w:hAnsi="Times New Roman"/>
          <w:color w:val="000000"/>
        </w:rPr>
        <w:t>与湖北省周边培训中心签订</w:t>
      </w:r>
      <w:r>
        <w:rPr>
          <w:rFonts w:hint="eastAsia" w:ascii="Times New Roman" w:hAnsi="Times New Roman"/>
          <w:color w:val="000000"/>
        </w:rPr>
        <w:t>培训</w:t>
      </w:r>
      <w:r>
        <w:rPr>
          <w:rFonts w:ascii="Times New Roman" w:hAnsi="Times New Roman"/>
          <w:color w:val="000000"/>
        </w:rPr>
        <w:t>合作协议，由培训中心为化工园区企业提供</w:t>
      </w:r>
      <w:r>
        <w:rPr>
          <w:rFonts w:hint="eastAsia" w:ascii="Times New Roman" w:hAnsi="Times New Roman"/>
          <w:color w:val="000000"/>
        </w:rPr>
        <w:t>氟化</w:t>
      </w:r>
      <w:r>
        <w:rPr>
          <w:rFonts w:ascii="Times New Roman" w:hAnsi="Times New Roman"/>
          <w:color w:val="000000"/>
        </w:rPr>
        <w:t>工艺、</w:t>
      </w:r>
      <w:r>
        <w:rPr>
          <w:rFonts w:hint="eastAsia" w:ascii="Times New Roman" w:hAnsi="Times New Roman"/>
          <w:color w:val="000000"/>
        </w:rPr>
        <w:t>氯化</w:t>
      </w:r>
      <w:r>
        <w:rPr>
          <w:rFonts w:ascii="Times New Roman" w:hAnsi="Times New Roman"/>
          <w:color w:val="000000"/>
        </w:rPr>
        <w:t>工艺与</w:t>
      </w:r>
      <w:r>
        <w:rPr>
          <w:rFonts w:hint="eastAsia" w:ascii="Times New Roman" w:hAnsi="Times New Roman"/>
          <w:color w:val="000000"/>
        </w:rPr>
        <w:t>胺基化工艺</w:t>
      </w:r>
      <w:r>
        <w:rPr>
          <w:rFonts w:ascii="Times New Roman" w:hAnsi="Times New Roman"/>
          <w:color w:val="000000"/>
        </w:rPr>
        <w:t>实训服务。</w:t>
      </w:r>
    </w:p>
    <w:p w14:paraId="11E4ADF6">
      <w:pPr>
        <w:ind w:firstLine="643"/>
        <w:rPr>
          <w:rFonts w:ascii="Times New Roman" w:hAnsi="Times New Roman"/>
        </w:rPr>
      </w:pPr>
      <w:r>
        <w:rPr>
          <w:rFonts w:hint="eastAsia" w:ascii="Times New Roman" w:hAnsi="Times New Roman"/>
          <w:b/>
          <w:bCs/>
          <w:color w:val="000000"/>
          <w:szCs w:val="32"/>
        </w:rPr>
        <w:t xml:space="preserve">第二条  </w:t>
      </w:r>
      <w:r>
        <w:rPr>
          <w:rFonts w:ascii="Times New Roman" w:hAnsi="Times New Roman"/>
          <w:color w:val="000000"/>
        </w:rPr>
        <w:t>化工实训基地日常管理单位，负责师资队伍、课程体系、培训信息管理平台、培训管理、运维管理的建设和运维保障。</w:t>
      </w:r>
    </w:p>
    <w:p w14:paraId="4BBBD723">
      <w:pPr>
        <w:ind w:firstLine="643"/>
        <w:rPr>
          <w:rFonts w:ascii="Times New Roman" w:hAnsi="Times New Roman"/>
        </w:rPr>
      </w:pPr>
      <w:r>
        <w:rPr>
          <w:rFonts w:hint="eastAsia" w:ascii="Times New Roman" w:hAnsi="Times New Roman"/>
          <w:b/>
          <w:bCs/>
          <w:color w:val="000000"/>
          <w:szCs w:val="32"/>
        </w:rPr>
        <w:t xml:space="preserve">第三条  </w:t>
      </w:r>
      <w:r>
        <w:rPr>
          <w:rFonts w:ascii="Times New Roman" w:hAnsi="Times New Roman"/>
          <w:color w:val="000000"/>
        </w:rPr>
        <w:t>实训基地培训对象包括</w:t>
      </w:r>
      <w:r>
        <w:rPr>
          <w:rFonts w:hint="eastAsia" w:ascii="Times New Roman" w:hAnsi="Times New Roman"/>
          <w:color w:val="000000"/>
        </w:rPr>
        <w:t>青春</w:t>
      </w:r>
      <w:r>
        <w:rPr>
          <w:rFonts w:ascii="Times New Roman" w:hAnsi="Times New Roman"/>
          <w:color w:val="000000"/>
        </w:rPr>
        <w:t>化工园区安全监管人员，化工园区内企业需要培训人员（</w:t>
      </w:r>
      <w:r>
        <w:rPr>
          <w:rFonts w:hint="eastAsia" w:ascii="Times New Roman" w:hAnsi="Times New Roman"/>
          <w:color w:val="000000"/>
        </w:rPr>
        <w:t>包括</w:t>
      </w:r>
      <w:r>
        <w:rPr>
          <w:rFonts w:ascii="Times New Roman" w:hAnsi="Times New Roman"/>
          <w:color w:val="000000"/>
        </w:rPr>
        <w:t>主要负责人、安全管理人员、重点岗位操作人员、特殊作业人员等）。</w:t>
      </w:r>
    </w:p>
    <w:p w14:paraId="7B1CA05F">
      <w:pPr>
        <w:ind w:firstLine="643"/>
        <w:rPr>
          <w:rFonts w:ascii="Times New Roman" w:hAnsi="Times New Roman"/>
        </w:rPr>
      </w:pPr>
      <w:r>
        <w:rPr>
          <w:rFonts w:hint="eastAsia" w:ascii="Times New Roman" w:hAnsi="Times New Roman"/>
          <w:b/>
          <w:bCs/>
          <w:color w:val="000000"/>
          <w:szCs w:val="32"/>
        </w:rPr>
        <w:t xml:space="preserve">第四条  </w:t>
      </w:r>
      <w:r>
        <w:rPr>
          <w:rFonts w:hint="eastAsia" w:ascii="Times New Roman" w:hAnsi="Times New Roman"/>
          <w:color w:val="000000"/>
        </w:rPr>
        <w:t>青春</w:t>
      </w:r>
      <w:r>
        <w:rPr>
          <w:rFonts w:ascii="Times New Roman" w:hAnsi="Times New Roman"/>
          <w:color w:val="000000"/>
        </w:rPr>
        <w:t>化工</w:t>
      </w:r>
      <w:r>
        <w:rPr>
          <w:rFonts w:hint="eastAsia" w:ascii="Times New Roman" w:hAnsi="Times New Roman"/>
          <w:color w:val="000000"/>
        </w:rPr>
        <w:t>工业</w:t>
      </w:r>
      <w:r>
        <w:rPr>
          <w:rFonts w:ascii="Times New Roman" w:hAnsi="Times New Roman"/>
          <w:color w:val="000000"/>
        </w:rPr>
        <w:t>园区内企业根据培训人员需要拟定培训计划，开展包括但不限于化工设备检维修、特殊作业安全技能、个体防护和应急处置、事故警示教育的培训、实训，以及对应取证人员进行取证培训考核。</w:t>
      </w:r>
    </w:p>
    <w:p w14:paraId="57610D22">
      <w:pPr>
        <w:ind w:firstLine="640"/>
        <w:rPr>
          <w:rFonts w:ascii="Times New Roman" w:hAnsi="Times New Roman"/>
        </w:rPr>
      </w:pPr>
    </w:p>
    <w:p w14:paraId="588D955B">
      <w:pPr>
        <w:ind w:firstLine="640"/>
        <w:rPr>
          <w:rFonts w:ascii="Times New Roman" w:hAnsi="Times New Roman"/>
        </w:rPr>
      </w:pPr>
    </w:p>
    <w:p w14:paraId="353EF44C">
      <w:pPr>
        <w:ind w:firstLine="640"/>
        <w:rPr>
          <w:rFonts w:ascii="Times New Roman" w:hAnsi="Times New Roman"/>
        </w:rPr>
        <w:sectPr>
          <w:pgSz w:w="11906" w:h="16838"/>
          <w:pgMar w:top="2098" w:right="1531" w:bottom="1984" w:left="1531" w:header="851" w:footer="1417" w:gutter="0"/>
          <w:cols w:space="720" w:num="1"/>
          <w:docGrid w:type="lines" w:linePitch="439" w:charSpace="0"/>
        </w:sectPr>
      </w:pPr>
    </w:p>
    <w:p w14:paraId="62579739">
      <w:pPr>
        <w:pStyle w:val="2"/>
        <w:spacing w:before="0" w:after="0" w:line="600" w:lineRule="exact"/>
        <w:rPr>
          <w:rFonts w:ascii="Times New Roman" w:hAnsi="Times New Roman"/>
        </w:rPr>
      </w:pPr>
      <w:bookmarkStart w:id="30" w:name="_Toc26192"/>
      <w:bookmarkStart w:id="31" w:name="_Toc32375"/>
      <w:r>
        <w:rPr>
          <w:rFonts w:ascii="Times New Roman" w:hAnsi="Times New Roman"/>
        </w:rPr>
        <w:t xml:space="preserve">第六章 </w:t>
      </w:r>
      <w:r>
        <w:rPr>
          <w:rFonts w:hint="eastAsia" w:ascii="Times New Roman" w:hAnsi="Times New Roman"/>
          <w:lang w:val="en-US" w:eastAsia="zh-CN"/>
        </w:rPr>
        <w:t xml:space="preserve"> </w:t>
      </w:r>
      <w:r>
        <w:rPr>
          <w:rFonts w:ascii="Times New Roman" w:hAnsi="Times New Roman"/>
        </w:rPr>
        <w:t>重大危险源管理</w:t>
      </w:r>
      <w:bookmarkEnd w:id="30"/>
      <w:bookmarkEnd w:id="31"/>
    </w:p>
    <w:p w14:paraId="1A8D234A">
      <w:pPr>
        <w:spacing w:line="600" w:lineRule="exact"/>
        <w:ind w:firstLine="640"/>
        <w:rPr>
          <w:rFonts w:ascii="Times New Roman" w:hAnsi="Times New Roman"/>
        </w:rPr>
      </w:pPr>
    </w:p>
    <w:p w14:paraId="5473F3CA">
      <w:pPr>
        <w:pStyle w:val="3"/>
        <w:spacing w:line="600" w:lineRule="exact"/>
        <w:ind w:firstLine="720"/>
        <w:jc w:val="both"/>
        <w:rPr>
          <w:rFonts w:ascii="黑体" w:hAnsi="黑体" w:eastAsia="黑体"/>
          <w:b w:val="0"/>
          <w:bCs/>
        </w:rPr>
      </w:pPr>
      <w:bookmarkStart w:id="32" w:name="_Toc16307"/>
      <w:r>
        <w:rPr>
          <w:rFonts w:ascii="黑体" w:hAnsi="黑体" w:eastAsia="黑体"/>
          <w:b w:val="0"/>
          <w:bCs/>
        </w:rPr>
        <w:t>十</w:t>
      </w:r>
      <w:r>
        <w:rPr>
          <w:rFonts w:hint="eastAsia" w:ascii="黑体" w:hAnsi="黑体" w:eastAsia="黑体"/>
          <w:b w:val="0"/>
          <w:bCs/>
        </w:rPr>
        <w:t>七</w:t>
      </w:r>
      <w:r>
        <w:rPr>
          <w:rFonts w:ascii="黑体" w:hAnsi="黑体" w:eastAsia="黑体"/>
          <w:b w:val="0"/>
          <w:bCs/>
        </w:rPr>
        <w:t>、危险化学品重大危险源管理制度</w:t>
      </w:r>
      <w:bookmarkEnd w:id="32"/>
    </w:p>
    <w:p w14:paraId="6F45125E">
      <w:pPr>
        <w:pStyle w:val="4"/>
        <w:ind w:firstLine="643"/>
      </w:pPr>
      <w:r>
        <w:rPr>
          <w:rFonts w:hint="eastAsia"/>
        </w:rPr>
        <w:t>（一）</w:t>
      </w:r>
      <w:r>
        <w:t>总则</w:t>
      </w:r>
    </w:p>
    <w:p w14:paraId="6FA8A7A6">
      <w:pPr>
        <w:ind w:firstLine="640"/>
        <w:rPr>
          <w:rFonts w:hint="eastAsia" w:hAnsi="Times New Roman"/>
        </w:rPr>
      </w:pPr>
      <w:r>
        <w:rPr>
          <w:rFonts w:hint="eastAsia" w:hAnsi="Times New Roman"/>
        </w:rPr>
        <w:t>1.危险化学品重大危险源是指按照《危险化学品重大危险源辨识》（GB18218）标准辨识确定，生产、储存、使用或者经营危险化学品的数量等于或者超过临界量的单元（包括场所和设施）。</w:t>
      </w:r>
    </w:p>
    <w:p w14:paraId="410BDF3C">
      <w:pPr>
        <w:ind w:firstLine="640"/>
        <w:rPr>
          <w:rFonts w:hint="eastAsia" w:hAnsi="Times New Roman"/>
        </w:rPr>
      </w:pPr>
      <w:r>
        <w:rPr>
          <w:rFonts w:hint="eastAsia" w:hAnsi="Times New Roman"/>
        </w:rPr>
        <w:t>2.危险化学品企业是本企业重大危险源安全管理的责任主体，其主要负责人是本企业安全生产第一责任人，对本企业的重大危险源安全管理工作全面负责，并保证重大危险源安全生产所需安全投入的有效实施。</w:t>
      </w:r>
    </w:p>
    <w:p w14:paraId="3E552C92">
      <w:pPr>
        <w:ind w:firstLine="640"/>
        <w:rPr>
          <w:rFonts w:hint="eastAsia" w:hAnsi="Times New Roman"/>
        </w:rPr>
      </w:pPr>
      <w:r>
        <w:rPr>
          <w:rFonts w:hint="eastAsia" w:hAnsi="Times New Roman"/>
        </w:rPr>
        <w:t>危险化学品企业应当明确本企业每处重大危险源的主要负责人、技术负责人和操作负责人及其安全责任，分别从总体管理、技术管理、操作管理对重大危险源实行安全包保。</w:t>
      </w:r>
    </w:p>
    <w:p w14:paraId="4AE2BD45">
      <w:pPr>
        <w:ind w:firstLine="640"/>
        <w:rPr>
          <w:rFonts w:hint="eastAsia" w:hAnsi="Times New Roman"/>
        </w:rPr>
      </w:pPr>
      <w:r>
        <w:rPr>
          <w:rFonts w:hint="eastAsia" w:hAnsi="Times New Roman"/>
        </w:rPr>
        <w:t>3.重大危险源的安全监督管理实行属地监管与分级管理相结合的原则。</w:t>
      </w:r>
    </w:p>
    <w:p w14:paraId="468EA246">
      <w:pPr>
        <w:ind w:firstLine="640"/>
        <w:rPr>
          <w:rFonts w:hint="eastAsia" w:hAnsi="Times New Roman"/>
        </w:rPr>
      </w:pPr>
      <w:r>
        <w:rPr>
          <w:rFonts w:hint="eastAsia" w:hAnsi="Times New Roman"/>
        </w:rPr>
        <w:t>安全生产部室协助区应急管理局按照有关法律、法规、标准和规定，对化工园区内的重大危险源实施安全监督管理。</w:t>
      </w:r>
    </w:p>
    <w:p w14:paraId="7F48363E">
      <w:pPr>
        <w:ind w:firstLine="640"/>
        <w:rPr>
          <w:rFonts w:ascii="Times New Roman" w:hAnsi="Times New Roman"/>
        </w:rPr>
      </w:pPr>
      <w:r>
        <w:rPr>
          <w:rFonts w:hint="eastAsia" w:hAnsi="Times New Roman"/>
        </w:rPr>
        <w:t>4.危险</w:t>
      </w:r>
      <w:r>
        <w:rPr>
          <w:rFonts w:ascii="Times New Roman" w:hAnsi="Times New Roman"/>
        </w:rPr>
        <w:t>化学品企业应当按照有关规定将相关信息接入监测预警系统，利用信息化、数字化、智能化手段提高重大危险源安全管理的质量和效果。</w:t>
      </w:r>
    </w:p>
    <w:p w14:paraId="6E9A32F9">
      <w:pPr>
        <w:pStyle w:val="4"/>
        <w:ind w:firstLine="643"/>
      </w:pPr>
      <w:r>
        <w:rPr>
          <w:rFonts w:hint="eastAsia"/>
        </w:rPr>
        <w:t>（二）</w:t>
      </w:r>
      <w:r>
        <w:t>辨识、分级与评估</w:t>
      </w:r>
    </w:p>
    <w:p w14:paraId="2D7E22F4">
      <w:pPr>
        <w:ind w:firstLine="640"/>
        <w:rPr>
          <w:rFonts w:hint="eastAsia" w:hAnsi="Times New Roman"/>
        </w:rPr>
      </w:pPr>
      <w:r>
        <w:rPr>
          <w:rFonts w:hint="eastAsia" w:hAnsi="Times New Roman"/>
        </w:rPr>
        <w:t>1.危险化学品企业应当按照《危险化学品重大危险源辨识》标准，对本企业的危险化学品生产、储存、使用和经营的装置、设施或者场所进行重大危险源辨识，并记录辨识过程与结果。</w:t>
      </w:r>
    </w:p>
    <w:p w14:paraId="736E2966">
      <w:pPr>
        <w:ind w:firstLine="640"/>
        <w:rPr>
          <w:rFonts w:hint="eastAsia" w:hAnsi="Times New Roman"/>
        </w:rPr>
      </w:pPr>
      <w:r>
        <w:rPr>
          <w:rFonts w:hint="eastAsia" w:hAnsi="Times New Roman"/>
        </w:rPr>
        <w:t>2.危险化学品企业应当对重大危险源进行安全评估并确定重大危险源等级。危险化学品企业可以组织本企业化工安全专业的注册安全工程师、技术人员或者聘请有关专家进行安全评估，也可以委托具有相应资质条件的安全评价机构进行安全评估。</w:t>
      </w:r>
    </w:p>
    <w:p w14:paraId="5AAC09EB">
      <w:pPr>
        <w:ind w:firstLine="640"/>
        <w:rPr>
          <w:rFonts w:ascii="Times New Roman" w:hAnsi="Times New Roman"/>
        </w:rPr>
      </w:pPr>
      <w:r>
        <w:rPr>
          <w:rFonts w:hint="eastAsia" w:hAnsi="Times New Roman"/>
        </w:rPr>
        <w:t>3.重大危险源涉及爆炸物的，或者涉及有毒气体或易燃气体且其设计最</w:t>
      </w:r>
      <w:r>
        <w:rPr>
          <w:rFonts w:ascii="Times New Roman" w:hAnsi="Times New Roman"/>
        </w:rPr>
        <w:t>大量与《危险化学品重大危险源辨识》标准中规定的临界量比值之和大于或者等于1的，应当委托具有相应资质条件的安全评价机构，按照《危险化学品生产装置和储存设施风险基准》（GB36894）和《危险化学品生产装置和储存设施外部安全防护距离确定方法》（GB/T37243）等有关标准要求进行安全评估，确定个人和社会风险值及外部安全防护距离。</w:t>
      </w:r>
    </w:p>
    <w:p w14:paraId="63027039">
      <w:pPr>
        <w:ind w:firstLine="640"/>
        <w:rPr>
          <w:rFonts w:ascii="Times New Roman" w:hAnsi="Times New Roman"/>
        </w:rPr>
      </w:pPr>
      <w:r>
        <w:rPr>
          <w:rFonts w:ascii="Times New Roman" w:hAnsi="Times New Roman"/>
        </w:rPr>
        <w:t>个人和社会风险值及外部安全防护距离不符合标准限值的，危险化学品企业应当采取相应的降低风险措施。</w:t>
      </w:r>
    </w:p>
    <w:p w14:paraId="1E636604">
      <w:pPr>
        <w:ind w:firstLine="640"/>
        <w:rPr>
          <w:rFonts w:hint="eastAsia" w:hAnsi="Times New Roman"/>
        </w:rPr>
      </w:pPr>
      <w:r>
        <w:rPr>
          <w:rFonts w:hint="eastAsia" w:hAnsi="Times New Roman"/>
        </w:rPr>
        <w:t>4.重大危险源安全评估报告应当客观公正、数据准确、内容完整、结论明确、措施可行，并包括下列内容：</w:t>
      </w:r>
    </w:p>
    <w:p w14:paraId="51A5EDE0">
      <w:pPr>
        <w:ind w:firstLine="640"/>
        <w:rPr>
          <w:rFonts w:hint="eastAsia" w:hAnsi="Times New Roman"/>
        </w:rPr>
      </w:pPr>
      <w:r>
        <w:rPr>
          <w:rFonts w:hint="eastAsia" w:hAnsi="Times New Roman"/>
        </w:rPr>
        <w:t>（1）评估的主要依据；</w:t>
      </w:r>
    </w:p>
    <w:p w14:paraId="178EE51A">
      <w:pPr>
        <w:ind w:firstLine="640"/>
        <w:rPr>
          <w:rFonts w:hint="eastAsia" w:hAnsi="Times New Roman"/>
        </w:rPr>
      </w:pPr>
      <w:r>
        <w:rPr>
          <w:rFonts w:hint="eastAsia" w:hAnsi="Times New Roman"/>
        </w:rPr>
        <w:t>（2）重大危险源的基本情况；</w:t>
      </w:r>
    </w:p>
    <w:p w14:paraId="5163FCF9">
      <w:pPr>
        <w:ind w:firstLine="640"/>
        <w:rPr>
          <w:rFonts w:hint="eastAsia" w:hAnsi="Times New Roman"/>
        </w:rPr>
      </w:pPr>
      <w:r>
        <w:rPr>
          <w:rFonts w:hint="eastAsia" w:hAnsi="Times New Roman"/>
        </w:rPr>
        <w:t>（3）重大危险源辨识、分级的符合性分析；</w:t>
      </w:r>
    </w:p>
    <w:p w14:paraId="7EDEB943">
      <w:pPr>
        <w:ind w:firstLine="640"/>
        <w:rPr>
          <w:rFonts w:hint="eastAsia" w:hAnsi="Times New Roman"/>
        </w:rPr>
      </w:pPr>
      <w:r>
        <w:rPr>
          <w:rFonts w:hint="eastAsia" w:hAnsi="Times New Roman"/>
        </w:rPr>
        <w:t>（4）事故发生的可能性及危害程度；</w:t>
      </w:r>
    </w:p>
    <w:p w14:paraId="31B1B0F5">
      <w:pPr>
        <w:ind w:firstLine="640"/>
        <w:rPr>
          <w:rFonts w:hint="eastAsia" w:hAnsi="Times New Roman"/>
        </w:rPr>
      </w:pPr>
      <w:r>
        <w:rPr>
          <w:rFonts w:hint="eastAsia" w:hAnsi="Times New Roman"/>
        </w:rPr>
        <w:t>（5）个人风险和社会风险值；</w:t>
      </w:r>
    </w:p>
    <w:p w14:paraId="0385F7EB">
      <w:pPr>
        <w:ind w:firstLine="640"/>
        <w:rPr>
          <w:rFonts w:hint="eastAsia" w:hAnsi="Times New Roman"/>
        </w:rPr>
      </w:pPr>
      <w:r>
        <w:rPr>
          <w:rFonts w:hint="eastAsia" w:hAnsi="Times New Roman"/>
        </w:rPr>
        <w:t>（6）与周边单位、场所、人员的日常和事故状态下的相互影响及多米诺效应情况；</w:t>
      </w:r>
    </w:p>
    <w:p w14:paraId="5DA17E65">
      <w:pPr>
        <w:ind w:firstLine="640"/>
        <w:rPr>
          <w:rFonts w:hint="eastAsia" w:hAnsi="Times New Roman"/>
        </w:rPr>
      </w:pPr>
      <w:r>
        <w:rPr>
          <w:rFonts w:hint="eastAsia" w:hAnsi="Times New Roman"/>
        </w:rPr>
        <w:t>（7）外部安全防护距离；</w:t>
      </w:r>
    </w:p>
    <w:p w14:paraId="0B814118">
      <w:pPr>
        <w:ind w:firstLine="640"/>
        <w:rPr>
          <w:rFonts w:hint="eastAsia" w:hAnsi="Times New Roman"/>
        </w:rPr>
      </w:pPr>
      <w:r>
        <w:rPr>
          <w:rFonts w:hint="eastAsia" w:hAnsi="Times New Roman"/>
        </w:rPr>
        <w:t>（8）防范事故的对策措施、安全管理、技术和监控措施；</w:t>
      </w:r>
    </w:p>
    <w:p w14:paraId="4E9ECADF">
      <w:pPr>
        <w:ind w:firstLine="640"/>
        <w:rPr>
          <w:rFonts w:hint="eastAsia" w:hAnsi="Times New Roman"/>
        </w:rPr>
      </w:pPr>
      <w:r>
        <w:rPr>
          <w:rFonts w:hint="eastAsia" w:hAnsi="Times New Roman"/>
        </w:rPr>
        <w:t>（9）事故应急措施、应急救援预案的评价；</w:t>
      </w:r>
    </w:p>
    <w:p w14:paraId="03264135">
      <w:pPr>
        <w:ind w:firstLine="640"/>
        <w:rPr>
          <w:rFonts w:ascii="Times New Roman" w:hAnsi="Times New Roman"/>
        </w:rPr>
      </w:pPr>
      <w:r>
        <w:rPr>
          <w:rFonts w:hint="eastAsia" w:hAnsi="Times New Roman"/>
        </w:rPr>
        <w:t>（10）评估</w:t>
      </w:r>
      <w:r>
        <w:rPr>
          <w:rFonts w:ascii="Times New Roman" w:hAnsi="Times New Roman"/>
        </w:rPr>
        <w:t>结论与建议。</w:t>
      </w:r>
    </w:p>
    <w:p w14:paraId="0DC6C2C2">
      <w:pPr>
        <w:ind w:firstLine="640"/>
        <w:rPr>
          <w:rFonts w:ascii="Times New Roman" w:hAnsi="Times New Roman"/>
        </w:rPr>
      </w:pPr>
      <w:r>
        <w:rPr>
          <w:rFonts w:ascii="Times New Roman" w:hAnsi="Times New Roman"/>
        </w:rPr>
        <w:t>危险化学品企业以安全评价报告代替安全评估报告的，其安全评价报告中有关重大危险源的内容应当符合本条的规定。</w:t>
      </w:r>
    </w:p>
    <w:p w14:paraId="62B67A1B">
      <w:pPr>
        <w:ind w:firstLine="640"/>
        <w:rPr>
          <w:rFonts w:ascii="Times New Roman" w:hAnsi="Times New Roman"/>
        </w:rPr>
      </w:pPr>
      <w:r>
        <w:rPr>
          <w:rFonts w:hint="eastAsia" w:ascii="Times New Roman" w:hAnsi="Times New Roman"/>
        </w:rPr>
        <w:t>5.</w:t>
      </w:r>
      <w:r>
        <w:rPr>
          <w:rFonts w:ascii="Times New Roman" w:hAnsi="Times New Roman"/>
        </w:rPr>
        <w:t>有下列情形之一的，危险化学品企业应当对重大危险源重新进行辨识、分级及安全评估：</w:t>
      </w:r>
    </w:p>
    <w:p w14:paraId="5A0292AB">
      <w:pPr>
        <w:ind w:firstLine="640"/>
        <w:rPr>
          <w:rFonts w:ascii="Times New Roman" w:hAnsi="Times New Roman"/>
        </w:rPr>
      </w:pPr>
      <w:r>
        <w:rPr>
          <w:rFonts w:hint="eastAsia" w:ascii="Times New Roman" w:hAnsi="Times New Roman"/>
        </w:rPr>
        <w:t>（1）</w:t>
      </w:r>
      <w:r>
        <w:rPr>
          <w:rFonts w:ascii="Times New Roman" w:hAnsi="Times New Roman"/>
        </w:rPr>
        <w:t>重大危险源安全评估已满三年的；</w:t>
      </w:r>
    </w:p>
    <w:p w14:paraId="2213A726">
      <w:pPr>
        <w:ind w:firstLine="640"/>
        <w:rPr>
          <w:rFonts w:ascii="Times New Roman" w:hAnsi="Times New Roman"/>
        </w:rPr>
      </w:pPr>
      <w:r>
        <w:rPr>
          <w:rFonts w:hint="eastAsia" w:ascii="Times New Roman" w:hAnsi="Times New Roman"/>
        </w:rPr>
        <w:t>（2）</w:t>
      </w:r>
      <w:r>
        <w:rPr>
          <w:rFonts w:ascii="Times New Roman" w:hAnsi="Times New Roman"/>
        </w:rPr>
        <w:t>构成重大危险源的生产或者储存单元（含装置、设施或者场所）进行新建、改建、扩建的；</w:t>
      </w:r>
    </w:p>
    <w:p w14:paraId="19DED27F">
      <w:pPr>
        <w:ind w:firstLine="640"/>
        <w:rPr>
          <w:rFonts w:ascii="Times New Roman" w:hAnsi="Times New Roman"/>
        </w:rPr>
      </w:pPr>
      <w:r>
        <w:rPr>
          <w:rFonts w:hint="eastAsia" w:ascii="Times New Roman" w:hAnsi="Times New Roman"/>
        </w:rPr>
        <w:t>（3）</w:t>
      </w:r>
      <w:r>
        <w:rPr>
          <w:rFonts w:ascii="Times New Roman" w:hAnsi="Times New Roman"/>
        </w:rPr>
        <w:t>危险化学品种类、数量、生产、使用工艺或者储存方式及重要设备、设施等发生变化，影响重大危险源级别或者风险程度的；</w:t>
      </w:r>
    </w:p>
    <w:p w14:paraId="7C020D54">
      <w:pPr>
        <w:ind w:firstLine="640"/>
        <w:rPr>
          <w:rFonts w:ascii="Times New Roman" w:hAnsi="Times New Roman"/>
        </w:rPr>
      </w:pPr>
      <w:r>
        <w:rPr>
          <w:rFonts w:hint="eastAsia" w:ascii="Times New Roman" w:hAnsi="Times New Roman"/>
        </w:rPr>
        <w:t>（4）</w:t>
      </w:r>
      <w:r>
        <w:rPr>
          <w:rFonts w:ascii="Times New Roman" w:hAnsi="Times New Roman"/>
        </w:rPr>
        <w:t>重大危险源周边生产安全环境因素发生变化，影响重大危险源级别和风险程度的；</w:t>
      </w:r>
    </w:p>
    <w:p w14:paraId="6239AB9A">
      <w:pPr>
        <w:ind w:firstLine="640"/>
        <w:rPr>
          <w:rFonts w:ascii="Times New Roman" w:hAnsi="Times New Roman"/>
        </w:rPr>
      </w:pPr>
      <w:r>
        <w:rPr>
          <w:rFonts w:hint="eastAsia" w:ascii="Times New Roman" w:hAnsi="Times New Roman"/>
        </w:rPr>
        <w:t>（5）</w:t>
      </w:r>
      <w:r>
        <w:rPr>
          <w:rFonts w:ascii="Times New Roman" w:hAnsi="Times New Roman"/>
        </w:rPr>
        <w:t>发生危险化学品事故造成人员死亡，或者3人以上重伤，或者10人以上受伤，或者影响到公共安全的；</w:t>
      </w:r>
    </w:p>
    <w:p w14:paraId="36758FDC">
      <w:pPr>
        <w:ind w:firstLine="640"/>
        <w:rPr>
          <w:rFonts w:ascii="Times New Roman" w:hAnsi="Times New Roman"/>
        </w:rPr>
      </w:pPr>
      <w:r>
        <w:rPr>
          <w:rFonts w:hint="eastAsia" w:ascii="Times New Roman" w:hAnsi="Times New Roman"/>
        </w:rPr>
        <w:t>（6）</w:t>
      </w:r>
      <w:r>
        <w:rPr>
          <w:rFonts w:ascii="Times New Roman" w:hAnsi="Times New Roman"/>
        </w:rPr>
        <w:t>有关重大危险源辨识和安全评估的法律法规、国家标准、行业标准发生变化的。</w:t>
      </w:r>
    </w:p>
    <w:p w14:paraId="61861F49">
      <w:pPr>
        <w:pStyle w:val="4"/>
        <w:ind w:firstLine="643"/>
      </w:pPr>
      <w:r>
        <w:rPr>
          <w:rFonts w:hint="eastAsia"/>
        </w:rPr>
        <w:t>（三）</w:t>
      </w:r>
      <w:r>
        <w:t>安全管理</w:t>
      </w:r>
    </w:p>
    <w:p w14:paraId="2D5248F1">
      <w:pPr>
        <w:ind w:firstLine="640"/>
        <w:rPr>
          <w:rFonts w:ascii="Times New Roman" w:hAnsi="Times New Roman"/>
        </w:rPr>
      </w:pPr>
      <w:r>
        <w:rPr>
          <w:rFonts w:hint="eastAsia" w:ascii="Times New Roman" w:hAnsi="Times New Roman"/>
        </w:rPr>
        <w:t>1.</w:t>
      </w:r>
      <w:r>
        <w:rPr>
          <w:rFonts w:ascii="Times New Roman" w:hAnsi="Times New Roman"/>
        </w:rPr>
        <w:t>危险化学品企业应当建立完善安全包保责任制度等重大危险源安全管理规章制度和安全操作规程，以及安全风险分级管控和隐患排查治理双重预防工作机制，并采取有效措施保证其得到执行。</w:t>
      </w:r>
    </w:p>
    <w:p w14:paraId="41F629F5">
      <w:pPr>
        <w:ind w:firstLine="640"/>
        <w:rPr>
          <w:rFonts w:ascii="Times New Roman" w:hAnsi="Times New Roman"/>
        </w:rPr>
      </w:pPr>
      <w:r>
        <w:rPr>
          <w:rFonts w:hint="eastAsia" w:ascii="Times New Roman" w:hAnsi="Times New Roman"/>
        </w:rPr>
        <w:t>2.</w:t>
      </w:r>
      <w:r>
        <w:rPr>
          <w:rFonts w:ascii="Times New Roman" w:hAnsi="Times New Roman"/>
        </w:rPr>
        <w:t>危险化学品企业应当根据构成重大危险源的危险化学品种类、数量、生产、使用工艺或者储存方式及相关设备、设施等实际情况，按照下列要求完善控制措施，并符合国家标准或者行业标准的要求：</w:t>
      </w:r>
    </w:p>
    <w:p w14:paraId="4953E2B3">
      <w:pPr>
        <w:ind w:firstLine="640"/>
        <w:rPr>
          <w:rFonts w:ascii="Times New Roman" w:hAnsi="Times New Roman"/>
        </w:rPr>
      </w:pPr>
      <w:r>
        <w:rPr>
          <w:rFonts w:hint="eastAsia" w:ascii="Times New Roman" w:hAnsi="Times New Roman"/>
        </w:rPr>
        <w:t>（1）</w:t>
      </w:r>
      <w:r>
        <w:rPr>
          <w:rFonts w:ascii="Times New Roman" w:hAnsi="Times New Roman"/>
        </w:rPr>
        <w:t>重大危险源配备温度、压力、液位、流量等信息的不间断采集和监测系统以及可燃气体和有毒气体泄漏检测报警装置，并具备信息远传、连续记录、事故预警、信息存储等功能；记录的电子数据的保存时间不少于30天；</w:t>
      </w:r>
    </w:p>
    <w:p w14:paraId="75DDB08C">
      <w:pPr>
        <w:ind w:firstLine="640"/>
        <w:rPr>
          <w:rFonts w:ascii="Times New Roman" w:hAnsi="Times New Roman"/>
        </w:rPr>
      </w:pPr>
      <w:r>
        <w:rPr>
          <w:rFonts w:hint="eastAsia" w:ascii="Times New Roman" w:hAnsi="Times New Roman"/>
        </w:rPr>
        <w:t>（2）</w:t>
      </w:r>
      <w:r>
        <w:rPr>
          <w:rFonts w:ascii="Times New Roman" w:hAnsi="Times New Roman"/>
        </w:rPr>
        <w:t>重大危险源的化工生产装置装备满足安全生产要求的自动化控制系统；一级或者二级重大危险源的化工生产装置，装备紧急停车系统；一级或者二级重大危险源的储存设施，具备紧急切断功能；</w:t>
      </w:r>
    </w:p>
    <w:p w14:paraId="482CB15A">
      <w:pPr>
        <w:ind w:firstLine="640"/>
        <w:rPr>
          <w:rFonts w:ascii="Times New Roman" w:hAnsi="Times New Roman"/>
        </w:rPr>
      </w:pPr>
      <w:r>
        <w:rPr>
          <w:rFonts w:hint="eastAsia" w:ascii="Times New Roman" w:hAnsi="Times New Roman"/>
        </w:rPr>
        <w:t>（3）</w:t>
      </w:r>
      <w:r>
        <w:rPr>
          <w:rFonts w:ascii="Times New Roman" w:hAnsi="Times New Roman"/>
        </w:rPr>
        <w:t>对重大危险源中涉及有毒气体、剧毒液体和易燃气体等的重点设施，设置紧急切断装置；涉及有毒气体的设施，设置泄漏物紧急处置装置。有毒气体、液化气体、剧毒液体的一级或者二级重大危险源，配备独立的安全仪表系统，并经安全完整性等级评估，确定相应的安全仪表等级；</w:t>
      </w:r>
    </w:p>
    <w:p w14:paraId="2C65E4A8">
      <w:pPr>
        <w:ind w:firstLine="640"/>
        <w:rPr>
          <w:rFonts w:hint="eastAsia" w:hAnsi="Times New Roman"/>
        </w:rPr>
      </w:pPr>
      <w:r>
        <w:rPr>
          <w:rFonts w:hint="eastAsia" w:hAnsi="Times New Roman"/>
        </w:rPr>
        <w:t>（4）重大危险源所在装置、设施或者场所，设置视频监控系统，摄像头设置的数量和位置应当符合有关标准规定，记录的电子数据的保存时间不少于30天；</w:t>
      </w:r>
    </w:p>
    <w:p w14:paraId="058F71ED">
      <w:pPr>
        <w:ind w:firstLine="640"/>
        <w:rPr>
          <w:rFonts w:hint="eastAsia" w:hAnsi="Times New Roman"/>
        </w:rPr>
      </w:pPr>
      <w:r>
        <w:rPr>
          <w:rFonts w:hint="eastAsia" w:hAnsi="Times New Roman"/>
        </w:rPr>
        <w:t>（5）涉及重点监管危险化工工艺的生产装置具备自动化控制和紧急停车功能；</w:t>
      </w:r>
    </w:p>
    <w:p w14:paraId="5A9E53C8">
      <w:pPr>
        <w:ind w:firstLine="640"/>
        <w:rPr>
          <w:rFonts w:hint="eastAsia" w:hAnsi="Times New Roman"/>
        </w:rPr>
      </w:pPr>
      <w:r>
        <w:rPr>
          <w:rFonts w:hint="eastAsia" w:hAnsi="Times New Roman"/>
        </w:rPr>
        <w:t>（6）全压力式液化烃储罐应当按照有关规定设置注水措施；</w:t>
      </w:r>
    </w:p>
    <w:p w14:paraId="13E296D1">
      <w:pPr>
        <w:ind w:firstLine="640"/>
        <w:rPr>
          <w:rFonts w:hint="eastAsia" w:hAnsi="Times New Roman"/>
        </w:rPr>
      </w:pPr>
      <w:r>
        <w:rPr>
          <w:rFonts w:hint="eastAsia" w:hAnsi="Times New Roman"/>
        </w:rPr>
        <w:t>（7）重大危险源（包括暂时停用的）监测监控有关数据应当按照有关规定接入监测预警系统，并有效运行；</w:t>
      </w:r>
    </w:p>
    <w:p w14:paraId="6BD5778A">
      <w:pPr>
        <w:ind w:firstLine="640"/>
        <w:rPr>
          <w:rFonts w:ascii="Times New Roman" w:hAnsi="Times New Roman"/>
        </w:rPr>
      </w:pPr>
      <w:r>
        <w:rPr>
          <w:rFonts w:hint="eastAsia" w:hAnsi="Times New Roman"/>
        </w:rPr>
        <w:t>（8）涉</w:t>
      </w:r>
      <w:r>
        <w:rPr>
          <w:rFonts w:ascii="Times New Roman" w:hAnsi="Times New Roman"/>
        </w:rPr>
        <w:t>及重大危险源的石油天然气经营企业应当配备紧急切断系统，达到大型规模的还应配备雷电预警系统。</w:t>
      </w:r>
    </w:p>
    <w:p w14:paraId="38B23B8C">
      <w:pPr>
        <w:ind w:firstLine="640"/>
        <w:rPr>
          <w:rFonts w:ascii="Times New Roman" w:hAnsi="Times New Roman"/>
        </w:rPr>
      </w:pPr>
      <w:r>
        <w:rPr>
          <w:rFonts w:ascii="Times New Roman" w:hAnsi="Times New Roman"/>
        </w:rPr>
        <w:t>危险化学品企业还应当安装人员定位系统，对重大危险源装置、设施或者场所周边的人员位置实现自动识别和及时预警。</w:t>
      </w:r>
    </w:p>
    <w:p w14:paraId="0FEB6D0C">
      <w:pPr>
        <w:ind w:firstLine="640"/>
        <w:rPr>
          <w:rFonts w:hint="eastAsia" w:hAnsi="Times New Roman"/>
        </w:rPr>
      </w:pPr>
      <w:r>
        <w:rPr>
          <w:rFonts w:hint="eastAsia" w:hAnsi="Times New Roman"/>
        </w:rPr>
        <w:t>3.危险化学品企业应当按照国家有关规定，定期对重大危险源的安全设施和安全监测监控系统进行检测、检验，并进行经常性维护、保养，保证重大危险源的安全设施和安全监测监控系统有效、可靠运行。维护、保养、检测应当作好记录，并由有关责任人员签字。</w:t>
      </w:r>
    </w:p>
    <w:p w14:paraId="762D3726">
      <w:pPr>
        <w:ind w:firstLine="640"/>
        <w:rPr>
          <w:rFonts w:ascii="Times New Roman" w:hAnsi="Times New Roman"/>
        </w:rPr>
      </w:pPr>
      <w:r>
        <w:rPr>
          <w:rFonts w:hint="eastAsia" w:hAnsi="Times New Roman"/>
        </w:rPr>
        <w:t>4.危险</w:t>
      </w:r>
      <w:r>
        <w:rPr>
          <w:rFonts w:ascii="Times New Roman" w:hAnsi="Times New Roman"/>
        </w:rPr>
        <w:t>化学品企业不得关闭、破坏直接关系生产安全的重大危险源监控、报警设备设施，或者篡改、隐瞒、销毁其相关数据、信息。</w:t>
      </w:r>
    </w:p>
    <w:p w14:paraId="48ACA022">
      <w:pPr>
        <w:ind w:firstLine="640"/>
        <w:rPr>
          <w:rFonts w:hint="eastAsia" w:hAnsi="Times New Roman"/>
        </w:rPr>
      </w:pPr>
      <w:r>
        <w:rPr>
          <w:rFonts w:hint="eastAsia" w:hAnsi="Times New Roman"/>
        </w:rPr>
        <w:t>5.危险化学品企业应当建立并落实安全风险分级管控和隐患排查治理制度，对重大危险源的安全生产状况进行定期检查，并且至少每半年进行一次全面检查，及时采取措施消除事故隐患。事故隐患难以立即排除的，应当及时制定治理方案，落实整改措施、责任、资金、时限和预案。</w:t>
      </w:r>
    </w:p>
    <w:p w14:paraId="4EA76F55">
      <w:pPr>
        <w:ind w:firstLine="640"/>
        <w:rPr>
          <w:rFonts w:hint="eastAsia" w:hAnsi="Times New Roman"/>
        </w:rPr>
      </w:pPr>
      <w:r>
        <w:rPr>
          <w:rFonts w:hint="eastAsia" w:hAnsi="Times New Roman"/>
        </w:rPr>
        <w:t>危险化学品企业应当开展安全风险分级管控和隐患排查治理双重预防机制数字化建设并有效运行，实现相关信息可查询、可追溯，并将重大事故隐患排查治理情况及时向应急管理部门报告，并在职工大会或者职工代表大会上通报。</w:t>
      </w:r>
    </w:p>
    <w:p w14:paraId="50671C3D">
      <w:pPr>
        <w:ind w:firstLine="640"/>
        <w:rPr>
          <w:rFonts w:hint="eastAsia" w:hAnsi="Times New Roman"/>
        </w:rPr>
      </w:pPr>
      <w:r>
        <w:rPr>
          <w:rFonts w:hint="eastAsia" w:hAnsi="Times New Roman"/>
        </w:rPr>
        <w:t>6.危险化学品企业应当对重大危险源的管理和操作岗位人员进行安全操作技能培训，使其了解重大危险源的危险特性，熟悉重大危险源安全管理规章制度和安全操作规程，熟练操作应急救援器材和个体防护装备，掌握本岗位的安全操作技能和应急措施。</w:t>
      </w:r>
    </w:p>
    <w:p w14:paraId="30FF9107">
      <w:pPr>
        <w:ind w:firstLine="640"/>
        <w:rPr>
          <w:rFonts w:hint="eastAsia" w:hAnsi="Times New Roman"/>
        </w:rPr>
      </w:pPr>
      <w:r>
        <w:rPr>
          <w:rFonts w:hint="eastAsia" w:hAnsi="Times New Roman"/>
        </w:rPr>
        <w:t>7.危险化学品企业应当在重大危险源所在场所设置明显的安全警示牌和安全包保责任制公示牌，安全警示牌注明重大危险源级别和危险化学品名称、设计最大量、危险特性、紧急情况下的应急处置办法。</w:t>
      </w:r>
    </w:p>
    <w:p w14:paraId="70B6E16A">
      <w:pPr>
        <w:ind w:firstLine="640"/>
        <w:rPr>
          <w:rFonts w:ascii="Times New Roman" w:hAnsi="Times New Roman"/>
        </w:rPr>
      </w:pPr>
      <w:r>
        <w:rPr>
          <w:rFonts w:hint="eastAsia" w:hAnsi="Times New Roman"/>
        </w:rPr>
        <w:t>安全包保责任</w:t>
      </w:r>
      <w:r>
        <w:rPr>
          <w:rFonts w:ascii="Times New Roman" w:hAnsi="Times New Roman"/>
        </w:rPr>
        <w:t>制公示牌应当注明重大危险源的主要负责人、技术负责人、操作负责人姓名以及对应安全包保责任和联系方式，接受员工监督。</w:t>
      </w:r>
    </w:p>
    <w:p w14:paraId="177986DB">
      <w:pPr>
        <w:ind w:firstLine="640"/>
        <w:rPr>
          <w:rFonts w:ascii="Times New Roman" w:hAnsi="Times New Roman"/>
        </w:rPr>
      </w:pPr>
      <w:r>
        <w:rPr>
          <w:rFonts w:ascii="Times New Roman" w:hAnsi="Times New Roman"/>
        </w:rPr>
        <w:t>安全警示牌和安全包保责任制公示牌可以单独或者合并设置。</w:t>
      </w:r>
    </w:p>
    <w:p w14:paraId="283E195C">
      <w:pPr>
        <w:ind w:firstLine="640"/>
        <w:rPr>
          <w:rFonts w:hint="eastAsia" w:hAnsi="Times New Roman"/>
        </w:rPr>
      </w:pPr>
      <w:r>
        <w:rPr>
          <w:rFonts w:hint="eastAsia" w:hAnsi="Times New Roman"/>
        </w:rPr>
        <w:t>8.危险化学品企业应当将重大危险源相关安全风险、可能发生的事故后果和应急措施等信息，以适当方式告知可能受影响的单位、区域及人员。</w:t>
      </w:r>
    </w:p>
    <w:p w14:paraId="19610066">
      <w:pPr>
        <w:ind w:firstLine="640"/>
        <w:rPr>
          <w:rFonts w:ascii="Times New Roman" w:hAnsi="Times New Roman"/>
        </w:rPr>
      </w:pPr>
      <w:r>
        <w:rPr>
          <w:rFonts w:hint="eastAsia" w:hAnsi="Times New Roman"/>
        </w:rPr>
        <w:t>9.构成重大危险源的生产装置和储存设施开车前，重大危险源的安全包保主要负责人应当组织技术负责人、操作负责人等，按照下列要</w:t>
      </w:r>
      <w:r>
        <w:rPr>
          <w:rFonts w:ascii="Times New Roman" w:hAnsi="Times New Roman"/>
        </w:rPr>
        <w:t>求进行安全风险自查评估，并采取有效措施确保开车安全：</w:t>
      </w:r>
    </w:p>
    <w:p w14:paraId="6C0FD7C0">
      <w:pPr>
        <w:ind w:firstLine="640"/>
        <w:rPr>
          <w:rFonts w:ascii="Times New Roman" w:hAnsi="Times New Roman"/>
        </w:rPr>
      </w:pPr>
      <w:r>
        <w:rPr>
          <w:rFonts w:hint="eastAsia" w:ascii="Times New Roman" w:hAnsi="Times New Roman"/>
        </w:rPr>
        <w:t>（1）</w:t>
      </w:r>
      <w:r>
        <w:rPr>
          <w:rFonts w:ascii="Times New Roman" w:hAnsi="Times New Roman"/>
        </w:rPr>
        <w:t>开车过程计划起止时间；</w:t>
      </w:r>
    </w:p>
    <w:p w14:paraId="3429036C">
      <w:pPr>
        <w:ind w:firstLine="640"/>
        <w:rPr>
          <w:rFonts w:ascii="Times New Roman" w:hAnsi="Times New Roman"/>
        </w:rPr>
      </w:pPr>
      <w:r>
        <w:rPr>
          <w:rFonts w:hint="eastAsia" w:ascii="Times New Roman" w:hAnsi="Times New Roman"/>
        </w:rPr>
        <w:t>（2）</w:t>
      </w:r>
      <w:r>
        <w:rPr>
          <w:rFonts w:ascii="Times New Roman" w:hAnsi="Times New Roman"/>
        </w:rPr>
        <w:t>开车过程中可能出现的安全风险隐患问题和对策、应急处置措施及演练情况；</w:t>
      </w:r>
    </w:p>
    <w:p w14:paraId="6A08D1DC">
      <w:pPr>
        <w:ind w:firstLine="640"/>
        <w:rPr>
          <w:rFonts w:ascii="Times New Roman" w:hAnsi="Times New Roman"/>
        </w:rPr>
      </w:pPr>
      <w:r>
        <w:rPr>
          <w:rFonts w:hint="eastAsia" w:ascii="Times New Roman" w:hAnsi="Times New Roman"/>
        </w:rPr>
        <w:t>（3）</w:t>
      </w:r>
      <w:r>
        <w:rPr>
          <w:rFonts w:ascii="Times New Roman" w:hAnsi="Times New Roman"/>
        </w:rPr>
        <w:t>确认开车与周边场所、人员、环境相互影响的情况；</w:t>
      </w:r>
    </w:p>
    <w:p w14:paraId="047A01D5">
      <w:pPr>
        <w:ind w:firstLine="640"/>
        <w:rPr>
          <w:rFonts w:ascii="Times New Roman" w:hAnsi="Times New Roman"/>
        </w:rPr>
      </w:pPr>
      <w:r>
        <w:rPr>
          <w:rFonts w:hint="eastAsia" w:ascii="Times New Roman" w:hAnsi="Times New Roman"/>
        </w:rPr>
        <w:t>（4）</w:t>
      </w:r>
      <w:r>
        <w:rPr>
          <w:rFonts w:ascii="Times New Roman" w:hAnsi="Times New Roman"/>
        </w:rPr>
        <w:t>重大危险源监测监控措施的落实情况；</w:t>
      </w:r>
    </w:p>
    <w:p w14:paraId="20E3B816">
      <w:pPr>
        <w:ind w:firstLine="640"/>
        <w:rPr>
          <w:rFonts w:ascii="Times New Roman" w:hAnsi="Times New Roman"/>
        </w:rPr>
      </w:pPr>
      <w:r>
        <w:rPr>
          <w:rFonts w:hint="eastAsia" w:ascii="Times New Roman" w:hAnsi="Times New Roman"/>
        </w:rPr>
        <w:t>（5）</w:t>
      </w:r>
      <w:r>
        <w:rPr>
          <w:rFonts w:ascii="Times New Roman" w:hAnsi="Times New Roman"/>
        </w:rPr>
        <w:t>安全设施设备及附件校验情况；</w:t>
      </w:r>
    </w:p>
    <w:p w14:paraId="518CBE12">
      <w:pPr>
        <w:ind w:firstLine="640"/>
        <w:rPr>
          <w:rFonts w:ascii="Times New Roman" w:hAnsi="Times New Roman"/>
        </w:rPr>
      </w:pPr>
      <w:r>
        <w:rPr>
          <w:rFonts w:hint="eastAsia" w:ascii="Times New Roman" w:hAnsi="Times New Roman"/>
        </w:rPr>
        <w:t>（6）</w:t>
      </w:r>
      <w:r>
        <w:rPr>
          <w:rFonts w:ascii="Times New Roman" w:hAnsi="Times New Roman"/>
        </w:rPr>
        <w:t>相关人员安全教育培训及从业资质情况。</w:t>
      </w:r>
    </w:p>
    <w:p w14:paraId="09294439">
      <w:pPr>
        <w:ind w:firstLine="640"/>
        <w:rPr>
          <w:rFonts w:ascii="Times New Roman" w:hAnsi="Times New Roman"/>
        </w:rPr>
      </w:pPr>
      <w:r>
        <w:rPr>
          <w:rFonts w:ascii="Times New Roman" w:hAnsi="Times New Roman"/>
        </w:rPr>
        <w:t>新建、改建、扩建项目的试生产（使用）方案应当包括开车前安全风险自查评估内容。</w:t>
      </w:r>
    </w:p>
    <w:p w14:paraId="50E595EC">
      <w:pPr>
        <w:ind w:firstLine="640"/>
        <w:rPr>
          <w:rFonts w:ascii="Times New Roman" w:hAnsi="Times New Roman"/>
        </w:rPr>
      </w:pPr>
      <w:r>
        <w:rPr>
          <w:rFonts w:ascii="Times New Roman" w:hAnsi="Times New Roman"/>
        </w:rPr>
        <w:t>生产装置停车超过6个月后开车，还应当对生产装置相关设备及管道试压、吹扫、气密、单机试车、仪表调校、联动试车等情况。</w:t>
      </w:r>
    </w:p>
    <w:p w14:paraId="2B520D41">
      <w:pPr>
        <w:ind w:firstLine="640"/>
        <w:rPr>
          <w:rFonts w:ascii="Times New Roman" w:hAnsi="Times New Roman"/>
        </w:rPr>
      </w:pPr>
      <w:r>
        <w:rPr>
          <w:rFonts w:ascii="Times New Roman" w:hAnsi="Times New Roman"/>
        </w:rPr>
        <w:t>检维修计划停车后开车，还应当确认检维修项目的验收情况。</w:t>
      </w:r>
    </w:p>
    <w:p w14:paraId="4750875C">
      <w:pPr>
        <w:ind w:firstLine="640"/>
        <w:rPr>
          <w:rFonts w:ascii="Times New Roman" w:hAnsi="Times New Roman"/>
        </w:rPr>
      </w:pPr>
      <w:r>
        <w:rPr>
          <w:rFonts w:ascii="Times New Roman" w:hAnsi="Times New Roman"/>
        </w:rPr>
        <w:t>依法责令停产停业整顿后开车，还应当确认隐患整改和措施落实情况。</w:t>
      </w:r>
    </w:p>
    <w:p w14:paraId="6AC54065">
      <w:pPr>
        <w:ind w:firstLine="640"/>
        <w:rPr>
          <w:rFonts w:ascii="Times New Roman" w:hAnsi="Times New Roman"/>
        </w:rPr>
      </w:pPr>
      <w:r>
        <w:rPr>
          <w:rFonts w:hint="eastAsia" w:ascii="Times New Roman" w:hAnsi="Times New Roman"/>
        </w:rPr>
        <w:t>10.</w:t>
      </w:r>
      <w:r>
        <w:rPr>
          <w:rFonts w:ascii="Times New Roman" w:hAnsi="Times New Roman"/>
        </w:rPr>
        <w:t>危险化学品企业应当依法制定重大危险源事故应急预案，并配合地方人民政府应急管理部门制定危险化学品事故应急预案。重大危险源事故应急预案可以与危险化学品企业事故应急预案一并制定，也可以单独制定。</w:t>
      </w:r>
    </w:p>
    <w:p w14:paraId="68ECE219">
      <w:pPr>
        <w:ind w:firstLine="640"/>
        <w:rPr>
          <w:rFonts w:ascii="Times New Roman" w:hAnsi="Times New Roman"/>
        </w:rPr>
      </w:pPr>
      <w:r>
        <w:rPr>
          <w:rFonts w:ascii="Times New Roman" w:hAnsi="Times New Roman"/>
        </w:rPr>
        <w:t>危险化学品企业应当依法建立专职或者兼职消防队、工艺处置队等应急救援队伍，规模较小的，可以不建立应急救援队伍，但应当指定兼职的应急救援人员；化工园区等重大危险源集中区域内的危险化学品企业可以联合建立应急救援队伍。</w:t>
      </w:r>
    </w:p>
    <w:p w14:paraId="6B425CD3">
      <w:pPr>
        <w:ind w:firstLine="640"/>
        <w:rPr>
          <w:rFonts w:ascii="Times New Roman" w:hAnsi="Times New Roman"/>
        </w:rPr>
      </w:pPr>
      <w:r>
        <w:rPr>
          <w:rFonts w:ascii="Times New Roman" w:hAnsi="Times New Roman"/>
        </w:rPr>
        <w:t>危险化学品企业应当按照相关国家标准或者行业标准配备必要的防护装备及应急救援器材、设备、物资，并保障其完好和方便使用；对存在吸入性有毒有害气体的重大危险源，危险化学品企业应当配备便携式有毒有害气体检测设备、空气呼吸器、化学防护服、堵漏器材等应急救援器材和设备；涉及剧毒气体的重大危险源，还应当配备两套以上（含本数）气密型化学防护服；涉及易燃易爆气体或者易燃液体蒸气的重大危险源，还应当配备一定数量的便携式可燃气体检测设备。</w:t>
      </w:r>
    </w:p>
    <w:p w14:paraId="7800D571">
      <w:pPr>
        <w:ind w:firstLine="640"/>
        <w:rPr>
          <w:rFonts w:ascii="Times New Roman" w:hAnsi="Times New Roman"/>
        </w:rPr>
      </w:pPr>
      <w:r>
        <w:rPr>
          <w:rFonts w:hint="eastAsia" w:ascii="Times New Roman" w:hAnsi="Times New Roman"/>
        </w:rPr>
        <w:t>11.</w:t>
      </w:r>
      <w:r>
        <w:rPr>
          <w:rFonts w:ascii="Times New Roman" w:hAnsi="Times New Roman"/>
        </w:rPr>
        <w:t>危险化学品企业应当按照国家有关规定对从业人员和应急救援人员进行应急安全教育和培训。</w:t>
      </w:r>
    </w:p>
    <w:p w14:paraId="3A78C230">
      <w:pPr>
        <w:ind w:firstLine="640"/>
        <w:rPr>
          <w:rFonts w:ascii="Times New Roman" w:hAnsi="Times New Roman"/>
        </w:rPr>
      </w:pPr>
      <w:r>
        <w:rPr>
          <w:rFonts w:ascii="Times New Roman" w:hAnsi="Times New Roman"/>
        </w:rPr>
        <w:t>应急救援人员应当具备处置危险化学品事故必要的专业知识、技能、身体素质和心理素质，经过培训合格后，方可参加应急救援工作。</w:t>
      </w:r>
    </w:p>
    <w:p w14:paraId="5D8C435B">
      <w:pPr>
        <w:ind w:firstLine="640"/>
        <w:rPr>
          <w:rFonts w:hint="eastAsia" w:hAnsi="Times New Roman"/>
        </w:rPr>
      </w:pPr>
      <w:r>
        <w:rPr>
          <w:rFonts w:hint="eastAsia" w:hAnsi="Times New Roman"/>
        </w:rPr>
        <w:t>12.危险化学品企业应当制定重大危险源事故应急预案演练计划，并按照下列要求进行事故应急预案演练：</w:t>
      </w:r>
    </w:p>
    <w:p w14:paraId="088ECD58">
      <w:pPr>
        <w:ind w:firstLine="640"/>
        <w:rPr>
          <w:rFonts w:hint="eastAsia" w:hAnsi="Times New Roman"/>
        </w:rPr>
      </w:pPr>
      <w:r>
        <w:rPr>
          <w:rFonts w:hint="eastAsia" w:hAnsi="Times New Roman"/>
        </w:rPr>
        <w:t>（1）对重大危险源事故应急预案，至少每年进行一次，并将演练情况报送区应急管理局；</w:t>
      </w:r>
    </w:p>
    <w:p w14:paraId="2CD7C7A7">
      <w:pPr>
        <w:ind w:firstLine="640"/>
        <w:rPr>
          <w:rFonts w:hint="eastAsia" w:hAnsi="Times New Roman"/>
        </w:rPr>
      </w:pPr>
      <w:r>
        <w:rPr>
          <w:rFonts w:hint="eastAsia" w:hAnsi="Times New Roman"/>
        </w:rPr>
        <w:t>（2）对重大危险源现场处置方案，至少每半年进行一次。</w:t>
      </w:r>
    </w:p>
    <w:p w14:paraId="46410586">
      <w:pPr>
        <w:ind w:firstLine="640"/>
        <w:rPr>
          <w:rFonts w:hint="eastAsia" w:hAnsi="Times New Roman"/>
        </w:rPr>
      </w:pPr>
      <w:r>
        <w:rPr>
          <w:rFonts w:hint="eastAsia" w:hAnsi="Times New Roman"/>
        </w:rPr>
        <w:t>应急预案演练结束后，危险化学品企业应当对应急预案演练效果进行评估，撰写应急预案演练评估报告，分析存在的问题，对应急预案提出修订意见，并及时修订完善。</w:t>
      </w:r>
    </w:p>
    <w:p w14:paraId="797BBAF2">
      <w:pPr>
        <w:ind w:firstLine="640"/>
        <w:rPr>
          <w:rFonts w:ascii="Times New Roman" w:hAnsi="Times New Roman"/>
        </w:rPr>
      </w:pPr>
      <w:r>
        <w:rPr>
          <w:rFonts w:hint="eastAsia" w:hAnsi="Times New Roman"/>
        </w:rPr>
        <w:t>13.危险化学品企业应当对辨识确认的重大危险源及时、逐项进行登记建</w:t>
      </w:r>
      <w:r>
        <w:rPr>
          <w:rFonts w:ascii="Times New Roman" w:hAnsi="Times New Roman"/>
        </w:rPr>
        <w:t>档。</w:t>
      </w:r>
    </w:p>
    <w:p w14:paraId="37E06D82">
      <w:pPr>
        <w:ind w:firstLine="640"/>
        <w:rPr>
          <w:rFonts w:hint="eastAsia" w:hAnsi="Times New Roman"/>
        </w:rPr>
      </w:pPr>
      <w:r>
        <w:rPr>
          <w:rFonts w:hint="eastAsia" w:hAnsi="Times New Roman"/>
        </w:rPr>
        <w:t>重大危险源档案应当包括下列文件、资料：</w:t>
      </w:r>
    </w:p>
    <w:p w14:paraId="3342CF0B">
      <w:pPr>
        <w:ind w:firstLine="640"/>
        <w:rPr>
          <w:rFonts w:hint="eastAsia" w:hAnsi="Times New Roman"/>
        </w:rPr>
      </w:pPr>
      <w:r>
        <w:rPr>
          <w:rFonts w:hint="eastAsia" w:hAnsi="Times New Roman"/>
        </w:rPr>
        <w:t>（1）辨识、分级记录；</w:t>
      </w:r>
    </w:p>
    <w:p w14:paraId="2E15B39E">
      <w:pPr>
        <w:ind w:firstLine="640"/>
        <w:rPr>
          <w:rFonts w:hint="eastAsia" w:hAnsi="Times New Roman"/>
        </w:rPr>
      </w:pPr>
      <w:r>
        <w:rPr>
          <w:rFonts w:hint="eastAsia" w:hAnsi="Times New Roman"/>
        </w:rPr>
        <w:t>（2）重大危险源基本特征表；</w:t>
      </w:r>
    </w:p>
    <w:p w14:paraId="7AA9D2B7">
      <w:pPr>
        <w:ind w:firstLine="640"/>
        <w:rPr>
          <w:rFonts w:hint="eastAsia" w:hAnsi="Times New Roman"/>
        </w:rPr>
      </w:pPr>
      <w:r>
        <w:rPr>
          <w:rFonts w:hint="eastAsia" w:hAnsi="Times New Roman"/>
        </w:rPr>
        <w:t>（3）涉及的所有化学品安全技术说明书；</w:t>
      </w:r>
    </w:p>
    <w:p w14:paraId="635072C1">
      <w:pPr>
        <w:ind w:firstLine="640"/>
        <w:rPr>
          <w:rFonts w:hint="eastAsia" w:hAnsi="Times New Roman"/>
        </w:rPr>
      </w:pPr>
      <w:r>
        <w:rPr>
          <w:rFonts w:hint="eastAsia" w:hAnsi="Times New Roman"/>
        </w:rPr>
        <w:t>（4）区域位置图、平面布置图、工艺流程图和主要设备一览表；</w:t>
      </w:r>
    </w:p>
    <w:p w14:paraId="61B51B26">
      <w:pPr>
        <w:ind w:firstLine="640"/>
        <w:rPr>
          <w:rFonts w:hint="eastAsia" w:hAnsi="Times New Roman"/>
        </w:rPr>
      </w:pPr>
      <w:r>
        <w:rPr>
          <w:rFonts w:hint="eastAsia" w:hAnsi="Times New Roman"/>
        </w:rPr>
        <w:t>（5）安全包保责任制度、安全风险分级管控和隐患排查治理制度等重大危险源安全管理规章制度及安全操作规程；</w:t>
      </w:r>
    </w:p>
    <w:p w14:paraId="6AE17577">
      <w:pPr>
        <w:ind w:firstLine="640"/>
        <w:rPr>
          <w:rFonts w:hint="eastAsia" w:hAnsi="Times New Roman"/>
        </w:rPr>
      </w:pPr>
      <w:r>
        <w:rPr>
          <w:rFonts w:hint="eastAsia" w:hAnsi="Times New Roman"/>
        </w:rPr>
        <w:t>（6）安全监测监控系统、措施说明、检测、检验结果，以及有关数据接入监测预警系统情况；</w:t>
      </w:r>
    </w:p>
    <w:p w14:paraId="31FF8EAA">
      <w:pPr>
        <w:ind w:firstLine="640"/>
        <w:rPr>
          <w:rFonts w:hint="eastAsia" w:hAnsi="Times New Roman"/>
        </w:rPr>
      </w:pPr>
      <w:r>
        <w:rPr>
          <w:rFonts w:hint="eastAsia" w:hAnsi="Times New Roman"/>
        </w:rPr>
        <w:t>（7）重大危险源事故应急预案、评审意见、演练情况资料和评估报告；</w:t>
      </w:r>
    </w:p>
    <w:p w14:paraId="09A05C4C">
      <w:pPr>
        <w:ind w:firstLine="640"/>
        <w:rPr>
          <w:rFonts w:hint="eastAsia" w:hAnsi="Times New Roman"/>
        </w:rPr>
      </w:pPr>
      <w:r>
        <w:rPr>
          <w:rFonts w:hint="eastAsia" w:hAnsi="Times New Roman"/>
        </w:rPr>
        <w:t>（8）安全评估报告或者安全评价报告；</w:t>
      </w:r>
    </w:p>
    <w:p w14:paraId="441A09AD">
      <w:pPr>
        <w:ind w:firstLine="640"/>
        <w:rPr>
          <w:rFonts w:hint="eastAsia" w:hAnsi="Times New Roman"/>
        </w:rPr>
      </w:pPr>
      <w:r>
        <w:rPr>
          <w:rFonts w:hint="eastAsia" w:hAnsi="Times New Roman"/>
        </w:rPr>
        <w:t>（9）重大危险源的主要负责人、技术负责人、操作负责人姓名、对应安全包保责任、联系方式及其包保履职记录；</w:t>
      </w:r>
    </w:p>
    <w:p w14:paraId="3D9E79A6">
      <w:pPr>
        <w:ind w:firstLine="640"/>
        <w:rPr>
          <w:rFonts w:hint="eastAsia" w:hAnsi="Times New Roman"/>
        </w:rPr>
      </w:pPr>
      <w:r>
        <w:rPr>
          <w:rFonts w:hint="eastAsia" w:hAnsi="Times New Roman"/>
        </w:rPr>
        <w:t>（10）重大危险源场所安全警示牌和安全包保责任制公示牌的设置情况；</w:t>
      </w:r>
    </w:p>
    <w:p w14:paraId="5AFE92B4">
      <w:pPr>
        <w:ind w:firstLine="640"/>
        <w:rPr>
          <w:rFonts w:ascii="Times New Roman" w:hAnsi="Times New Roman"/>
        </w:rPr>
      </w:pPr>
      <w:r>
        <w:rPr>
          <w:rFonts w:hint="eastAsia" w:hAnsi="Times New Roman"/>
        </w:rPr>
        <w:t>（11）重大危</w:t>
      </w:r>
      <w:r>
        <w:rPr>
          <w:rFonts w:ascii="Times New Roman" w:hAnsi="Times New Roman"/>
        </w:rPr>
        <w:t>险源安全风险分级情况及相应的管控措施。</w:t>
      </w:r>
    </w:p>
    <w:p w14:paraId="2051062C">
      <w:pPr>
        <w:ind w:firstLine="640"/>
        <w:rPr>
          <w:rFonts w:ascii="Times New Roman" w:hAnsi="Times New Roman"/>
        </w:rPr>
      </w:pPr>
      <w:r>
        <w:rPr>
          <w:rFonts w:hint="eastAsia" w:ascii="Times New Roman" w:hAnsi="Times New Roman"/>
        </w:rPr>
        <w:t>14.</w:t>
      </w:r>
      <w:r>
        <w:rPr>
          <w:rFonts w:ascii="Times New Roman" w:hAnsi="Times New Roman"/>
        </w:rPr>
        <w:t>重大危险源的生产过程以及材料、工艺、设备、防护措施和环境等因素发生重大变化，或者国家有关法规、标准发生变化时，所属企业应当对重大危险源重新进行安全评估，并将有关情况报</w:t>
      </w:r>
      <w:r>
        <w:rPr>
          <w:rFonts w:hint="eastAsia" w:ascii="Times New Roman" w:hAnsi="Times New Roman"/>
          <w:lang w:val="en-US" w:eastAsia="zh-CN"/>
        </w:rPr>
        <w:t>园区办</w:t>
      </w:r>
      <w:r>
        <w:rPr>
          <w:rFonts w:ascii="Times New Roman" w:hAnsi="Times New Roman"/>
        </w:rPr>
        <w:t>及</w:t>
      </w:r>
      <w:r>
        <w:rPr>
          <w:rFonts w:hint="eastAsia" w:ascii="Times New Roman" w:hAnsi="Times New Roman"/>
          <w:lang w:val="en-US" w:eastAsia="zh-CN"/>
        </w:rPr>
        <w:t>区</w:t>
      </w:r>
      <w:r>
        <w:rPr>
          <w:rFonts w:ascii="Times New Roman" w:hAnsi="Times New Roman"/>
        </w:rPr>
        <w:t>应急管理局备案。</w:t>
      </w:r>
    </w:p>
    <w:p w14:paraId="371099E7">
      <w:pPr>
        <w:ind w:firstLine="640"/>
        <w:rPr>
          <w:rFonts w:ascii="Times New Roman" w:hAnsi="Times New Roman"/>
        </w:rPr>
      </w:pPr>
      <w:r>
        <w:rPr>
          <w:rFonts w:hint="eastAsia" w:ascii="Times New Roman" w:hAnsi="Times New Roman"/>
        </w:rPr>
        <w:t>15.</w:t>
      </w:r>
      <w:r>
        <w:rPr>
          <w:rFonts w:ascii="Times New Roman" w:hAnsi="Times New Roman"/>
        </w:rPr>
        <w:t>危险化学品企业在完成重大危险源安全评估报告或者安全评价报告后15日内，应当填写重大危险源备案申请表，连同重大危险源档案材料，报送</w:t>
      </w:r>
      <w:r>
        <w:rPr>
          <w:rFonts w:hint="eastAsia" w:ascii="Times New Roman" w:hAnsi="Times New Roman"/>
        </w:rPr>
        <w:t>区</w:t>
      </w:r>
      <w:r>
        <w:rPr>
          <w:rFonts w:ascii="Times New Roman" w:hAnsi="Times New Roman"/>
        </w:rPr>
        <w:t>应急管理局备案并抄送</w:t>
      </w:r>
      <w:r>
        <w:rPr>
          <w:rFonts w:hint="eastAsia" w:ascii="Times New Roman" w:hAnsi="Times New Roman"/>
        </w:rPr>
        <w:t>安全生产部室</w:t>
      </w:r>
      <w:r>
        <w:rPr>
          <w:rFonts w:ascii="Times New Roman" w:hAnsi="Times New Roman"/>
        </w:rPr>
        <w:t>。</w:t>
      </w:r>
    </w:p>
    <w:p w14:paraId="187DB1BB">
      <w:pPr>
        <w:ind w:firstLine="640"/>
        <w:rPr>
          <w:rFonts w:ascii="Times New Roman" w:hAnsi="Times New Roman"/>
        </w:rPr>
      </w:pPr>
      <w:r>
        <w:rPr>
          <w:rFonts w:hint="eastAsia" w:ascii="Times New Roman" w:hAnsi="Times New Roman"/>
        </w:rPr>
        <w:t>16.</w:t>
      </w:r>
      <w:r>
        <w:rPr>
          <w:rFonts w:ascii="Times New Roman" w:hAnsi="Times New Roman"/>
        </w:rPr>
        <w:t>危险化学品企业新建、改建和扩建危险化学品建设项目，应当在建设项目首次试生产引入物料前完成重大危险源的辨识、分级、安全评估和登记建档工作，向市应急管理局备案，并将监测监控有关数据接入省厅和园区重大危险源监测预警系统。</w:t>
      </w:r>
    </w:p>
    <w:p w14:paraId="3B1C7E16">
      <w:pPr>
        <w:ind w:firstLine="640"/>
        <w:rPr>
          <w:rFonts w:ascii="Times New Roman" w:hAnsi="Times New Roman"/>
        </w:rPr>
      </w:pPr>
      <w:r>
        <w:rPr>
          <w:rFonts w:hint="eastAsia" w:ascii="Times New Roman" w:hAnsi="Times New Roman"/>
        </w:rPr>
        <w:t>17.</w:t>
      </w:r>
      <w:r>
        <w:rPr>
          <w:rFonts w:ascii="Times New Roman" w:hAnsi="Times New Roman"/>
        </w:rPr>
        <w:t>对新产生的重大危险源，应当及时报送</w:t>
      </w:r>
      <w:r>
        <w:rPr>
          <w:rFonts w:hint="eastAsia" w:ascii="Times New Roman" w:hAnsi="Times New Roman"/>
        </w:rPr>
        <w:t>区应急管理局</w:t>
      </w:r>
      <w:r>
        <w:rPr>
          <w:rFonts w:ascii="Times New Roman" w:hAnsi="Times New Roman"/>
        </w:rPr>
        <w:t>备案；对已不构成重大危险源的，企业应当及时报告至</w:t>
      </w:r>
      <w:r>
        <w:rPr>
          <w:rFonts w:hint="eastAsia" w:ascii="Times New Roman" w:hAnsi="Times New Roman"/>
        </w:rPr>
        <w:t>区</w:t>
      </w:r>
      <w:r>
        <w:rPr>
          <w:rFonts w:ascii="Times New Roman" w:hAnsi="Times New Roman"/>
        </w:rPr>
        <w:t>应急管理局核销。</w:t>
      </w:r>
    </w:p>
    <w:p w14:paraId="0AFC8C82">
      <w:pPr>
        <w:pStyle w:val="4"/>
        <w:ind w:firstLine="643"/>
      </w:pPr>
      <w:r>
        <w:rPr>
          <w:rFonts w:hint="eastAsia"/>
        </w:rPr>
        <w:t>（四）</w:t>
      </w:r>
      <w:r>
        <w:t>监督检查</w:t>
      </w:r>
    </w:p>
    <w:p w14:paraId="5098BAC9">
      <w:pPr>
        <w:ind w:firstLine="640"/>
        <w:rPr>
          <w:rFonts w:hint="eastAsia" w:hAnsi="Times New Roman"/>
        </w:rPr>
      </w:pPr>
      <w:r>
        <w:rPr>
          <w:rFonts w:hint="eastAsia" w:hAnsi="Times New Roman"/>
        </w:rPr>
        <w:t>1.区应急管理局和化工园区办安全部室应当利用园区智能管控平台监测预警系统等信息化手段，开展重大危险源在线巡查抽查，建立线上核查和线下执法融合机制。重点对下列情形进行巡查抽查：</w:t>
      </w:r>
    </w:p>
    <w:p w14:paraId="51C28026">
      <w:pPr>
        <w:ind w:firstLine="640"/>
        <w:rPr>
          <w:rFonts w:hint="eastAsia" w:hAnsi="Times New Roman"/>
        </w:rPr>
      </w:pPr>
      <w:r>
        <w:rPr>
          <w:rFonts w:hint="eastAsia" w:hAnsi="Times New Roman"/>
        </w:rPr>
        <w:t>（1）脱岗、睡岗的；</w:t>
      </w:r>
    </w:p>
    <w:p w14:paraId="5B99B8D4">
      <w:pPr>
        <w:ind w:firstLine="640"/>
        <w:rPr>
          <w:rFonts w:hint="eastAsia" w:hAnsi="Times New Roman"/>
        </w:rPr>
      </w:pPr>
      <w:r>
        <w:rPr>
          <w:rFonts w:hint="eastAsia" w:hAnsi="Times New Roman"/>
        </w:rPr>
        <w:t>（2）生产装置或者储存设施存在超温、超压、超液位运行的；</w:t>
      </w:r>
    </w:p>
    <w:p w14:paraId="7A1CA36B">
      <w:pPr>
        <w:ind w:firstLine="640"/>
        <w:rPr>
          <w:rFonts w:hint="eastAsia" w:hAnsi="Times New Roman"/>
        </w:rPr>
      </w:pPr>
      <w:r>
        <w:rPr>
          <w:rFonts w:hint="eastAsia" w:hAnsi="Times New Roman"/>
        </w:rPr>
        <w:t>（3）工艺或安全仪表报警未及时处置的；</w:t>
      </w:r>
    </w:p>
    <w:p w14:paraId="19E0F244">
      <w:pPr>
        <w:ind w:firstLine="640"/>
        <w:rPr>
          <w:rFonts w:hint="eastAsia" w:hAnsi="Times New Roman"/>
        </w:rPr>
      </w:pPr>
      <w:r>
        <w:rPr>
          <w:rFonts w:hint="eastAsia" w:hAnsi="Times New Roman"/>
        </w:rPr>
        <w:t>（4）特殊作业过程无人监护的；</w:t>
      </w:r>
    </w:p>
    <w:p w14:paraId="61C30520">
      <w:pPr>
        <w:ind w:firstLine="640"/>
        <w:rPr>
          <w:rFonts w:hint="eastAsia" w:hAnsi="Times New Roman"/>
        </w:rPr>
      </w:pPr>
      <w:r>
        <w:rPr>
          <w:rFonts w:hint="eastAsia" w:hAnsi="Times New Roman"/>
        </w:rPr>
        <w:t>（5）包保责任人未按规定履职的。</w:t>
      </w:r>
    </w:p>
    <w:p w14:paraId="0B6E0A0D">
      <w:pPr>
        <w:ind w:firstLine="640"/>
        <w:rPr>
          <w:rFonts w:hint="eastAsia" w:hAnsi="Times New Roman"/>
        </w:rPr>
      </w:pPr>
      <w:r>
        <w:rPr>
          <w:rFonts w:hint="eastAsia" w:hAnsi="Times New Roman"/>
        </w:rPr>
        <w:t>2.重大危险源经过安全评估或者安全评价不再构成重大危险源的，危险化学品企业应当在安全评估或者安全评价完成后15日内，向区应急管理局申请核销。</w:t>
      </w:r>
    </w:p>
    <w:p w14:paraId="496536F2">
      <w:pPr>
        <w:ind w:firstLine="640"/>
        <w:rPr>
          <w:rFonts w:ascii="Times New Roman" w:hAnsi="Times New Roman"/>
        </w:rPr>
      </w:pPr>
      <w:r>
        <w:rPr>
          <w:rFonts w:ascii="Times New Roman" w:hAnsi="Times New Roman"/>
        </w:rPr>
        <w:t>申请核销重大危险源应当提交下列文件、资料：</w:t>
      </w:r>
    </w:p>
    <w:p w14:paraId="462933B6">
      <w:pPr>
        <w:ind w:firstLine="640"/>
        <w:rPr>
          <w:rFonts w:hint="eastAsia" w:hAnsi="Times New Roman"/>
        </w:rPr>
      </w:pPr>
      <w:r>
        <w:rPr>
          <w:rFonts w:hint="eastAsia" w:hAnsi="Times New Roman"/>
        </w:rPr>
        <w:t>（1）载明核销理由的申请表；</w:t>
      </w:r>
    </w:p>
    <w:p w14:paraId="2198C4A7">
      <w:pPr>
        <w:ind w:firstLine="640"/>
        <w:rPr>
          <w:rFonts w:hint="eastAsia" w:hAnsi="Times New Roman"/>
        </w:rPr>
      </w:pPr>
      <w:r>
        <w:rPr>
          <w:rFonts w:hint="eastAsia" w:hAnsi="Times New Roman"/>
        </w:rPr>
        <w:t>（2）企业名称、主要负责人（法定代表人）、住所、联系人、联系方式；</w:t>
      </w:r>
    </w:p>
    <w:p w14:paraId="5DB45520">
      <w:pPr>
        <w:ind w:firstLine="640"/>
        <w:rPr>
          <w:rFonts w:hint="eastAsia" w:hAnsi="Times New Roman"/>
        </w:rPr>
      </w:pPr>
      <w:r>
        <w:rPr>
          <w:rFonts w:hint="eastAsia" w:hAnsi="Times New Roman"/>
        </w:rPr>
        <w:t>（3）安全评估报告或者安全评价报告。</w:t>
      </w:r>
    </w:p>
    <w:p w14:paraId="0D0F790C">
      <w:pPr>
        <w:ind w:firstLine="640"/>
        <w:rPr>
          <w:rFonts w:hint="eastAsia" w:hAnsi="Times New Roman"/>
        </w:rPr>
      </w:pPr>
      <w:r>
        <w:rPr>
          <w:rFonts w:hint="eastAsia" w:hAnsi="Times New Roman"/>
        </w:rPr>
        <w:t>企业收到区应急管理局出具的核销证明文件后，抄送安全部室。</w:t>
      </w:r>
    </w:p>
    <w:p w14:paraId="5789D391">
      <w:pPr>
        <w:ind w:firstLine="640"/>
        <w:rPr>
          <w:rFonts w:hint="eastAsia" w:hAnsi="Times New Roman"/>
        </w:rPr>
      </w:pPr>
      <w:r>
        <w:rPr>
          <w:rFonts w:hint="eastAsia" w:hAnsi="Times New Roman"/>
        </w:rPr>
        <w:t>3.安全生产部室协助区应急管理局对存在重大危险源的危险化学品企业的监督检查，并督促危险化学品企业做好重大危险源的辨识、分级及安全评估、登记建档、备案、监测监控、事故应急预案编制及演练、核销和安全管理工作。对重大危险源的首次监督检查应当包括下列主要内容：</w:t>
      </w:r>
    </w:p>
    <w:p w14:paraId="5411B83A">
      <w:pPr>
        <w:ind w:firstLine="640"/>
        <w:rPr>
          <w:rFonts w:hint="eastAsia" w:hAnsi="Times New Roman"/>
        </w:rPr>
      </w:pPr>
      <w:r>
        <w:rPr>
          <w:rFonts w:hint="eastAsia" w:hAnsi="Times New Roman"/>
        </w:rPr>
        <w:t>（1）安全包保责任制度、安全风险分级管控和隐患排查治理制度等重大危险源安全管理规章制度及安全操作规程制定和落实情况；</w:t>
      </w:r>
    </w:p>
    <w:p w14:paraId="60E48131">
      <w:pPr>
        <w:ind w:firstLine="640"/>
        <w:rPr>
          <w:rFonts w:hint="eastAsia" w:hAnsi="Times New Roman"/>
        </w:rPr>
      </w:pPr>
      <w:r>
        <w:rPr>
          <w:rFonts w:hint="eastAsia" w:hAnsi="Times New Roman"/>
        </w:rPr>
        <w:t>（2）重大危险源的辨识、分级及安全评估、登记建档、备案、核销情况；</w:t>
      </w:r>
    </w:p>
    <w:p w14:paraId="7777E34D">
      <w:pPr>
        <w:ind w:firstLine="640"/>
        <w:rPr>
          <w:rFonts w:hint="eastAsia" w:hAnsi="Times New Roman"/>
        </w:rPr>
      </w:pPr>
      <w:r>
        <w:rPr>
          <w:rFonts w:hint="eastAsia" w:hAnsi="Times New Roman"/>
        </w:rPr>
        <w:t>（3）重大危险源有关安全设施设计情况；</w:t>
      </w:r>
    </w:p>
    <w:p w14:paraId="3E37CE03">
      <w:pPr>
        <w:ind w:firstLine="640"/>
        <w:rPr>
          <w:rFonts w:hint="eastAsia" w:hAnsi="Times New Roman"/>
        </w:rPr>
      </w:pPr>
      <w:r>
        <w:rPr>
          <w:rFonts w:hint="eastAsia" w:hAnsi="Times New Roman"/>
        </w:rPr>
        <w:t>（4）重大危险源的运行、作业安全管理情况；</w:t>
      </w:r>
    </w:p>
    <w:p w14:paraId="55BFD0E5">
      <w:pPr>
        <w:ind w:firstLine="640"/>
        <w:rPr>
          <w:rFonts w:hint="eastAsia" w:hAnsi="Times New Roman"/>
        </w:rPr>
      </w:pPr>
      <w:r>
        <w:rPr>
          <w:rFonts w:hint="eastAsia" w:hAnsi="Times New Roman"/>
        </w:rPr>
        <w:t>（5）重大危险源的安全监测监控系统及有关数据接入和运行情况；</w:t>
      </w:r>
    </w:p>
    <w:p w14:paraId="47A5772D">
      <w:pPr>
        <w:ind w:firstLine="640"/>
        <w:rPr>
          <w:rFonts w:hint="eastAsia" w:hAnsi="Times New Roman"/>
        </w:rPr>
      </w:pPr>
      <w:r>
        <w:rPr>
          <w:rFonts w:hint="eastAsia" w:hAnsi="Times New Roman"/>
        </w:rPr>
        <w:t>（6）重大危险源安全设施的检测、检验、维护、保养及运行情况；</w:t>
      </w:r>
    </w:p>
    <w:p w14:paraId="3B9447BC">
      <w:pPr>
        <w:ind w:firstLine="640"/>
        <w:rPr>
          <w:rFonts w:hint="eastAsia" w:hAnsi="Times New Roman"/>
        </w:rPr>
      </w:pPr>
      <w:r>
        <w:rPr>
          <w:rFonts w:hint="eastAsia" w:hAnsi="Times New Roman"/>
        </w:rPr>
        <w:t>（7）重大危险源事故应急预案的编制、评审、备案、修订和演练情况；</w:t>
      </w:r>
    </w:p>
    <w:p w14:paraId="11F84665">
      <w:pPr>
        <w:ind w:firstLine="640"/>
        <w:rPr>
          <w:rFonts w:hint="eastAsia" w:hAnsi="Times New Roman"/>
        </w:rPr>
      </w:pPr>
      <w:r>
        <w:rPr>
          <w:rFonts w:hint="eastAsia" w:hAnsi="Times New Roman"/>
        </w:rPr>
        <w:t>（8）有关从业人员的安全培训教育情况；</w:t>
      </w:r>
    </w:p>
    <w:p w14:paraId="0B27A3B3">
      <w:pPr>
        <w:ind w:firstLine="640"/>
        <w:rPr>
          <w:rFonts w:hint="eastAsia" w:hAnsi="Times New Roman"/>
        </w:rPr>
      </w:pPr>
      <w:r>
        <w:rPr>
          <w:rFonts w:hint="eastAsia" w:hAnsi="Times New Roman"/>
        </w:rPr>
        <w:t>（9）安全警示牌和安全包保责任制公示牌设置情况；</w:t>
      </w:r>
    </w:p>
    <w:p w14:paraId="60334AC2">
      <w:pPr>
        <w:ind w:firstLine="640"/>
        <w:rPr>
          <w:rFonts w:hint="eastAsia" w:hAnsi="Times New Roman"/>
        </w:rPr>
      </w:pPr>
      <w:r>
        <w:rPr>
          <w:rFonts w:hint="eastAsia" w:hAnsi="Times New Roman"/>
        </w:rPr>
        <w:t>（10）应急救援队伍和应急救援器材、设备、物资配备情况；</w:t>
      </w:r>
    </w:p>
    <w:p w14:paraId="57577080">
      <w:pPr>
        <w:ind w:firstLine="640"/>
        <w:rPr>
          <w:rFonts w:ascii="Times New Roman" w:hAnsi="Times New Roman"/>
        </w:rPr>
      </w:pPr>
      <w:r>
        <w:rPr>
          <w:rFonts w:hint="eastAsia" w:hAnsi="Times New Roman"/>
        </w:rPr>
        <w:t>（11）其他预防</w:t>
      </w:r>
      <w:r>
        <w:rPr>
          <w:rFonts w:ascii="Times New Roman" w:hAnsi="Times New Roman"/>
        </w:rPr>
        <w:t>和控制事故措施的落实情况。</w:t>
      </w:r>
    </w:p>
    <w:p w14:paraId="7FD09FCB">
      <w:pPr>
        <w:ind w:firstLine="640"/>
        <w:rPr>
          <w:rFonts w:ascii="Times New Roman" w:hAnsi="Times New Roman"/>
        </w:rPr>
      </w:pPr>
      <w:r>
        <w:rPr>
          <w:rFonts w:hint="eastAsia" w:ascii="Times New Roman" w:hAnsi="Times New Roman"/>
        </w:rPr>
        <w:t>安全生产部室</w:t>
      </w:r>
      <w:r>
        <w:rPr>
          <w:rFonts w:ascii="Times New Roman" w:hAnsi="Times New Roman"/>
        </w:rPr>
        <w:t>协助</w:t>
      </w:r>
      <w:r>
        <w:rPr>
          <w:rFonts w:hint="eastAsia" w:ascii="Times New Roman" w:hAnsi="Times New Roman"/>
        </w:rPr>
        <w:t>区</w:t>
      </w:r>
      <w:r>
        <w:rPr>
          <w:rFonts w:ascii="Times New Roman" w:hAnsi="Times New Roman"/>
        </w:rPr>
        <w:t>应急管理局与消防救援机构建立联合会商研判、联合检查督导、信息共享、应急联动、联合培训宣传等机制，推动存在重大危险源的危险化学品企业落实安全生产、消防安全主体责任。</w:t>
      </w:r>
    </w:p>
    <w:p w14:paraId="070964FC">
      <w:pPr>
        <w:ind w:firstLine="640"/>
        <w:rPr>
          <w:rFonts w:ascii="Times New Roman" w:hAnsi="Times New Roman"/>
        </w:rPr>
      </w:pPr>
      <w:r>
        <w:rPr>
          <w:rFonts w:hint="eastAsia" w:ascii="Times New Roman" w:hAnsi="Times New Roman"/>
        </w:rPr>
        <w:t>4.</w:t>
      </w:r>
      <w:r>
        <w:rPr>
          <w:rFonts w:ascii="Times New Roman" w:hAnsi="Times New Roman"/>
        </w:rPr>
        <w:t>应急管理部门在监督检查中发现重大危险源存在事故隐患的，应当责令立即排除；重大事故隐患排除前或者排除过程中无法保证安全的，应当责令从危险区域内撤出作业人员，责令暂时停产停业或者停止使用。重大事故隐患排除后，经应急管理部门审查同意，方可恢复生产经营和使用。</w:t>
      </w:r>
    </w:p>
    <w:p w14:paraId="0CF953F6">
      <w:pPr>
        <w:ind w:firstLine="640"/>
        <w:rPr>
          <w:rFonts w:ascii="Times New Roman" w:hAnsi="Times New Roman"/>
        </w:rPr>
      </w:pPr>
      <w:r>
        <w:rPr>
          <w:rFonts w:hint="eastAsia" w:ascii="Times New Roman" w:hAnsi="Times New Roman"/>
        </w:rPr>
        <w:t>5.</w:t>
      </w:r>
      <w:r>
        <w:rPr>
          <w:rFonts w:ascii="Times New Roman" w:hAnsi="Times New Roman"/>
        </w:rPr>
        <w:t>构成重大危险源的生产装置和储存设施被依法责令停产停业整顿、整顿完成后开车的，应当经作出停产停业整顿决定的应急管理部门复查同意，方可开车。</w:t>
      </w:r>
    </w:p>
    <w:p w14:paraId="3B83F9D7">
      <w:pPr>
        <w:ind w:firstLine="640"/>
        <w:rPr>
          <w:rFonts w:ascii="Times New Roman" w:hAnsi="Times New Roman"/>
        </w:rPr>
      </w:pPr>
      <w:r>
        <w:rPr>
          <w:rFonts w:hint="eastAsia" w:ascii="Times New Roman" w:hAnsi="Times New Roman"/>
        </w:rPr>
        <w:t>6.安全生产部室</w:t>
      </w:r>
      <w:r>
        <w:rPr>
          <w:rFonts w:ascii="Times New Roman" w:hAnsi="Times New Roman"/>
        </w:rPr>
        <w:t>协助</w:t>
      </w:r>
      <w:r>
        <w:rPr>
          <w:rFonts w:hint="eastAsia" w:ascii="Times New Roman" w:hAnsi="Times New Roman"/>
        </w:rPr>
        <w:t>区</w:t>
      </w:r>
      <w:r>
        <w:rPr>
          <w:rFonts w:ascii="Times New Roman" w:hAnsi="Times New Roman"/>
        </w:rPr>
        <w:t>应急管理局加强对化工园区重大危险源的监督检查，确保重大危险源与周边单位、居民区、人员密集场所等重要目标和敏感场所之间保持适当的外部安全防护距离。</w:t>
      </w:r>
    </w:p>
    <w:p w14:paraId="34327795">
      <w:pPr>
        <w:ind w:firstLine="640"/>
        <w:rPr>
          <w:rFonts w:hint="eastAsia" w:ascii="Times New Roman" w:hAnsi="Times New Roman"/>
        </w:rPr>
      </w:pPr>
    </w:p>
    <w:p w14:paraId="44C0B232">
      <w:pPr>
        <w:pStyle w:val="3"/>
        <w:ind w:firstLine="0" w:firstLineChars="0"/>
        <w:jc w:val="left"/>
        <w:rPr>
          <w:rFonts w:ascii="黑体" w:hAnsi="黑体" w:eastAsia="黑体"/>
          <w:b w:val="0"/>
          <w:bCs/>
          <w:sz w:val="32"/>
          <w:szCs w:val="21"/>
        </w:rPr>
      </w:pPr>
      <w:bookmarkStart w:id="33" w:name="_Toc23400"/>
      <w:r>
        <w:rPr>
          <w:rFonts w:ascii="黑体" w:hAnsi="黑体" w:eastAsia="黑体"/>
          <w:b w:val="0"/>
          <w:bCs/>
          <w:sz w:val="32"/>
          <w:szCs w:val="21"/>
        </w:rPr>
        <w:t>十</w:t>
      </w:r>
      <w:r>
        <w:rPr>
          <w:rFonts w:hint="eastAsia" w:ascii="黑体" w:hAnsi="黑体" w:eastAsia="黑体"/>
          <w:b w:val="0"/>
          <w:bCs/>
          <w:sz w:val="32"/>
          <w:szCs w:val="21"/>
        </w:rPr>
        <w:t>八</w:t>
      </w:r>
      <w:r>
        <w:rPr>
          <w:rFonts w:ascii="黑体" w:hAnsi="黑体" w:eastAsia="黑体"/>
          <w:b w:val="0"/>
          <w:bCs/>
          <w:sz w:val="32"/>
          <w:szCs w:val="21"/>
        </w:rPr>
        <w:t>、危险化学品重大危险源包保责任制</w:t>
      </w:r>
      <w:bookmarkEnd w:id="33"/>
    </w:p>
    <w:p w14:paraId="58974780">
      <w:pPr>
        <w:pStyle w:val="4"/>
        <w:ind w:firstLine="643"/>
      </w:pPr>
      <w:r>
        <w:rPr>
          <w:rFonts w:hint="eastAsia"/>
        </w:rPr>
        <w:t>（一）</w:t>
      </w:r>
      <w:r>
        <w:t>总则</w:t>
      </w:r>
    </w:p>
    <w:p w14:paraId="38E96E6F">
      <w:pPr>
        <w:ind w:firstLine="640"/>
        <w:rPr>
          <w:rFonts w:hint="eastAsia" w:hAnsi="Times New Roman"/>
        </w:rPr>
      </w:pPr>
      <w:r>
        <w:rPr>
          <w:rFonts w:hint="eastAsia" w:hAnsi="Times New Roman"/>
        </w:rPr>
        <w:t>1.为保护人民生命财产安全，强化危险化学品企业安全生产主体责任落实，细化重大安全风险管控责任，防范重特大事故，依据《中华人民共和国安全生产法》《危险化学品安全管理条例》《危险化学品重大危险源监督管理暂行规定》等法律、行政法规、部门规章，制定本制度。</w:t>
      </w:r>
    </w:p>
    <w:p w14:paraId="2F642528">
      <w:pPr>
        <w:ind w:firstLine="640"/>
        <w:rPr>
          <w:rFonts w:ascii="Times New Roman" w:hAnsi="Times New Roman"/>
        </w:rPr>
      </w:pPr>
      <w:r>
        <w:rPr>
          <w:rFonts w:hint="eastAsia" w:hAnsi="Times New Roman"/>
        </w:rPr>
        <w:t>2.本</w:t>
      </w:r>
      <w:r>
        <w:rPr>
          <w:rFonts w:ascii="Times New Roman" w:hAnsi="Times New Roman"/>
        </w:rPr>
        <w:t>制度适用于园区内涉及危险化学品重大危险源（以下简称重大危险源）的危险化学品生产企业、经营（储存）企业、使用危险化学品从事生产的化工企业（以下简称危险化学品企业），不含无生产实体的集团公司总部。</w:t>
      </w:r>
    </w:p>
    <w:p w14:paraId="7A2B1CF6">
      <w:pPr>
        <w:ind w:firstLine="640"/>
        <w:rPr>
          <w:rFonts w:ascii="Times New Roman" w:hAnsi="Times New Roman"/>
        </w:rPr>
      </w:pPr>
      <w:r>
        <w:rPr>
          <w:rFonts w:hint="eastAsia" w:hAnsi="Times New Roman"/>
        </w:rPr>
        <w:t>3.危险化</w:t>
      </w:r>
      <w:r>
        <w:rPr>
          <w:rFonts w:ascii="Times New Roman" w:hAnsi="Times New Roman"/>
        </w:rPr>
        <w:t>学品企业应当明确本企业每一处重大危险源的主要负责人、技术负责人和操作负责人，从总体管理、技术管理、操作管理三个层面对重大危险源实行安全包保。</w:t>
      </w:r>
    </w:p>
    <w:p w14:paraId="0AE07B3D">
      <w:pPr>
        <w:pStyle w:val="4"/>
        <w:ind w:firstLine="643"/>
      </w:pPr>
      <w:r>
        <w:rPr>
          <w:rFonts w:hint="eastAsia"/>
        </w:rPr>
        <w:t>（二）</w:t>
      </w:r>
      <w:r>
        <w:t>包保责任</w:t>
      </w:r>
    </w:p>
    <w:p w14:paraId="3E943204">
      <w:pPr>
        <w:ind w:firstLine="640"/>
        <w:rPr>
          <w:rFonts w:hint="eastAsia" w:hAnsi="Times New Roman"/>
        </w:rPr>
      </w:pPr>
      <w:r>
        <w:rPr>
          <w:rFonts w:hint="eastAsia" w:hAnsi="Times New Roman"/>
        </w:rPr>
        <w:t>1.重大危险源的主要负责人，对所包保的重大危险源负有下列安全职责：</w:t>
      </w:r>
    </w:p>
    <w:p w14:paraId="27154F75">
      <w:pPr>
        <w:ind w:firstLine="640"/>
        <w:rPr>
          <w:rFonts w:hint="eastAsia" w:hAnsi="Times New Roman"/>
        </w:rPr>
      </w:pPr>
      <w:r>
        <w:rPr>
          <w:rFonts w:hint="eastAsia" w:hAnsi="Times New Roman"/>
        </w:rPr>
        <w:t>（1）组织建立重大危险源安全包保责任制并指定对重大危险源负有安全包保责任的技术负责人、操作负责人；</w:t>
      </w:r>
    </w:p>
    <w:p w14:paraId="249C0228">
      <w:pPr>
        <w:ind w:firstLine="640"/>
        <w:rPr>
          <w:rFonts w:hint="eastAsia" w:hAnsi="Times New Roman"/>
        </w:rPr>
      </w:pPr>
      <w:r>
        <w:rPr>
          <w:rFonts w:hint="eastAsia" w:hAnsi="Times New Roman"/>
        </w:rPr>
        <w:t>（2）组织制定重大危险源安全生产规章制度和操作规程，并采取有效措施保证其得到执行；</w:t>
      </w:r>
    </w:p>
    <w:p w14:paraId="67B1918A">
      <w:pPr>
        <w:ind w:firstLine="640"/>
        <w:rPr>
          <w:rFonts w:hint="eastAsia" w:hAnsi="Times New Roman"/>
        </w:rPr>
      </w:pPr>
      <w:r>
        <w:rPr>
          <w:rFonts w:hint="eastAsia" w:hAnsi="Times New Roman"/>
        </w:rPr>
        <w:t>（3）组织对重大危险源的管理和操作岗位人员进行安全技能培训；</w:t>
      </w:r>
    </w:p>
    <w:p w14:paraId="0C1FACB5">
      <w:pPr>
        <w:ind w:firstLine="640"/>
        <w:rPr>
          <w:rFonts w:hint="eastAsia" w:hAnsi="Times New Roman"/>
        </w:rPr>
      </w:pPr>
      <w:r>
        <w:rPr>
          <w:rFonts w:hint="eastAsia" w:hAnsi="Times New Roman"/>
        </w:rPr>
        <w:t>（4）保证重大危险源安全生产所必需的安全投入；</w:t>
      </w:r>
    </w:p>
    <w:p w14:paraId="1DE02DA9">
      <w:pPr>
        <w:ind w:firstLine="640"/>
        <w:rPr>
          <w:rFonts w:hint="eastAsia" w:hAnsi="Times New Roman"/>
        </w:rPr>
      </w:pPr>
      <w:r>
        <w:rPr>
          <w:rFonts w:hint="eastAsia" w:hAnsi="Times New Roman"/>
        </w:rPr>
        <w:t>（5）督促、检查重大危险源安全生产工作；</w:t>
      </w:r>
    </w:p>
    <w:p w14:paraId="35EDC7CC">
      <w:pPr>
        <w:ind w:firstLine="640"/>
        <w:rPr>
          <w:rFonts w:hint="eastAsia" w:hAnsi="Times New Roman"/>
        </w:rPr>
      </w:pPr>
      <w:r>
        <w:rPr>
          <w:rFonts w:hint="eastAsia" w:hAnsi="Times New Roman"/>
        </w:rPr>
        <w:t>（6）组织制定并实施重大危险源生产安全事故应急救援预案；</w:t>
      </w:r>
    </w:p>
    <w:p w14:paraId="10161954">
      <w:pPr>
        <w:ind w:firstLine="640"/>
        <w:rPr>
          <w:rFonts w:ascii="Times New Roman" w:hAnsi="Times New Roman"/>
        </w:rPr>
      </w:pPr>
      <w:r>
        <w:rPr>
          <w:rFonts w:hint="eastAsia" w:hAnsi="Times New Roman"/>
        </w:rPr>
        <w:t>（7）组织</w:t>
      </w:r>
      <w:r>
        <w:rPr>
          <w:rFonts w:ascii="Times New Roman" w:hAnsi="Times New Roman"/>
        </w:rPr>
        <w:t>通过危险化学品登记信息管理系统填报重大危险源有关信息，保证重大危险源安全监测监控有关数据接入危险化学品安全生产风险监测预警系统。</w:t>
      </w:r>
    </w:p>
    <w:p w14:paraId="2875C441">
      <w:pPr>
        <w:ind w:firstLine="640"/>
        <w:rPr>
          <w:rFonts w:hint="eastAsia" w:hAnsi="Times New Roman"/>
        </w:rPr>
      </w:pPr>
      <w:r>
        <w:rPr>
          <w:rFonts w:hint="eastAsia" w:hAnsi="Times New Roman"/>
        </w:rPr>
        <w:t>2.重大危险源的技术负责人，对所包保的重大危险源负有下列安全职责：</w:t>
      </w:r>
    </w:p>
    <w:p w14:paraId="22CC7EBB">
      <w:pPr>
        <w:ind w:firstLine="640"/>
        <w:rPr>
          <w:rFonts w:hint="eastAsia" w:hAnsi="Times New Roman"/>
        </w:rPr>
      </w:pPr>
      <w:r>
        <w:rPr>
          <w:rFonts w:hint="eastAsia" w:hAnsi="Times New Roman"/>
        </w:rPr>
        <w:t>（1）组织实施重大危险源安全监测监控体系建设，完善控制措施，保证安全监测监控系统符合国家标准或者行业标准的规定；</w:t>
      </w:r>
    </w:p>
    <w:p w14:paraId="38B6E5B3">
      <w:pPr>
        <w:ind w:firstLine="640"/>
        <w:rPr>
          <w:rFonts w:hint="eastAsia" w:hAnsi="Times New Roman"/>
        </w:rPr>
      </w:pPr>
      <w:r>
        <w:rPr>
          <w:rFonts w:hint="eastAsia" w:hAnsi="Times New Roman"/>
        </w:rPr>
        <w:t>（2）组织定期对安全设施和监测监控系统进行检测、检验，并进行经常性维护、保养，保证有效、可靠运行；</w:t>
      </w:r>
    </w:p>
    <w:p w14:paraId="07764AE5">
      <w:pPr>
        <w:ind w:firstLine="640"/>
        <w:rPr>
          <w:rFonts w:hint="eastAsia" w:hAnsi="Times New Roman"/>
        </w:rPr>
      </w:pPr>
      <w:r>
        <w:rPr>
          <w:rFonts w:hint="eastAsia" w:hAnsi="Times New Roman"/>
        </w:rPr>
        <w:t>（3）对于超过个人和社会可容许风险值限值标准的重大危险源，组织采取相应的降低风险措施，直至风险满足可容许风险标准要求；</w:t>
      </w:r>
    </w:p>
    <w:p w14:paraId="7CE4099A">
      <w:pPr>
        <w:ind w:firstLine="640"/>
        <w:rPr>
          <w:rFonts w:hint="eastAsia" w:hAnsi="Times New Roman"/>
        </w:rPr>
      </w:pPr>
      <w:r>
        <w:rPr>
          <w:rFonts w:hint="eastAsia" w:hAnsi="Times New Roman"/>
        </w:rPr>
        <w:t>（4）组织审查涉及重大危险源的外来施工单位及人员的相关资质、安全管理等情况，审查涉及重大危险源的变更管理；</w:t>
      </w:r>
    </w:p>
    <w:p w14:paraId="513E6DCB">
      <w:pPr>
        <w:ind w:firstLine="640"/>
        <w:rPr>
          <w:rFonts w:hint="eastAsia" w:hAnsi="Times New Roman"/>
        </w:rPr>
      </w:pPr>
      <w:r>
        <w:rPr>
          <w:rFonts w:hint="eastAsia" w:hAnsi="Times New Roman"/>
        </w:rPr>
        <w:t>（5）每季度至少组织对重大危险源进行一次针对性安全风险隐患排查，重大活动、重点时段和节假日前必须进行重大危险源安全风险隐患排查，制定管控措施和治理方案并监督落实；</w:t>
      </w:r>
    </w:p>
    <w:p w14:paraId="57382E41">
      <w:pPr>
        <w:ind w:firstLine="640"/>
        <w:rPr>
          <w:rFonts w:hint="eastAsia" w:hAnsi="Times New Roman"/>
        </w:rPr>
      </w:pPr>
      <w:r>
        <w:rPr>
          <w:rFonts w:hint="eastAsia" w:hAnsi="Times New Roman"/>
        </w:rPr>
        <w:t>（6）组织演练重大危险源专项应急预案和现场处置方案。</w:t>
      </w:r>
    </w:p>
    <w:p w14:paraId="71A229A6">
      <w:pPr>
        <w:ind w:firstLine="640"/>
        <w:rPr>
          <w:rFonts w:hint="eastAsia" w:hAnsi="Times New Roman"/>
        </w:rPr>
      </w:pPr>
      <w:r>
        <w:rPr>
          <w:rFonts w:hint="eastAsia" w:hAnsi="Times New Roman"/>
        </w:rPr>
        <w:t>3.重大危险源的操作负责人，对所包保的重大危险源负有下列安全职责：</w:t>
      </w:r>
    </w:p>
    <w:p w14:paraId="15F26D0E">
      <w:pPr>
        <w:ind w:firstLine="640"/>
        <w:rPr>
          <w:rFonts w:ascii="Times New Roman" w:hAnsi="Times New Roman"/>
        </w:rPr>
      </w:pPr>
      <w:r>
        <w:rPr>
          <w:rFonts w:hint="eastAsia" w:hAnsi="Times New Roman"/>
        </w:rPr>
        <w:t>（1）负责督促检查各岗位严格执行重大危险源安全生产规章制度和操作规</w:t>
      </w:r>
      <w:r>
        <w:rPr>
          <w:rFonts w:ascii="Times New Roman" w:hAnsi="Times New Roman"/>
        </w:rPr>
        <w:t>程；</w:t>
      </w:r>
    </w:p>
    <w:p w14:paraId="4D910F40">
      <w:pPr>
        <w:ind w:firstLine="640"/>
        <w:rPr>
          <w:rFonts w:hint="eastAsia" w:hAnsi="Times New Roman"/>
        </w:rPr>
      </w:pPr>
      <w:r>
        <w:rPr>
          <w:rFonts w:hint="eastAsia" w:hAnsi="Times New Roman"/>
        </w:rPr>
        <w:t>2.对涉及重大危险源的特殊作业、检维修作业等进行监督检查，督促落实作业安全管控措施；</w:t>
      </w:r>
    </w:p>
    <w:p w14:paraId="7DB71FCF">
      <w:pPr>
        <w:ind w:firstLine="640"/>
        <w:rPr>
          <w:rFonts w:hint="eastAsia" w:hAnsi="Times New Roman"/>
        </w:rPr>
      </w:pPr>
      <w:r>
        <w:rPr>
          <w:rFonts w:hint="eastAsia" w:hAnsi="Times New Roman"/>
        </w:rPr>
        <w:t>3.每周至少组织一次重大危险源安全风险隐患排查；</w:t>
      </w:r>
    </w:p>
    <w:p w14:paraId="588B630C">
      <w:pPr>
        <w:ind w:firstLine="640"/>
        <w:rPr>
          <w:rFonts w:ascii="Times New Roman" w:hAnsi="Times New Roman"/>
        </w:rPr>
      </w:pPr>
      <w:r>
        <w:rPr>
          <w:rFonts w:hint="eastAsia" w:hAnsi="Times New Roman"/>
        </w:rPr>
        <w:t>4.及时</w:t>
      </w:r>
      <w:r>
        <w:rPr>
          <w:rFonts w:ascii="Times New Roman" w:hAnsi="Times New Roman"/>
        </w:rPr>
        <w:t>采取措施消除重大危险源事故隐患。</w:t>
      </w:r>
    </w:p>
    <w:p w14:paraId="226F960B">
      <w:pPr>
        <w:pStyle w:val="4"/>
        <w:ind w:firstLine="643"/>
      </w:pPr>
      <w:r>
        <w:rPr>
          <w:rFonts w:hint="eastAsia"/>
        </w:rPr>
        <w:t>（三）</w:t>
      </w:r>
      <w:r>
        <w:t>管理措施</w:t>
      </w:r>
    </w:p>
    <w:p w14:paraId="39318D7A">
      <w:pPr>
        <w:ind w:firstLine="640"/>
        <w:rPr>
          <w:rFonts w:hint="eastAsia" w:hAnsi="Times New Roman"/>
        </w:rPr>
      </w:pPr>
      <w:r>
        <w:rPr>
          <w:rFonts w:hint="eastAsia" w:hAnsi="Times New Roman"/>
        </w:rPr>
        <w:t>1.危险化学品企业应当在重大危险源安全警示标志位置设立公示牌，写明重大危险源的主要负责人、技术负责人、操作负责人姓名、对应的安全包保职责及联系方式，接受员工监督。</w:t>
      </w:r>
    </w:p>
    <w:p w14:paraId="2979D4FE">
      <w:pPr>
        <w:ind w:firstLine="640"/>
        <w:rPr>
          <w:rFonts w:hint="eastAsia" w:hAnsi="Times New Roman"/>
        </w:rPr>
      </w:pPr>
      <w:r>
        <w:rPr>
          <w:rFonts w:hint="eastAsia" w:hAnsi="Times New Roman"/>
        </w:rPr>
        <w:t>重大危险源安全包保责任人、联系方式应当录入全国危险化学品登记信息管理系统，并向市应急管理局报备，抄送应急办公室。相关信息变更的，应当于变更后5日内在全国危险化学品登记信息管理系统中更新。</w:t>
      </w:r>
    </w:p>
    <w:p w14:paraId="5FFA4A09">
      <w:pPr>
        <w:ind w:firstLine="640"/>
        <w:rPr>
          <w:rFonts w:hint="eastAsia" w:hAnsi="Times New Roman"/>
        </w:rPr>
      </w:pPr>
      <w:r>
        <w:rPr>
          <w:rFonts w:hint="eastAsia" w:hAnsi="Times New Roman"/>
        </w:rPr>
        <w:t>2.危险化学品企业应当按照《应急管理部关于全面实施危险化学品企业安全风险研判与承诺公告制度的通知》（应急〔2018〕74号）有关要求，向社会承诺公告重大危险源安全风险管控情况，在安全承诺公告牌企业承诺内容中增加落实重大危险源安全包保责任的相关内容。</w:t>
      </w:r>
    </w:p>
    <w:p w14:paraId="3E596198">
      <w:pPr>
        <w:ind w:firstLine="640"/>
        <w:rPr>
          <w:rFonts w:ascii="Times New Roman" w:hAnsi="Times New Roman"/>
        </w:rPr>
      </w:pPr>
      <w:r>
        <w:rPr>
          <w:rFonts w:hint="eastAsia" w:hAnsi="Times New Roman"/>
        </w:rPr>
        <w:t>3.危险化学品企业应当建立重大危险源主要负责人、技术负责人、操作</w:t>
      </w:r>
      <w:r>
        <w:rPr>
          <w:rFonts w:ascii="Times New Roman" w:hAnsi="Times New Roman"/>
        </w:rPr>
        <w:t>负责人的安全包保履职记录，做到可查询、可追溯，企业的安全管理机构应当对包保责任人履职情况进行评估，纳入企业安全生产责任制考核与绩效管理。</w:t>
      </w:r>
    </w:p>
    <w:p w14:paraId="0FC21615">
      <w:pPr>
        <w:pStyle w:val="4"/>
        <w:ind w:firstLine="643"/>
      </w:pPr>
      <w:r>
        <w:rPr>
          <w:rFonts w:hint="eastAsia"/>
        </w:rPr>
        <w:t>（四）</w:t>
      </w:r>
      <w:r>
        <w:t>监督检查</w:t>
      </w:r>
    </w:p>
    <w:p w14:paraId="21F6149C">
      <w:pPr>
        <w:ind w:firstLine="640"/>
        <w:rPr>
          <w:rFonts w:hint="eastAsia" w:hAnsi="Times New Roman"/>
        </w:rPr>
      </w:pPr>
      <w:r>
        <w:rPr>
          <w:rFonts w:hint="eastAsia" w:hAnsi="Times New Roman"/>
        </w:rPr>
        <w:t>1.危险化学品企业未按照相关要求对重大危险源安全进行监测监控的，未明确重大危险源中关键装置、重点部位的责任人的，未对重大危险源的安全生产状况进行定期检查、采取措施消除事故隐患的，以及存在其他违法违规行为的，提请市应急管理局依法依规查处。</w:t>
      </w:r>
    </w:p>
    <w:p w14:paraId="07E39AF0">
      <w:pPr>
        <w:ind w:firstLine="640"/>
        <w:rPr>
          <w:rFonts w:hint="eastAsia" w:hAnsi="Times New Roman"/>
        </w:rPr>
      </w:pPr>
      <w:r>
        <w:rPr>
          <w:rFonts w:hint="eastAsia" w:hAnsi="Times New Roman"/>
        </w:rPr>
        <w:t>2.安全生产部室协助区应急管理局加强对涉及重大危险源的危险化学品企业的监督检查，督促有关企业做好重大危险源辨识、评估、备案、核销等工作，并及时通过危险化学品登记信息管理系统填报重大危险源有关信息。</w:t>
      </w:r>
    </w:p>
    <w:p w14:paraId="2F1BB7DF">
      <w:pPr>
        <w:ind w:firstLine="640"/>
        <w:rPr>
          <w:rFonts w:ascii="Times New Roman" w:hAnsi="Times New Roman"/>
        </w:rPr>
      </w:pPr>
      <w:r>
        <w:rPr>
          <w:rFonts w:hint="eastAsia" w:hAnsi="Times New Roman"/>
        </w:rPr>
        <w:t>3.督促企业</w:t>
      </w:r>
      <w:r>
        <w:rPr>
          <w:rFonts w:ascii="Times New Roman" w:hAnsi="Times New Roman"/>
        </w:rPr>
        <w:t>制定现场应急救援预案，并且定期检验和评估现场应急救援预案和程序的有效程度，以及在必要时进行修订。预案应提出详尽、实用、清楚和有效的技术与组织措施。企业应保证将发生事故时要采取的应急措施和正确做法的有关材料，散发给可能受事故影响的公众，并保证公众充分了解发生重大事故时的应急措施。</w:t>
      </w:r>
    </w:p>
    <w:p w14:paraId="004C66D5">
      <w:pPr>
        <w:ind w:firstLine="640"/>
        <w:rPr>
          <w:rFonts w:ascii="Times New Roman" w:hAnsi="Times New Roman"/>
        </w:rPr>
      </w:pPr>
      <w:bookmarkStart w:id="34" w:name="_Toc19438"/>
    </w:p>
    <w:p w14:paraId="611A223B">
      <w:pPr>
        <w:ind w:firstLine="640"/>
        <w:rPr>
          <w:rFonts w:ascii="Times New Roman" w:hAnsi="Times New Roman"/>
        </w:rPr>
      </w:pPr>
    </w:p>
    <w:p w14:paraId="597B03E7">
      <w:pPr>
        <w:ind w:firstLine="640"/>
        <w:rPr>
          <w:rFonts w:ascii="Times New Roman" w:hAnsi="Times New Roman"/>
        </w:rPr>
      </w:pPr>
    </w:p>
    <w:p w14:paraId="4408224C">
      <w:pPr>
        <w:ind w:firstLine="640"/>
        <w:rPr>
          <w:rFonts w:ascii="Times New Roman" w:hAnsi="Times New Roman"/>
        </w:rPr>
      </w:pPr>
    </w:p>
    <w:p w14:paraId="3DCABCC3">
      <w:pPr>
        <w:ind w:firstLine="640"/>
        <w:rPr>
          <w:rFonts w:ascii="Times New Roman" w:hAnsi="Times New Roman"/>
        </w:rPr>
      </w:pPr>
    </w:p>
    <w:p w14:paraId="17B152CA">
      <w:pPr>
        <w:ind w:firstLine="640"/>
        <w:rPr>
          <w:rFonts w:ascii="Times New Roman" w:hAnsi="Times New Roman"/>
        </w:rPr>
      </w:pPr>
    </w:p>
    <w:p w14:paraId="5CCB5AF1">
      <w:pPr>
        <w:pStyle w:val="2"/>
        <w:spacing w:before="0" w:after="0" w:line="600" w:lineRule="exact"/>
        <w:rPr>
          <w:rFonts w:ascii="Times New Roman" w:hAnsi="Times New Roman"/>
        </w:rPr>
      </w:pPr>
      <w:bookmarkStart w:id="35" w:name="_Toc11613"/>
      <w:r>
        <w:rPr>
          <w:rFonts w:ascii="Times New Roman" w:hAnsi="Times New Roman"/>
        </w:rPr>
        <w:t xml:space="preserve">第七章 </w:t>
      </w:r>
      <w:r>
        <w:rPr>
          <w:rFonts w:hint="eastAsia" w:ascii="Times New Roman" w:hAnsi="Times New Roman"/>
          <w:lang w:val="en-US" w:eastAsia="zh-CN"/>
        </w:rPr>
        <w:t xml:space="preserve"> </w:t>
      </w:r>
      <w:r>
        <w:rPr>
          <w:rFonts w:ascii="Times New Roman" w:hAnsi="Times New Roman"/>
        </w:rPr>
        <w:t>封闭管理</w:t>
      </w:r>
      <w:bookmarkEnd w:id="34"/>
      <w:bookmarkEnd w:id="35"/>
    </w:p>
    <w:p w14:paraId="6881BE59">
      <w:pPr>
        <w:spacing w:line="600" w:lineRule="exact"/>
        <w:ind w:firstLine="640"/>
        <w:rPr>
          <w:rFonts w:ascii="Times New Roman" w:hAnsi="Times New Roman"/>
        </w:rPr>
      </w:pPr>
    </w:p>
    <w:p w14:paraId="7F0A0206">
      <w:pPr>
        <w:pStyle w:val="3"/>
        <w:spacing w:line="600" w:lineRule="exact"/>
        <w:ind w:firstLine="640"/>
        <w:jc w:val="left"/>
        <w:rPr>
          <w:rFonts w:ascii="黑体" w:hAnsi="黑体" w:eastAsia="黑体"/>
          <w:b w:val="0"/>
          <w:bCs/>
          <w:sz w:val="32"/>
          <w:szCs w:val="21"/>
        </w:rPr>
      </w:pPr>
      <w:bookmarkStart w:id="36" w:name="_Toc8995"/>
      <w:bookmarkStart w:id="37" w:name="_Toc12856"/>
      <w:r>
        <w:rPr>
          <w:rFonts w:ascii="黑体" w:hAnsi="黑体" w:eastAsia="黑体"/>
          <w:b w:val="0"/>
          <w:bCs/>
          <w:sz w:val="32"/>
          <w:szCs w:val="21"/>
        </w:rPr>
        <w:t>十</w:t>
      </w:r>
      <w:r>
        <w:rPr>
          <w:rFonts w:hint="eastAsia" w:ascii="黑体" w:hAnsi="黑体" w:eastAsia="黑体"/>
          <w:b w:val="0"/>
          <w:bCs/>
          <w:sz w:val="32"/>
          <w:szCs w:val="21"/>
        </w:rPr>
        <w:t>九</w:t>
      </w:r>
      <w:r>
        <w:rPr>
          <w:rFonts w:ascii="黑体" w:hAnsi="黑体" w:eastAsia="黑体"/>
          <w:b w:val="0"/>
          <w:bCs/>
          <w:sz w:val="32"/>
          <w:szCs w:val="21"/>
        </w:rPr>
        <w:t>、封闭化管理制度</w:t>
      </w:r>
      <w:bookmarkEnd w:id="36"/>
      <w:bookmarkEnd w:id="37"/>
    </w:p>
    <w:p w14:paraId="7795AEFB">
      <w:pPr>
        <w:pStyle w:val="4"/>
        <w:ind w:firstLine="643"/>
        <w:rPr>
          <w:rFonts w:hint="eastAsia"/>
        </w:rPr>
      </w:pPr>
      <w:r>
        <w:rPr>
          <w:rFonts w:hint="eastAsia"/>
        </w:rPr>
        <w:t>（一）总  则</w:t>
      </w:r>
    </w:p>
    <w:p w14:paraId="4C8A6106">
      <w:pPr>
        <w:pStyle w:val="9"/>
        <w:overflowPunct w:val="0"/>
        <w:autoSpaceDE w:val="0"/>
        <w:autoSpaceDN w:val="0"/>
        <w:spacing w:after="0"/>
        <w:ind w:firstLine="640"/>
        <w:rPr>
          <w:rFonts w:hint="eastAsia" w:ascii="仿宋_GB2312" w:hAnsi="仿宋_GB2312" w:eastAsia="仿宋_GB2312" w:cs="仿宋_GB2312"/>
          <w:color w:val="000000"/>
          <w:szCs w:val="32"/>
        </w:rPr>
      </w:pPr>
      <w:r>
        <w:rPr>
          <w:rFonts w:hint="eastAsia" w:ascii="仿宋_GB2312" w:hAnsi="楷体_GB2312" w:eastAsia="仿宋_GB2312" w:cs="楷体_GB2312"/>
          <w:bCs/>
          <w:color w:val="000000"/>
          <w:szCs w:val="32"/>
        </w:rPr>
        <w:t>1.</w:t>
      </w:r>
      <w:r>
        <w:rPr>
          <w:rFonts w:hint="eastAsia" w:ascii="仿宋_GB2312" w:hAnsi="仿宋_GB2312" w:eastAsia="仿宋_GB2312" w:cs="仿宋_GB2312"/>
          <w:color w:val="000000"/>
          <w:szCs w:val="32"/>
        </w:rPr>
        <w:t>为落实国家和省、市有关对化工园区实施封闭化管理的要求，有效防范化解随州市青春化工工业园（以下简称“园区”）重大安全风险，规范园区内车辆、人员和货物管理，保障园区各项生产秩序平稳和安全运行。</w:t>
      </w:r>
    </w:p>
    <w:p w14:paraId="3E385365">
      <w:pPr>
        <w:pStyle w:val="9"/>
        <w:overflowPunct w:val="0"/>
        <w:autoSpaceDE w:val="0"/>
        <w:autoSpaceDN w:val="0"/>
        <w:spacing w:after="0"/>
        <w:ind w:firstLine="640"/>
        <w:rPr>
          <w:rFonts w:hint="eastAsia" w:ascii="仿宋_GB2312" w:hAnsi="仿宋_GB2312" w:eastAsia="仿宋_GB2312" w:cs="仿宋_GB2312"/>
          <w:color w:val="000000"/>
          <w:szCs w:val="32"/>
        </w:rPr>
      </w:pPr>
      <w:r>
        <w:rPr>
          <w:rFonts w:hint="eastAsia" w:ascii="仿宋_GB2312" w:hAnsi="楷体_GB2312" w:eastAsia="仿宋_GB2312" w:cs="楷体_GB2312"/>
          <w:bCs/>
          <w:color w:val="000000"/>
          <w:szCs w:val="32"/>
        </w:rPr>
        <w:t>2.</w:t>
      </w:r>
      <w:r>
        <w:rPr>
          <w:rFonts w:hint="eastAsia" w:ascii="仿宋_GB2312" w:hAnsi="仿宋_GB2312" w:eastAsia="仿宋_GB2312" w:cs="仿宋_GB2312"/>
          <w:color w:val="000000"/>
          <w:szCs w:val="32"/>
        </w:rPr>
        <w:t>根据《湖北省化工园区建设标准和认定管理实施细则（试行）》、《化工园区安全风险智能化管控平台建设指南（试行）》、《化工园区安全风险排查治理导则》以及其他相关政策要求，结合实际，特制定本管理办法。</w:t>
      </w:r>
    </w:p>
    <w:p w14:paraId="40634401">
      <w:pPr>
        <w:pStyle w:val="9"/>
        <w:overflowPunct w:val="0"/>
        <w:autoSpaceDE w:val="0"/>
        <w:autoSpaceDN w:val="0"/>
        <w:spacing w:after="0"/>
        <w:ind w:firstLine="640"/>
        <w:rPr>
          <w:rFonts w:hint="eastAsia" w:ascii="仿宋_GB2312" w:hAnsi="仿宋_GB2312" w:eastAsia="仿宋_GB2312" w:cs="仿宋_GB2312"/>
          <w:color w:val="000000"/>
          <w:szCs w:val="32"/>
        </w:rPr>
      </w:pPr>
      <w:r>
        <w:rPr>
          <w:rFonts w:hint="eastAsia" w:ascii="仿宋_GB2312" w:hAnsi="楷体_GB2312" w:eastAsia="仿宋_GB2312" w:cs="楷体_GB2312"/>
          <w:bCs/>
          <w:color w:val="000000"/>
          <w:szCs w:val="32"/>
        </w:rPr>
        <w:t>3.</w:t>
      </w:r>
      <w:r>
        <w:rPr>
          <w:rFonts w:hint="eastAsia" w:ascii="仿宋_GB2312" w:hAnsi="仿宋_GB2312" w:eastAsia="仿宋_GB2312" w:cs="仿宋_GB2312"/>
          <w:color w:val="000000"/>
          <w:szCs w:val="32"/>
        </w:rPr>
        <w:t>本办法适用于园区实行封闭管理的全部区域。</w:t>
      </w:r>
    </w:p>
    <w:p w14:paraId="7FE92066">
      <w:pPr>
        <w:pStyle w:val="4"/>
        <w:ind w:firstLine="643"/>
        <w:rPr>
          <w:rFonts w:hint="eastAsia"/>
        </w:rPr>
      </w:pPr>
      <w:r>
        <w:rPr>
          <w:rFonts w:hint="eastAsia"/>
        </w:rPr>
        <w:t>（二）封闭管理范围与方式</w:t>
      </w:r>
    </w:p>
    <w:p w14:paraId="0B3AA5D7">
      <w:pPr>
        <w:spacing w:line="580" w:lineRule="exact"/>
        <w:ind w:firstLine="640"/>
        <w:rPr>
          <w:rFonts w:hint="eastAsia" w:cs="仿宋_GB2312"/>
          <w:bCs/>
          <w:color w:val="000000"/>
          <w:szCs w:val="32"/>
        </w:rPr>
      </w:pPr>
      <w:r>
        <w:rPr>
          <w:rFonts w:hint="eastAsia" w:hAnsi="楷体_GB2312" w:cs="楷体_GB2312"/>
          <w:bCs/>
          <w:color w:val="000000"/>
          <w:szCs w:val="32"/>
        </w:rPr>
        <w:t>1.</w:t>
      </w:r>
      <w:r>
        <w:rPr>
          <w:rFonts w:hint="eastAsia" w:cs="仿宋_GB2312"/>
          <w:bCs/>
          <w:color w:val="000000"/>
          <w:szCs w:val="32"/>
        </w:rPr>
        <w:t>整个园区按东片、西片两个区域进行管控，园区共规划设置5处卡口，其中东片1处，西片4处。</w:t>
      </w:r>
    </w:p>
    <w:p w14:paraId="04BC5A0A">
      <w:pPr>
        <w:ind w:firstLine="640"/>
        <w:rPr>
          <w:rFonts w:hint="eastAsia" w:cs="仿宋_GB2312"/>
          <w:color w:val="000000"/>
          <w:szCs w:val="32"/>
        </w:rPr>
      </w:pPr>
      <w:r>
        <w:rPr>
          <w:rFonts w:hint="eastAsia" w:hAnsi="楷体_GB2312" w:cs="楷体_GB2312"/>
          <w:bCs/>
          <w:color w:val="000000"/>
          <w:szCs w:val="32"/>
        </w:rPr>
        <w:t>2.</w:t>
      </w:r>
      <w:r>
        <w:rPr>
          <w:rFonts w:hint="eastAsia" w:cs="仿宋_GB2312"/>
          <w:color w:val="000000"/>
          <w:szCs w:val="32"/>
        </w:rPr>
        <w:t>卡口点位信息如下：</w:t>
      </w:r>
    </w:p>
    <w:tbl>
      <w:tblPr>
        <w:tblStyle w:val="21"/>
        <w:tblW w:w="4554" w:type="pct"/>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7156"/>
      </w:tblGrid>
      <w:tr w14:paraId="3F142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55" w:type="pct"/>
            <w:noWrap/>
            <w:vAlign w:val="center"/>
          </w:tcPr>
          <w:p w14:paraId="1AE220A9">
            <w:pPr>
              <w:spacing w:line="400" w:lineRule="exact"/>
              <w:ind w:firstLine="0" w:firstLineChars="0"/>
              <w:rPr>
                <w:rFonts w:hint="eastAsia" w:cs="仿宋_GB2312"/>
                <w:color w:val="000000"/>
                <w:szCs w:val="32"/>
                <w:lang w:eastAsia="en-US"/>
              </w:rPr>
            </w:pPr>
            <w:r>
              <w:rPr>
                <w:rFonts w:hint="eastAsia" w:cs="仿宋_GB2312"/>
                <w:color w:val="000000"/>
                <w:szCs w:val="32"/>
                <w:lang w:eastAsia="en-US"/>
              </w:rPr>
              <w:t>编号</w:t>
            </w:r>
          </w:p>
        </w:tc>
        <w:tc>
          <w:tcPr>
            <w:tcW w:w="4344" w:type="pct"/>
            <w:vAlign w:val="center"/>
          </w:tcPr>
          <w:p w14:paraId="1BD79A42">
            <w:pPr>
              <w:spacing w:line="400" w:lineRule="exact"/>
              <w:ind w:firstLine="0" w:firstLineChars="0"/>
              <w:rPr>
                <w:rFonts w:hint="eastAsia" w:cs="仿宋_GB2312"/>
                <w:color w:val="000000"/>
                <w:szCs w:val="32"/>
              </w:rPr>
            </w:pPr>
            <w:r>
              <w:rPr>
                <w:rFonts w:hint="eastAsia" w:cs="仿宋_GB2312"/>
                <w:color w:val="000000"/>
                <w:szCs w:val="32"/>
              </w:rPr>
              <w:t>卡口位置</w:t>
            </w:r>
          </w:p>
        </w:tc>
      </w:tr>
      <w:tr w14:paraId="28561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000" w:type="pct"/>
            <w:gridSpan w:val="2"/>
            <w:vAlign w:val="center"/>
          </w:tcPr>
          <w:p w14:paraId="0F53E6AF">
            <w:pPr>
              <w:spacing w:line="400" w:lineRule="exact"/>
              <w:ind w:firstLine="0" w:firstLineChars="0"/>
              <w:jc w:val="center"/>
              <w:rPr>
                <w:rFonts w:hint="eastAsia" w:cs="仿宋_GB2312"/>
                <w:color w:val="000000"/>
                <w:szCs w:val="32"/>
              </w:rPr>
            </w:pPr>
            <w:r>
              <w:rPr>
                <w:rFonts w:hint="eastAsia" w:cs="仿宋_GB2312"/>
                <w:color w:val="000000"/>
                <w:szCs w:val="32"/>
              </w:rPr>
              <w:t>西片区域</w:t>
            </w:r>
          </w:p>
        </w:tc>
      </w:tr>
      <w:tr w14:paraId="12205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55" w:type="pct"/>
            <w:noWrap/>
            <w:vAlign w:val="center"/>
          </w:tcPr>
          <w:p w14:paraId="6E75F929">
            <w:pPr>
              <w:spacing w:line="400" w:lineRule="exact"/>
              <w:ind w:firstLine="0" w:firstLineChars="0"/>
              <w:rPr>
                <w:rFonts w:hint="eastAsia" w:cs="仿宋_GB2312"/>
                <w:color w:val="000000"/>
                <w:szCs w:val="32"/>
              </w:rPr>
            </w:pPr>
            <w:r>
              <w:rPr>
                <w:rFonts w:hint="eastAsia" w:cs="仿宋_GB2312"/>
                <w:color w:val="000000"/>
                <w:szCs w:val="32"/>
              </w:rPr>
              <w:t>卡口1</w:t>
            </w:r>
          </w:p>
        </w:tc>
        <w:tc>
          <w:tcPr>
            <w:tcW w:w="4344" w:type="pct"/>
            <w:vAlign w:val="center"/>
          </w:tcPr>
          <w:p w14:paraId="13FD6F01">
            <w:pPr>
              <w:spacing w:line="400" w:lineRule="exact"/>
              <w:ind w:firstLine="0" w:firstLineChars="0"/>
              <w:rPr>
                <w:rFonts w:hint="eastAsia" w:cs="仿宋_GB2312"/>
                <w:color w:val="000000"/>
                <w:szCs w:val="32"/>
              </w:rPr>
            </w:pPr>
            <w:r>
              <w:rPr>
                <w:rFonts w:hint="eastAsia" w:cs="仿宋_GB2312"/>
                <w:color w:val="000000"/>
                <w:szCs w:val="32"/>
              </w:rPr>
              <w:t>魏家新路（南段）</w:t>
            </w:r>
          </w:p>
        </w:tc>
      </w:tr>
      <w:tr w14:paraId="0DFC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55" w:type="pct"/>
            <w:noWrap/>
            <w:vAlign w:val="center"/>
          </w:tcPr>
          <w:p w14:paraId="776CAA95">
            <w:pPr>
              <w:spacing w:line="400" w:lineRule="exact"/>
              <w:ind w:firstLine="0" w:firstLineChars="0"/>
              <w:rPr>
                <w:rFonts w:hint="eastAsia" w:cs="仿宋_GB2312"/>
                <w:color w:val="000000"/>
                <w:szCs w:val="32"/>
              </w:rPr>
            </w:pPr>
            <w:r>
              <w:rPr>
                <w:rFonts w:hint="eastAsia" w:cs="仿宋_GB2312"/>
                <w:color w:val="000000"/>
                <w:szCs w:val="32"/>
              </w:rPr>
              <w:t>卡口2</w:t>
            </w:r>
          </w:p>
        </w:tc>
        <w:tc>
          <w:tcPr>
            <w:tcW w:w="4344" w:type="pct"/>
            <w:vAlign w:val="center"/>
          </w:tcPr>
          <w:p w14:paraId="781542C2">
            <w:pPr>
              <w:spacing w:line="400" w:lineRule="exact"/>
              <w:ind w:firstLine="0" w:firstLineChars="0"/>
              <w:rPr>
                <w:rFonts w:hint="eastAsia" w:cs="仿宋_GB2312"/>
                <w:color w:val="000000"/>
                <w:szCs w:val="32"/>
              </w:rPr>
            </w:pPr>
            <w:r>
              <w:rPr>
                <w:rFonts w:hint="eastAsia" w:cs="仿宋_GB2312"/>
                <w:color w:val="000000"/>
                <w:szCs w:val="32"/>
              </w:rPr>
              <w:t>魏家一路</w:t>
            </w:r>
          </w:p>
        </w:tc>
      </w:tr>
      <w:tr w14:paraId="0676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55" w:type="pct"/>
            <w:noWrap/>
            <w:vAlign w:val="center"/>
          </w:tcPr>
          <w:p w14:paraId="27FAB6C0">
            <w:pPr>
              <w:spacing w:line="400" w:lineRule="exact"/>
              <w:ind w:firstLine="0" w:firstLineChars="0"/>
              <w:rPr>
                <w:rFonts w:hint="eastAsia" w:cs="仿宋_GB2312"/>
                <w:color w:val="000000"/>
                <w:szCs w:val="32"/>
              </w:rPr>
            </w:pPr>
            <w:r>
              <w:rPr>
                <w:rFonts w:hint="eastAsia" w:cs="仿宋_GB2312"/>
                <w:color w:val="000000"/>
                <w:szCs w:val="32"/>
              </w:rPr>
              <w:t>卡口3</w:t>
            </w:r>
          </w:p>
        </w:tc>
        <w:tc>
          <w:tcPr>
            <w:tcW w:w="4344" w:type="pct"/>
            <w:vAlign w:val="center"/>
          </w:tcPr>
          <w:p w14:paraId="0C270941">
            <w:pPr>
              <w:spacing w:line="400" w:lineRule="exact"/>
              <w:ind w:firstLine="0" w:firstLineChars="0"/>
              <w:rPr>
                <w:rFonts w:hint="eastAsia" w:cs="仿宋_GB2312"/>
                <w:color w:val="000000"/>
                <w:szCs w:val="32"/>
              </w:rPr>
            </w:pPr>
            <w:r>
              <w:rPr>
                <w:rFonts w:hint="eastAsia" w:cs="仿宋_GB2312"/>
                <w:color w:val="000000"/>
                <w:szCs w:val="32"/>
              </w:rPr>
              <w:t>兴建二路</w:t>
            </w:r>
          </w:p>
        </w:tc>
      </w:tr>
      <w:tr w14:paraId="7D353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55" w:type="pct"/>
            <w:noWrap/>
            <w:vAlign w:val="center"/>
          </w:tcPr>
          <w:p w14:paraId="7B330C44">
            <w:pPr>
              <w:spacing w:line="400" w:lineRule="exact"/>
              <w:ind w:firstLine="0" w:firstLineChars="0"/>
              <w:rPr>
                <w:rFonts w:hint="eastAsia" w:cs="仿宋_GB2312"/>
                <w:color w:val="000000"/>
                <w:szCs w:val="32"/>
              </w:rPr>
            </w:pPr>
            <w:r>
              <w:rPr>
                <w:rFonts w:hint="eastAsia" w:cs="仿宋_GB2312"/>
                <w:color w:val="000000"/>
                <w:szCs w:val="32"/>
              </w:rPr>
              <w:t>卡口4</w:t>
            </w:r>
          </w:p>
        </w:tc>
        <w:tc>
          <w:tcPr>
            <w:tcW w:w="4344" w:type="pct"/>
            <w:vAlign w:val="center"/>
          </w:tcPr>
          <w:p w14:paraId="1416EA94">
            <w:pPr>
              <w:spacing w:line="400" w:lineRule="exact"/>
              <w:ind w:firstLine="0" w:firstLineChars="0"/>
              <w:rPr>
                <w:rFonts w:hint="eastAsia" w:cs="仿宋_GB2312"/>
                <w:color w:val="000000"/>
                <w:szCs w:val="32"/>
              </w:rPr>
            </w:pPr>
            <w:r>
              <w:rPr>
                <w:rFonts w:hint="eastAsia" w:cs="仿宋_GB2312"/>
                <w:color w:val="000000"/>
                <w:szCs w:val="32"/>
              </w:rPr>
              <w:t>兴建路</w:t>
            </w:r>
          </w:p>
        </w:tc>
      </w:tr>
      <w:tr w14:paraId="72BAE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000" w:type="pct"/>
            <w:gridSpan w:val="2"/>
            <w:vAlign w:val="center"/>
          </w:tcPr>
          <w:p w14:paraId="00E2CCBE">
            <w:pPr>
              <w:spacing w:line="400" w:lineRule="exact"/>
              <w:ind w:firstLine="0" w:firstLineChars="0"/>
              <w:jc w:val="center"/>
              <w:rPr>
                <w:rFonts w:hint="eastAsia" w:cs="仿宋_GB2312"/>
                <w:color w:val="000000"/>
                <w:szCs w:val="32"/>
              </w:rPr>
            </w:pPr>
            <w:r>
              <w:rPr>
                <w:rFonts w:hint="eastAsia" w:cs="仿宋_GB2312"/>
                <w:color w:val="000000"/>
                <w:szCs w:val="32"/>
              </w:rPr>
              <w:t>东片区域</w:t>
            </w:r>
          </w:p>
        </w:tc>
      </w:tr>
      <w:tr w14:paraId="71073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55" w:type="pct"/>
            <w:noWrap/>
            <w:vAlign w:val="center"/>
          </w:tcPr>
          <w:p w14:paraId="6D117570">
            <w:pPr>
              <w:spacing w:line="400" w:lineRule="exact"/>
              <w:ind w:firstLine="0" w:firstLineChars="0"/>
              <w:rPr>
                <w:rFonts w:hint="eastAsia" w:cs="仿宋_GB2312"/>
                <w:color w:val="000000"/>
                <w:szCs w:val="32"/>
              </w:rPr>
            </w:pPr>
            <w:r>
              <w:rPr>
                <w:rFonts w:hint="eastAsia" w:cs="仿宋_GB2312"/>
                <w:color w:val="000000"/>
                <w:szCs w:val="32"/>
              </w:rPr>
              <w:t>卡口5</w:t>
            </w:r>
          </w:p>
        </w:tc>
        <w:tc>
          <w:tcPr>
            <w:tcW w:w="4344" w:type="pct"/>
            <w:vAlign w:val="center"/>
          </w:tcPr>
          <w:p w14:paraId="019BE117">
            <w:pPr>
              <w:spacing w:line="400" w:lineRule="exact"/>
              <w:ind w:firstLine="640"/>
              <w:rPr>
                <w:rFonts w:hint="eastAsia" w:cs="仿宋_GB2312"/>
                <w:color w:val="000000"/>
                <w:szCs w:val="32"/>
              </w:rPr>
            </w:pPr>
            <w:r>
              <w:rPr>
                <w:rFonts w:hint="eastAsia" w:cs="仿宋_GB2312"/>
                <w:color w:val="000000"/>
                <w:szCs w:val="32"/>
              </w:rPr>
              <w:t>乾泰大道（东段）</w:t>
            </w:r>
          </w:p>
        </w:tc>
      </w:tr>
    </w:tbl>
    <w:p w14:paraId="11890B1B">
      <w:pPr>
        <w:pStyle w:val="9"/>
        <w:overflowPunct w:val="0"/>
        <w:autoSpaceDE w:val="0"/>
        <w:autoSpaceDN w:val="0"/>
        <w:spacing w:after="0"/>
        <w:ind w:firstLine="0" w:firstLineChars="0"/>
        <w:jc w:val="center"/>
        <w:rPr>
          <w:rFonts w:hint="eastAsia" w:ascii="黑体" w:hAnsi="黑体" w:eastAsia="黑体" w:cs="黑体"/>
          <w:color w:val="000000"/>
          <w:spacing w:val="6"/>
          <w:sz w:val="24"/>
          <w:szCs w:val="24"/>
          <w:lang w:eastAsia="zh-CN"/>
        </w:rPr>
      </w:pPr>
    </w:p>
    <w:p w14:paraId="6181E955">
      <w:pPr>
        <w:pStyle w:val="9"/>
        <w:overflowPunct w:val="0"/>
        <w:autoSpaceDE w:val="0"/>
        <w:autoSpaceDN w:val="0"/>
        <w:spacing w:after="0"/>
        <w:ind w:firstLine="0" w:firstLineChars="0"/>
        <w:jc w:val="center"/>
        <w:rPr>
          <w:rFonts w:hint="eastAsia" w:ascii="黑体" w:hAnsi="黑体" w:eastAsia="黑体" w:cs="黑体"/>
          <w:color w:val="000000"/>
          <w:spacing w:val="6"/>
          <w:sz w:val="24"/>
          <w:szCs w:val="24"/>
        </w:rPr>
      </w:pPr>
    </w:p>
    <w:p w14:paraId="41FCEEC5">
      <w:pPr>
        <w:pStyle w:val="9"/>
        <w:overflowPunct w:val="0"/>
        <w:autoSpaceDE w:val="0"/>
        <w:autoSpaceDN w:val="0"/>
        <w:spacing w:after="0"/>
        <w:ind w:firstLine="0" w:firstLineChars="0"/>
        <w:jc w:val="center"/>
        <w:rPr>
          <w:rFonts w:hint="eastAsia" w:ascii="黑体" w:hAnsi="黑体" w:eastAsia="黑体" w:cs="黑体"/>
          <w:color w:val="000000"/>
          <w:spacing w:val="6"/>
          <w:sz w:val="24"/>
          <w:szCs w:val="24"/>
        </w:rPr>
      </w:pPr>
    </w:p>
    <w:p w14:paraId="59E911E1">
      <w:pPr>
        <w:pStyle w:val="9"/>
        <w:overflowPunct w:val="0"/>
        <w:autoSpaceDE w:val="0"/>
        <w:autoSpaceDN w:val="0"/>
        <w:spacing w:after="0"/>
        <w:ind w:firstLine="0" w:firstLineChars="0"/>
        <w:jc w:val="center"/>
        <w:rPr>
          <w:rFonts w:hint="eastAsia" w:ascii="黑体" w:hAnsi="黑体" w:eastAsia="黑体" w:cs="黑体"/>
          <w:color w:val="000000"/>
          <w:spacing w:val="6"/>
          <w:sz w:val="24"/>
          <w:szCs w:val="24"/>
        </w:rPr>
      </w:pPr>
    </w:p>
    <w:p w14:paraId="69AB4655">
      <w:pPr>
        <w:pStyle w:val="9"/>
        <w:overflowPunct w:val="0"/>
        <w:autoSpaceDE w:val="0"/>
        <w:autoSpaceDN w:val="0"/>
        <w:spacing w:after="0"/>
        <w:ind w:firstLine="0" w:firstLineChars="0"/>
        <w:jc w:val="center"/>
        <w:rPr>
          <w:rFonts w:hint="eastAsia" w:ascii="黑体" w:hAnsi="黑体" w:eastAsia="黑体" w:cs="黑体"/>
          <w:color w:val="000000"/>
          <w:spacing w:val="6"/>
          <w:sz w:val="24"/>
          <w:szCs w:val="24"/>
        </w:rPr>
      </w:pPr>
    </w:p>
    <w:p w14:paraId="0FBE0111">
      <w:pPr>
        <w:pStyle w:val="9"/>
        <w:overflowPunct w:val="0"/>
        <w:autoSpaceDE w:val="0"/>
        <w:autoSpaceDN w:val="0"/>
        <w:spacing w:after="0"/>
        <w:ind w:firstLine="0" w:firstLineChars="0"/>
        <w:jc w:val="center"/>
        <w:rPr>
          <w:rFonts w:hint="eastAsia" w:ascii="黑体" w:hAnsi="黑体" w:eastAsia="黑体" w:cs="黑体"/>
          <w:color w:val="000000"/>
          <w:spacing w:val="6"/>
          <w:sz w:val="24"/>
          <w:szCs w:val="24"/>
        </w:rPr>
      </w:pPr>
    </w:p>
    <w:p w14:paraId="504618C7">
      <w:pPr>
        <w:pStyle w:val="9"/>
        <w:overflowPunct w:val="0"/>
        <w:autoSpaceDE w:val="0"/>
        <w:autoSpaceDN w:val="0"/>
        <w:spacing w:after="0"/>
        <w:ind w:firstLine="0" w:firstLineChars="0"/>
        <w:jc w:val="center"/>
        <w:rPr>
          <w:rFonts w:hint="eastAsia" w:ascii="黑体" w:hAnsi="黑体" w:eastAsia="黑体" w:cs="黑体"/>
          <w:color w:val="000000"/>
          <w:spacing w:val="6"/>
          <w:sz w:val="24"/>
          <w:szCs w:val="24"/>
        </w:rPr>
      </w:pPr>
    </w:p>
    <w:p w14:paraId="14DBBB44">
      <w:pPr>
        <w:pStyle w:val="9"/>
        <w:overflowPunct w:val="0"/>
        <w:autoSpaceDE w:val="0"/>
        <w:autoSpaceDN w:val="0"/>
        <w:spacing w:after="0"/>
        <w:ind w:firstLine="0" w:firstLineChars="0"/>
        <w:jc w:val="center"/>
        <w:rPr>
          <w:rFonts w:hint="eastAsia" w:ascii="黑体" w:hAnsi="黑体" w:eastAsia="黑体" w:cs="黑体"/>
          <w:color w:val="000000"/>
          <w:spacing w:val="6"/>
          <w:sz w:val="24"/>
          <w:szCs w:val="24"/>
        </w:rPr>
      </w:pPr>
    </w:p>
    <w:p w14:paraId="078B2311">
      <w:pPr>
        <w:pStyle w:val="9"/>
        <w:overflowPunct w:val="0"/>
        <w:autoSpaceDE w:val="0"/>
        <w:autoSpaceDN w:val="0"/>
        <w:spacing w:after="0"/>
        <w:ind w:firstLine="0" w:firstLineChars="0"/>
        <w:jc w:val="center"/>
        <w:rPr>
          <w:rFonts w:hint="eastAsia" w:ascii="黑体" w:hAnsi="黑体" w:eastAsia="黑体" w:cs="黑体"/>
          <w:color w:val="000000"/>
          <w:spacing w:val="6"/>
          <w:sz w:val="24"/>
          <w:szCs w:val="24"/>
        </w:rPr>
      </w:pPr>
    </w:p>
    <w:p w14:paraId="3DC201A0">
      <w:pPr>
        <w:pStyle w:val="9"/>
        <w:overflowPunct w:val="0"/>
        <w:autoSpaceDE w:val="0"/>
        <w:autoSpaceDN w:val="0"/>
        <w:spacing w:after="0"/>
        <w:ind w:firstLine="0" w:firstLineChars="0"/>
        <w:jc w:val="center"/>
        <w:rPr>
          <w:rFonts w:hint="eastAsia" w:ascii="黑体" w:hAnsi="黑体" w:eastAsia="黑体" w:cs="黑体"/>
          <w:color w:val="000000"/>
          <w:spacing w:val="6"/>
          <w:sz w:val="24"/>
          <w:szCs w:val="24"/>
        </w:rPr>
      </w:pPr>
      <w:r>
        <w:rPr>
          <w:rFonts w:hint="eastAsia" w:ascii="黑体" w:hAnsi="黑体" w:eastAsia="黑体" w:cs="黑体"/>
          <w:color w:val="000000"/>
          <w:spacing w:val="6"/>
          <w:sz w:val="24"/>
          <w:szCs w:val="24"/>
          <w:lang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-2877820</wp:posOffset>
            </wp:positionV>
            <wp:extent cx="5614670" cy="3157855"/>
            <wp:effectExtent l="0" t="0" r="5080" b="4445"/>
            <wp:wrapNone/>
            <wp:docPr id="6" name="图片 6" descr="e92afcbc1f4d5f7e206a96d51789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92afcbc1f4d5f7e206a96d51789091"/>
                    <pic:cNvPicPr>
                      <a:picLocks noChangeAspect="1"/>
                    </pic:cNvPicPr>
                  </pic:nvPicPr>
                  <pic:blipFill>
                    <a:blip r:embed="rId20"/>
                    <a:stretch>
                      <a:fillRect/>
                    </a:stretch>
                  </pic:blipFill>
                  <pic:spPr>
                    <a:xfrm>
                      <a:off x="0" y="0"/>
                      <a:ext cx="5614670" cy="3157855"/>
                    </a:xfrm>
                    <a:prstGeom prst="rect">
                      <a:avLst/>
                    </a:prstGeom>
                  </pic:spPr>
                </pic:pic>
              </a:graphicData>
            </a:graphic>
          </wp:anchor>
        </w:drawing>
      </w:r>
    </w:p>
    <w:p w14:paraId="0443F9C1">
      <w:pPr>
        <w:pStyle w:val="9"/>
        <w:overflowPunct w:val="0"/>
        <w:autoSpaceDE w:val="0"/>
        <w:autoSpaceDN w:val="0"/>
        <w:spacing w:after="0"/>
        <w:ind w:firstLine="0" w:firstLineChars="0"/>
        <w:jc w:val="center"/>
        <w:rPr>
          <w:rFonts w:hint="eastAsia" w:ascii="黑体" w:hAnsi="黑体" w:eastAsia="黑体" w:cs="黑体"/>
          <w:color w:val="000000"/>
          <w:spacing w:val="6"/>
          <w:sz w:val="24"/>
          <w:szCs w:val="24"/>
        </w:rPr>
      </w:pPr>
      <w:r>
        <w:rPr>
          <w:rFonts w:hint="eastAsia" w:ascii="黑体" w:hAnsi="黑体" w:eastAsia="黑体" w:cs="黑体"/>
          <w:color w:val="000000"/>
          <w:spacing w:val="6"/>
          <w:sz w:val="24"/>
          <w:szCs w:val="24"/>
        </w:rPr>
        <w:t>西片区域出入口道闸布点图</w:t>
      </w:r>
    </w:p>
    <w:p w14:paraId="2526DCFB">
      <w:pPr>
        <w:pStyle w:val="9"/>
        <w:overflowPunct w:val="0"/>
        <w:autoSpaceDE w:val="0"/>
        <w:autoSpaceDN w:val="0"/>
        <w:spacing w:after="0"/>
        <w:ind w:firstLine="0" w:firstLineChars="0"/>
        <w:jc w:val="center"/>
        <w:rPr>
          <w:rFonts w:hint="eastAsia" w:ascii="黑体" w:hAnsi="黑体" w:eastAsia="黑体" w:cs="黑体"/>
          <w:color w:val="000000"/>
          <w:spacing w:val="6"/>
          <w:sz w:val="24"/>
          <w:szCs w:val="24"/>
        </w:rPr>
      </w:pPr>
    </w:p>
    <w:p w14:paraId="651DEA64">
      <w:pPr>
        <w:pStyle w:val="9"/>
        <w:overflowPunct w:val="0"/>
        <w:autoSpaceDE w:val="0"/>
        <w:autoSpaceDN w:val="0"/>
        <w:spacing w:after="0"/>
        <w:ind w:firstLine="0" w:firstLineChars="0"/>
        <w:jc w:val="center"/>
        <w:rPr>
          <w:rFonts w:hint="eastAsia" w:ascii="黑体" w:hAnsi="黑体" w:eastAsia="黑体" w:cs="黑体"/>
          <w:color w:val="000000"/>
          <w:spacing w:val="6"/>
          <w:sz w:val="24"/>
          <w:szCs w:val="24"/>
          <w:lang w:eastAsia="zh-CN"/>
        </w:rPr>
      </w:pPr>
    </w:p>
    <w:p w14:paraId="7B9E8903">
      <w:pPr>
        <w:pStyle w:val="9"/>
        <w:overflowPunct w:val="0"/>
        <w:autoSpaceDE w:val="0"/>
        <w:autoSpaceDN w:val="0"/>
        <w:spacing w:after="0"/>
        <w:ind w:firstLine="0" w:firstLineChars="0"/>
        <w:jc w:val="center"/>
        <w:rPr>
          <w:rFonts w:hint="eastAsia" w:ascii="黑体" w:hAnsi="黑体" w:eastAsia="黑体" w:cs="黑体"/>
          <w:color w:val="000000"/>
          <w:spacing w:val="6"/>
          <w:sz w:val="24"/>
          <w:szCs w:val="24"/>
        </w:rPr>
      </w:pPr>
    </w:p>
    <w:p w14:paraId="5A3CC934">
      <w:pPr>
        <w:pStyle w:val="9"/>
        <w:overflowPunct w:val="0"/>
        <w:autoSpaceDE w:val="0"/>
        <w:autoSpaceDN w:val="0"/>
        <w:spacing w:after="0"/>
        <w:ind w:firstLine="0" w:firstLineChars="0"/>
        <w:jc w:val="center"/>
        <w:rPr>
          <w:rFonts w:hint="eastAsia" w:ascii="黑体" w:hAnsi="黑体" w:eastAsia="黑体" w:cs="黑体"/>
          <w:color w:val="000000"/>
          <w:spacing w:val="6"/>
          <w:sz w:val="24"/>
          <w:szCs w:val="24"/>
        </w:rPr>
      </w:pPr>
    </w:p>
    <w:p w14:paraId="041E1001">
      <w:pPr>
        <w:pStyle w:val="9"/>
        <w:overflowPunct w:val="0"/>
        <w:autoSpaceDE w:val="0"/>
        <w:autoSpaceDN w:val="0"/>
        <w:spacing w:after="0"/>
        <w:ind w:firstLine="0" w:firstLineChars="0"/>
        <w:jc w:val="center"/>
        <w:rPr>
          <w:rFonts w:hint="eastAsia" w:ascii="黑体" w:hAnsi="黑体" w:eastAsia="黑体" w:cs="黑体"/>
          <w:color w:val="000000"/>
          <w:spacing w:val="6"/>
          <w:sz w:val="24"/>
          <w:szCs w:val="24"/>
        </w:rPr>
      </w:pPr>
    </w:p>
    <w:p w14:paraId="639B5C43">
      <w:pPr>
        <w:pStyle w:val="9"/>
        <w:overflowPunct w:val="0"/>
        <w:autoSpaceDE w:val="0"/>
        <w:autoSpaceDN w:val="0"/>
        <w:spacing w:after="0"/>
        <w:ind w:firstLine="0" w:firstLineChars="0"/>
        <w:jc w:val="center"/>
        <w:rPr>
          <w:rFonts w:hint="eastAsia" w:ascii="黑体" w:hAnsi="黑体" w:eastAsia="黑体" w:cs="黑体"/>
          <w:color w:val="000000"/>
          <w:spacing w:val="6"/>
          <w:sz w:val="24"/>
          <w:szCs w:val="24"/>
        </w:rPr>
      </w:pPr>
    </w:p>
    <w:p w14:paraId="0FC50FE6">
      <w:pPr>
        <w:pStyle w:val="9"/>
        <w:overflowPunct w:val="0"/>
        <w:autoSpaceDE w:val="0"/>
        <w:autoSpaceDN w:val="0"/>
        <w:spacing w:after="0"/>
        <w:ind w:firstLine="0" w:firstLineChars="0"/>
        <w:jc w:val="center"/>
        <w:rPr>
          <w:rFonts w:hint="eastAsia" w:ascii="黑体" w:hAnsi="黑体" w:eastAsia="黑体" w:cs="黑体"/>
          <w:color w:val="000000"/>
          <w:spacing w:val="6"/>
          <w:sz w:val="24"/>
          <w:szCs w:val="24"/>
        </w:rPr>
      </w:pPr>
    </w:p>
    <w:p w14:paraId="041006C5">
      <w:pPr>
        <w:pStyle w:val="9"/>
        <w:overflowPunct w:val="0"/>
        <w:autoSpaceDE w:val="0"/>
        <w:autoSpaceDN w:val="0"/>
        <w:spacing w:after="0"/>
        <w:ind w:firstLine="0" w:firstLineChars="0"/>
        <w:jc w:val="center"/>
        <w:rPr>
          <w:rFonts w:hint="eastAsia" w:ascii="黑体" w:hAnsi="黑体" w:eastAsia="黑体" w:cs="黑体"/>
          <w:color w:val="000000"/>
          <w:spacing w:val="6"/>
          <w:sz w:val="24"/>
          <w:szCs w:val="24"/>
        </w:rPr>
      </w:pPr>
    </w:p>
    <w:p w14:paraId="34B55C88">
      <w:pPr>
        <w:pStyle w:val="9"/>
        <w:overflowPunct w:val="0"/>
        <w:autoSpaceDE w:val="0"/>
        <w:autoSpaceDN w:val="0"/>
        <w:spacing w:after="0"/>
        <w:ind w:firstLine="0" w:firstLineChars="0"/>
        <w:jc w:val="center"/>
        <w:rPr>
          <w:rFonts w:hint="eastAsia" w:ascii="黑体" w:hAnsi="黑体" w:eastAsia="黑体" w:cs="黑体"/>
          <w:color w:val="000000"/>
          <w:spacing w:val="6"/>
          <w:sz w:val="24"/>
          <w:szCs w:val="24"/>
        </w:rPr>
      </w:pPr>
    </w:p>
    <w:p w14:paraId="1D101BD2">
      <w:pPr>
        <w:pStyle w:val="9"/>
        <w:overflowPunct w:val="0"/>
        <w:autoSpaceDE w:val="0"/>
        <w:autoSpaceDN w:val="0"/>
        <w:spacing w:after="0"/>
        <w:ind w:firstLine="0" w:firstLineChars="0"/>
        <w:jc w:val="center"/>
        <w:rPr>
          <w:rFonts w:hint="eastAsia" w:ascii="黑体" w:hAnsi="黑体" w:eastAsia="黑体" w:cs="黑体"/>
          <w:color w:val="000000"/>
          <w:spacing w:val="6"/>
          <w:sz w:val="24"/>
          <w:szCs w:val="24"/>
        </w:rPr>
      </w:pPr>
      <w:r>
        <w:rPr>
          <w:rFonts w:hint="eastAsia" w:ascii="黑体" w:hAnsi="黑体" w:eastAsia="黑体" w:cs="黑体"/>
          <w:color w:val="000000"/>
          <w:spacing w:val="6"/>
          <w:sz w:val="24"/>
          <w:szCs w:val="24"/>
          <w:lang w:eastAsia="zh-CN"/>
        </w:rPr>
        <w:drawing>
          <wp:anchor distT="0" distB="0" distL="114300" distR="114300" simplePos="0" relativeHeight="251663360" behindDoc="0" locked="0" layoutInCell="1" allowOverlap="1">
            <wp:simplePos x="0" y="0"/>
            <wp:positionH relativeFrom="column">
              <wp:posOffset>0</wp:posOffset>
            </wp:positionH>
            <wp:positionV relativeFrom="paragraph">
              <wp:posOffset>-2877820</wp:posOffset>
            </wp:positionV>
            <wp:extent cx="5614670" cy="3157855"/>
            <wp:effectExtent l="0" t="0" r="5080" b="4445"/>
            <wp:wrapNone/>
            <wp:docPr id="7" name="图片 7" descr="7c6cecf30dbfd3f7c08673c5ea0df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c6cecf30dbfd3f7c08673c5ea0df61"/>
                    <pic:cNvPicPr>
                      <a:picLocks noChangeAspect="1"/>
                    </pic:cNvPicPr>
                  </pic:nvPicPr>
                  <pic:blipFill>
                    <a:blip r:embed="rId21"/>
                    <a:stretch>
                      <a:fillRect/>
                    </a:stretch>
                  </pic:blipFill>
                  <pic:spPr>
                    <a:xfrm>
                      <a:off x="0" y="0"/>
                      <a:ext cx="5614670" cy="3157855"/>
                    </a:xfrm>
                    <a:prstGeom prst="rect">
                      <a:avLst/>
                    </a:prstGeom>
                  </pic:spPr>
                </pic:pic>
              </a:graphicData>
            </a:graphic>
          </wp:anchor>
        </w:drawing>
      </w:r>
    </w:p>
    <w:p w14:paraId="0A949760">
      <w:pPr>
        <w:ind w:firstLine="640"/>
        <w:jc w:val="center"/>
        <w:rPr>
          <w:rFonts w:hint="eastAsia" w:ascii="黑体" w:hAnsi="黑体" w:eastAsia="黑体" w:cs="黑体"/>
          <w:color w:val="000000"/>
          <w:spacing w:val="6"/>
          <w:sz w:val="24"/>
          <w:szCs w:val="24"/>
        </w:rPr>
      </w:pPr>
      <w:r>
        <w:rPr>
          <w:rFonts w:hint="eastAsia" w:ascii="黑体" w:hAnsi="黑体" w:eastAsia="黑体" w:cs="黑体"/>
          <w:color w:val="000000"/>
          <w:spacing w:val="6"/>
          <w:sz w:val="24"/>
          <w:szCs w:val="24"/>
        </w:rPr>
        <w:t>东片区域出入口道闸布点图</w:t>
      </w:r>
    </w:p>
    <w:p w14:paraId="21BF8056">
      <w:pPr>
        <w:pStyle w:val="4"/>
        <w:ind w:firstLine="643"/>
        <w:rPr>
          <w:rFonts w:hint="eastAsia"/>
        </w:rPr>
      </w:pPr>
      <w:r>
        <w:rPr>
          <w:rFonts w:hint="eastAsia"/>
        </w:rPr>
        <w:t>（三）组织管理与实施</w:t>
      </w:r>
    </w:p>
    <w:p w14:paraId="12E873D4">
      <w:pPr>
        <w:pStyle w:val="9"/>
        <w:overflowPunct w:val="0"/>
        <w:autoSpaceDE w:val="0"/>
        <w:autoSpaceDN w:val="0"/>
        <w:spacing w:after="0"/>
        <w:ind w:firstLine="640"/>
        <w:rPr>
          <w:rFonts w:hint="eastAsia" w:ascii="仿宋_GB2312" w:hAnsi="仿宋_GB2312" w:eastAsia="仿宋_GB2312" w:cs="仿宋_GB2312"/>
          <w:color w:val="000000"/>
          <w:szCs w:val="32"/>
        </w:rPr>
      </w:pPr>
      <w:r>
        <w:rPr>
          <w:rFonts w:hint="eastAsia" w:ascii="仿宋_GB2312" w:hAnsi="楷体_GB2312" w:eastAsia="仿宋_GB2312" w:cs="楷体_GB2312"/>
          <w:bCs/>
          <w:color w:val="000000"/>
          <w:szCs w:val="32"/>
        </w:rPr>
        <w:t>1.</w:t>
      </w:r>
      <w:r>
        <w:rPr>
          <w:rFonts w:hint="eastAsia" w:ascii="仿宋_GB2312" w:hAnsi="仿宋_GB2312" w:eastAsia="仿宋_GB2312" w:cs="仿宋_GB2312"/>
          <w:color w:val="000000"/>
          <w:szCs w:val="32"/>
        </w:rPr>
        <w:t>各有关工作机构、单位按照管理权限严格履行园区封闭管理职责：</w:t>
      </w:r>
    </w:p>
    <w:p w14:paraId="1D396560">
      <w:pPr>
        <w:pStyle w:val="34"/>
        <w:tabs>
          <w:tab w:val="left" w:pos="1117"/>
        </w:tabs>
        <w:overflowPunct w:val="0"/>
        <w:autoSpaceDE w:val="0"/>
        <w:autoSpaceDN w:val="0"/>
        <w:spacing w:before="0"/>
        <w:ind w:left="0"/>
        <w:rPr>
          <w:rFonts w:hint="eastAsia" w:cs="仿宋_GB2312"/>
          <w:color w:val="000000"/>
          <w:szCs w:val="32"/>
        </w:rPr>
      </w:pPr>
      <w:r>
        <w:rPr>
          <w:rFonts w:hint="eastAsia" w:cs="仿宋_GB2312"/>
          <w:color w:val="000000"/>
          <w:szCs w:val="32"/>
        </w:rPr>
        <w:t>（1）应急管理部门牵头负责园区封闭管理的指导工作；负责指导、督促园区企业执行封闭管理有关规定、落实有关惩戒措施。</w:t>
      </w:r>
    </w:p>
    <w:p w14:paraId="400DF691">
      <w:pPr>
        <w:pStyle w:val="34"/>
        <w:tabs>
          <w:tab w:val="left" w:pos="1122"/>
        </w:tabs>
        <w:overflowPunct w:val="0"/>
        <w:autoSpaceDE w:val="0"/>
        <w:autoSpaceDN w:val="0"/>
        <w:spacing w:before="0"/>
        <w:ind w:left="0"/>
        <w:rPr>
          <w:rFonts w:hint="eastAsia" w:cs="仿宋_GB2312"/>
          <w:color w:val="000000"/>
          <w:szCs w:val="32"/>
        </w:rPr>
      </w:pPr>
      <w:r>
        <w:rPr>
          <w:rFonts w:hint="eastAsia" w:cs="仿宋_GB2312"/>
          <w:color w:val="000000"/>
          <w:szCs w:val="32"/>
        </w:rPr>
        <w:t>（2）园区办负责园区封闭管理执行和实施情况的监督、检查、指导、培训等工作；协调相关职能部门开展检查、监督等工作；负责日常道路运输相关工作；负责出入园区各类通行证的咨询、办理和管理工作。</w:t>
      </w:r>
    </w:p>
    <w:p w14:paraId="4C89371E">
      <w:pPr>
        <w:pStyle w:val="34"/>
        <w:tabs>
          <w:tab w:val="left" w:pos="1134"/>
        </w:tabs>
        <w:overflowPunct w:val="0"/>
        <w:autoSpaceDE w:val="0"/>
        <w:autoSpaceDN w:val="0"/>
        <w:spacing w:before="0"/>
        <w:ind w:left="0"/>
        <w:rPr>
          <w:rFonts w:hint="eastAsia" w:cs="仿宋_GB2312"/>
          <w:color w:val="000000"/>
          <w:szCs w:val="32"/>
        </w:rPr>
      </w:pPr>
      <w:r>
        <w:rPr>
          <w:rFonts w:hint="eastAsia" w:cs="仿宋_GB2312"/>
          <w:color w:val="000000"/>
          <w:szCs w:val="32"/>
        </w:rPr>
        <w:t>（3）</w:t>
      </w:r>
      <w:r>
        <w:rPr>
          <w:rFonts w:hint="eastAsia" w:cs="仿宋_GB2312"/>
          <w:color w:val="000000"/>
          <w:szCs w:val="32"/>
          <w:lang w:bidi="zh-CN"/>
        </w:rPr>
        <w:t>产投集团</w:t>
      </w:r>
      <w:r>
        <w:rPr>
          <w:rFonts w:hint="eastAsia" w:cs="仿宋_GB2312"/>
          <w:color w:val="000000"/>
          <w:szCs w:val="32"/>
        </w:rPr>
        <w:t>负责信息数据平台的建设、维护和管理工作；负责园区封闭管理硬件设施的运维工作。</w:t>
      </w:r>
    </w:p>
    <w:p w14:paraId="0537E4D0">
      <w:pPr>
        <w:pStyle w:val="9"/>
        <w:overflowPunct w:val="0"/>
        <w:autoSpaceDE w:val="0"/>
        <w:autoSpaceDN w:val="0"/>
        <w:spacing w:after="0"/>
        <w:ind w:firstLine="640"/>
        <w:rPr>
          <w:rFonts w:hint="eastAsia" w:ascii="仿宋_GB2312" w:hAnsi="楷体_GB2312" w:eastAsia="仿宋_GB2312" w:cs="楷体_GB2312"/>
          <w:bCs/>
          <w:color w:val="000000"/>
          <w:szCs w:val="32"/>
        </w:rPr>
      </w:pPr>
      <w:r>
        <w:rPr>
          <w:rFonts w:hint="eastAsia" w:ascii="仿宋_GB2312" w:hAnsi="楷体_GB2312" w:eastAsia="仿宋_GB2312" w:cs="楷体_GB2312"/>
          <w:bCs/>
          <w:color w:val="000000"/>
          <w:szCs w:val="32"/>
          <w:lang w:val="zh-CN"/>
        </w:rPr>
        <w:t>2.</w:t>
      </w:r>
      <w:r>
        <w:rPr>
          <w:rFonts w:hint="eastAsia" w:ascii="仿宋_GB2312" w:hAnsi="楷体_GB2312" w:eastAsia="仿宋_GB2312" w:cs="楷体_GB2312"/>
          <w:bCs/>
          <w:color w:val="000000"/>
          <w:szCs w:val="32"/>
        </w:rPr>
        <w:t>封闭化管理要求</w:t>
      </w:r>
    </w:p>
    <w:p w14:paraId="367F04E4">
      <w:pPr>
        <w:pStyle w:val="9"/>
        <w:tabs>
          <w:tab w:val="left" w:pos="1759"/>
        </w:tabs>
        <w:overflowPunct w:val="0"/>
        <w:autoSpaceDE w:val="0"/>
        <w:autoSpaceDN w:val="0"/>
        <w:spacing w:after="0"/>
        <w:ind w:firstLine="640"/>
        <w:rPr>
          <w:rFonts w:hint="eastAsia" w:ascii="仿宋_GB2312" w:hAnsi="仿宋_GB2312" w:eastAsia="仿宋_GB2312" w:cs="仿宋_GB2312"/>
          <w:color w:val="000000"/>
          <w:szCs w:val="32"/>
          <w:lang w:bidi="zh-CN"/>
        </w:rPr>
      </w:pPr>
      <w:r>
        <w:rPr>
          <w:rFonts w:hint="eastAsia" w:ascii="仿宋_GB2312" w:hAnsi="仿宋_GB2312" w:eastAsia="仿宋_GB2312" w:cs="仿宋_GB2312"/>
          <w:color w:val="000000"/>
          <w:szCs w:val="32"/>
          <w:lang w:bidi="zh-CN"/>
        </w:rPr>
        <w:t>（1）化工园区封闭管理实行备案与预约申报制度，所有进出园区的车辆、人员均需提前备案或预约申报方可进入。园区内所有车辆须按要求有序停放，不得超速、超限、超载。</w:t>
      </w:r>
    </w:p>
    <w:p w14:paraId="7E4BE9D7">
      <w:pPr>
        <w:pStyle w:val="9"/>
        <w:tabs>
          <w:tab w:val="left" w:pos="1759"/>
        </w:tabs>
        <w:overflowPunct w:val="0"/>
        <w:autoSpaceDE w:val="0"/>
        <w:autoSpaceDN w:val="0"/>
        <w:spacing w:after="0"/>
        <w:ind w:firstLine="640"/>
        <w:rPr>
          <w:rFonts w:hint="eastAsia" w:ascii="仿宋_GB2312" w:hAnsi="仿宋_GB2312" w:eastAsia="仿宋_GB2312" w:cs="仿宋_GB2312"/>
          <w:color w:val="000000"/>
          <w:szCs w:val="32"/>
          <w:lang w:bidi="zh-CN"/>
        </w:rPr>
      </w:pPr>
      <w:r>
        <w:rPr>
          <w:rFonts w:hint="eastAsia" w:ascii="仿宋_GB2312" w:hAnsi="仿宋_GB2312" w:eastAsia="仿宋_GB2312" w:cs="仿宋_GB2312"/>
          <w:color w:val="000000"/>
          <w:szCs w:val="32"/>
          <w:lang w:bidi="zh-CN"/>
        </w:rPr>
        <w:t>（2）各单位对上下班员工、业务进出车辆做好宣传引导工作，及时提醒本单位员工、上下游供应商及关联单位按道路标识行驶，避免造成生产和工作上的不便。</w:t>
      </w:r>
    </w:p>
    <w:p w14:paraId="75D67636">
      <w:pPr>
        <w:pStyle w:val="9"/>
        <w:tabs>
          <w:tab w:val="left" w:pos="1759"/>
        </w:tabs>
        <w:overflowPunct w:val="0"/>
        <w:autoSpaceDE w:val="0"/>
        <w:autoSpaceDN w:val="0"/>
        <w:spacing w:after="0"/>
        <w:ind w:firstLine="640"/>
        <w:rPr>
          <w:rFonts w:hint="eastAsia" w:ascii="仿宋_GB2312" w:hAnsi="仿宋_GB2312" w:eastAsia="仿宋_GB2312" w:cs="仿宋_GB2312"/>
          <w:color w:val="000000"/>
          <w:szCs w:val="32"/>
          <w:lang w:bidi="zh-CN"/>
        </w:rPr>
      </w:pPr>
      <w:r>
        <w:rPr>
          <w:rFonts w:hint="eastAsia" w:ascii="仿宋_GB2312" w:hAnsi="仿宋_GB2312" w:eastAsia="仿宋_GB2312" w:cs="仿宋_GB2312"/>
          <w:color w:val="000000"/>
          <w:szCs w:val="32"/>
          <w:lang w:bidi="zh-CN"/>
        </w:rPr>
        <w:t>（3）请化工园区周边居民主动配合化工园区封闭管理要求，自觉遵守交通指示，合理选择出行路线，注意道路安全。</w:t>
      </w:r>
    </w:p>
    <w:p w14:paraId="704504DE">
      <w:pPr>
        <w:pStyle w:val="4"/>
        <w:ind w:firstLine="643"/>
        <w:rPr>
          <w:rFonts w:hint="eastAsia"/>
        </w:rPr>
      </w:pPr>
      <w:r>
        <w:rPr>
          <w:rFonts w:hint="eastAsia"/>
        </w:rPr>
        <w:t>（四）各类车辆及人员出入规范</w:t>
      </w:r>
    </w:p>
    <w:p w14:paraId="58E6F53B">
      <w:pPr>
        <w:pStyle w:val="34"/>
        <w:tabs>
          <w:tab w:val="left" w:pos="1122"/>
        </w:tabs>
        <w:overflowPunct w:val="0"/>
        <w:autoSpaceDE w:val="0"/>
        <w:autoSpaceDN w:val="0"/>
        <w:spacing w:before="0"/>
        <w:ind w:left="0" w:firstLine="643"/>
        <w:rPr>
          <w:rFonts w:hint="eastAsia" w:cs="仿宋_GB2312"/>
          <w:color w:val="000000"/>
          <w:szCs w:val="32"/>
        </w:rPr>
      </w:pPr>
      <w:r>
        <w:rPr>
          <w:rFonts w:hint="eastAsia" w:hAnsi="楷体_GB2312" w:cs="楷体_GB2312"/>
          <w:b/>
          <w:color w:val="000000"/>
          <w:szCs w:val="32"/>
          <w:lang w:val="zh-CN"/>
        </w:rPr>
        <w:t>1.</w:t>
      </w:r>
      <w:r>
        <w:rPr>
          <w:rFonts w:hint="eastAsia" w:hAnsi="楷体_GB2312" w:cs="楷体_GB2312"/>
          <w:b/>
          <w:color w:val="000000"/>
          <w:szCs w:val="32"/>
        </w:rPr>
        <w:t>危险化学品运输车辆出入园区</w:t>
      </w:r>
    </w:p>
    <w:p w14:paraId="01F9B8E1">
      <w:pPr>
        <w:pStyle w:val="9"/>
        <w:tabs>
          <w:tab w:val="left" w:pos="1759"/>
        </w:tabs>
        <w:overflowPunct w:val="0"/>
        <w:autoSpaceDE w:val="0"/>
        <w:autoSpaceDN w:val="0"/>
        <w:spacing w:after="0"/>
        <w:ind w:firstLine="640"/>
        <w:rPr>
          <w:rFonts w:hint="eastAsia" w:ascii="仿宋_GB2312" w:hAnsi="仿宋_GB2312" w:eastAsia="仿宋_GB2312" w:cs="仿宋_GB2312"/>
          <w:color w:val="000000"/>
          <w:szCs w:val="32"/>
          <w:lang w:bidi="zh-CN"/>
        </w:rPr>
      </w:pPr>
      <w:r>
        <w:rPr>
          <w:rFonts w:hint="eastAsia" w:ascii="仿宋_GB2312" w:hAnsi="仿宋_GB2312" w:eastAsia="仿宋_GB2312" w:cs="仿宋_GB2312"/>
          <w:color w:val="000000"/>
          <w:szCs w:val="32"/>
          <w:lang w:bidi="zh-CN"/>
        </w:rPr>
        <w:t>（1）危险化学品运输车辆进出园区内企业实行提前预约登记管理方法。</w:t>
      </w:r>
    </w:p>
    <w:p w14:paraId="78050B60">
      <w:pPr>
        <w:pStyle w:val="9"/>
        <w:tabs>
          <w:tab w:val="left" w:pos="1759"/>
        </w:tabs>
        <w:overflowPunct w:val="0"/>
        <w:autoSpaceDE w:val="0"/>
        <w:autoSpaceDN w:val="0"/>
        <w:spacing w:after="0"/>
        <w:ind w:firstLine="640"/>
        <w:rPr>
          <w:rFonts w:hint="eastAsia" w:ascii="仿宋_GB2312" w:hAnsi="仿宋_GB2312" w:eastAsia="仿宋_GB2312" w:cs="仿宋_GB2312"/>
          <w:color w:val="000000"/>
          <w:szCs w:val="32"/>
          <w:lang w:bidi="zh-CN"/>
        </w:rPr>
      </w:pPr>
      <w:r>
        <w:rPr>
          <w:rFonts w:hint="eastAsia" w:ascii="仿宋_GB2312" w:hAnsi="仿宋_GB2312" w:eastAsia="仿宋_GB2312" w:cs="仿宋_GB2312"/>
          <w:color w:val="000000"/>
          <w:szCs w:val="32"/>
          <w:lang w:bidi="zh-CN"/>
        </w:rPr>
        <w:t>（2）卡口道闸实行一车一杆，车速控制在5公里/小时以内，与前车距离不少于10米，不得跟车冲卡、暴力冲卡、故意堵塞卡口通道。</w:t>
      </w:r>
    </w:p>
    <w:p w14:paraId="0D24DF28">
      <w:pPr>
        <w:pStyle w:val="9"/>
        <w:tabs>
          <w:tab w:val="left" w:pos="1759"/>
        </w:tabs>
        <w:overflowPunct w:val="0"/>
        <w:autoSpaceDE w:val="0"/>
        <w:autoSpaceDN w:val="0"/>
        <w:spacing w:after="0"/>
        <w:ind w:firstLine="640"/>
        <w:rPr>
          <w:rFonts w:hint="eastAsia" w:ascii="仿宋_GB2312" w:hAnsi="仿宋_GB2312" w:eastAsia="仿宋_GB2312" w:cs="仿宋_GB2312"/>
          <w:color w:val="000000"/>
          <w:szCs w:val="32"/>
          <w:lang w:bidi="zh-CN"/>
        </w:rPr>
      </w:pPr>
      <w:r>
        <w:rPr>
          <w:rFonts w:hint="eastAsia" w:ascii="仿宋_GB2312" w:hAnsi="仿宋_GB2312" w:eastAsia="仿宋_GB2312" w:cs="仿宋_GB2312"/>
          <w:color w:val="000000"/>
          <w:szCs w:val="32"/>
          <w:lang w:bidi="zh-CN"/>
        </w:rPr>
        <w:t>（3）危险化学品运输车辆不得在卡口附近50米内停车逗留，如遇特殊情况需在卡口附近停靠，应主动配合卡口工作人员的指挥。</w:t>
      </w:r>
    </w:p>
    <w:p w14:paraId="5C227F85">
      <w:pPr>
        <w:pStyle w:val="9"/>
        <w:tabs>
          <w:tab w:val="left" w:pos="1759"/>
        </w:tabs>
        <w:overflowPunct w:val="0"/>
        <w:autoSpaceDE w:val="0"/>
        <w:autoSpaceDN w:val="0"/>
        <w:spacing w:after="0"/>
        <w:ind w:firstLine="640"/>
        <w:rPr>
          <w:rFonts w:hint="eastAsia" w:ascii="仿宋_GB2312" w:hAnsi="仿宋_GB2312" w:eastAsia="仿宋_GB2312" w:cs="仿宋_GB2312"/>
          <w:color w:val="000000"/>
          <w:szCs w:val="32"/>
          <w:lang w:bidi="zh-CN"/>
        </w:rPr>
      </w:pPr>
      <w:r>
        <w:rPr>
          <w:rFonts w:hint="eastAsia" w:ascii="仿宋_GB2312" w:hAnsi="仿宋_GB2312" w:eastAsia="仿宋_GB2312" w:cs="仿宋_GB2312"/>
          <w:color w:val="000000"/>
          <w:szCs w:val="32"/>
          <w:lang w:bidi="zh-CN"/>
        </w:rPr>
        <w:t>（4）危险化学品运输车辆驾驶员夜晚驾驶车辆临近卡口时，应打开近光灯，服从卡口工作人员的指挥安排。</w:t>
      </w:r>
    </w:p>
    <w:p w14:paraId="1DCC308B">
      <w:pPr>
        <w:pStyle w:val="9"/>
        <w:tabs>
          <w:tab w:val="left" w:pos="1759"/>
        </w:tabs>
        <w:overflowPunct w:val="0"/>
        <w:autoSpaceDE w:val="0"/>
        <w:autoSpaceDN w:val="0"/>
        <w:spacing w:after="0"/>
        <w:ind w:firstLine="640"/>
        <w:rPr>
          <w:rFonts w:hint="eastAsia" w:ascii="仿宋_GB2312" w:hAnsi="仿宋_GB2312" w:eastAsia="仿宋_GB2312" w:cs="仿宋_GB2312"/>
          <w:color w:val="000000"/>
          <w:szCs w:val="32"/>
          <w:lang w:bidi="zh-CN"/>
        </w:rPr>
      </w:pPr>
      <w:r>
        <w:rPr>
          <w:rFonts w:hint="eastAsia" w:ascii="仿宋_GB2312" w:hAnsi="仿宋_GB2312" w:eastAsia="仿宋_GB2312" w:cs="仿宋_GB2312"/>
          <w:color w:val="000000"/>
          <w:szCs w:val="32"/>
          <w:lang w:bidi="zh-CN"/>
        </w:rPr>
        <w:t>（5）危险化学品运输车辆在园区道路的行驶时速不得超过30公里/小时，不得在企业厂区外停车逗留。</w:t>
      </w:r>
    </w:p>
    <w:p w14:paraId="07B76B55">
      <w:pPr>
        <w:pStyle w:val="9"/>
        <w:tabs>
          <w:tab w:val="left" w:pos="1759"/>
        </w:tabs>
        <w:overflowPunct w:val="0"/>
        <w:autoSpaceDE w:val="0"/>
        <w:autoSpaceDN w:val="0"/>
        <w:spacing w:after="0"/>
        <w:ind w:firstLine="640"/>
        <w:rPr>
          <w:rFonts w:hint="eastAsia" w:ascii="仿宋_GB2312" w:hAnsi="仿宋_GB2312" w:eastAsia="仿宋_GB2312" w:cs="仿宋_GB2312"/>
          <w:color w:val="000000"/>
          <w:szCs w:val="32"/>
          <w:lang w:bidi="zh-CN"/>
        </w:rPr>
      </w:pPr>
      <w:r>
        <w:rPr>
          <w:rFonts w:hint="eastAsia" w:ascii="仿宋_GB2312" w:hAnsi="仿宋_GB2312" w:eastAsia="仿宋_GB2312" w:cs="仿宋_GB2312"/>
          <w:color w:val="000000"/>
          <w:szCs w:val="32"/>
          <w:lang w:bidi="zh-CN"/>
        </w:rPr>
        <w:t>（6）危险化学品运输车辆驾驶员应严格遵守道路交通法规，文明行车、礼貌避让，禁止超速、超载，对违反治安管理行为的，由公安机关依照相关法律法规进行处理；构成犯罪的，依法追究刑事责任。</w:t>
      </w:r>
    </w:p>
    <w:p w14:paraId="26E64A60">
      <w:pPr>
        <w:pStyle w:val="9"/>
        <w:tabs>
          <w:tab w:val="left" w:pos="1759"/>
        </w:tabs>
        <w:overflowPunct w:val="0"/>
        <w:autoSpaceDE w:val="0"/>
        <w:autoSpaceDN w:val="0"/>
        <w:spacing w:after="0"/>
        <w:ind w:firstLine="640"/>
        <w:rPr>
          <w:rFonts w:hint="eastAsia" w:ascii="仿宋_GB2312" w:hAnsi="仿宋_GB2312" w:eastAsia="仿宋_GB2312" w:cs="仿宋_GB2312"/>
          <w:color w:val="000000"/>
          <w:szCs w:val="32"/>
          <w:lang w:bidi="zh-CN"/>
        </w:rPr>
      </w:pPr>
      <w:r>
        <w:rPr>
          <w:rFonts w:hint="eastAsia" w:ascii="仿宋_GB2312" w:hAnsi="仿宋_GB2312" w:eastAsia="仿宋_GB2312" w:cs="仿宋_GB2312"/>
          <w:color w:val="000000"/>
          <w:szCs w:val="32"/>
          <w:lang w:bidi="zh-CN"/>
        </w:rPr>
        <w:t>（7）严禁破坏园区封闭化管理相关设备设施，包括道闸设备、监控设备、网络设备、执勤岗亭设施等，违反者应修复相关设备设施；情节严重的，由公安机关依照相关法律法规进行处理；构成犯罪的，依法追究刑事责任。</w:t>
      </w:r>
    </w:p>
    <w:p w14:paraId="0CB366B8">
      <w:pPr>
        <w:pStyle w:val="34"/>
        <w:tabs>
          <w:tab w:val="left" w:pos="1122"/>
        </w:tabs>
        <w:overflowPunct w:val="0"/>
        <w:autoSpaceDE w:val="0"/>
        <w:autoSpaceDN w:val="0"/>
        <w:spacing w:before="0"/>
        <w:ind w:left="0" w:firstLine="643"/>
        <w:rPr>
          <w:rFonts w:hint="eastAsia" w:hAnsi="楷体_GB2312" w:cs="楷体_GB2312"/>
          <w:b/>
          <w:color w:val="000000"/>
          <w:szCs w:val="32"/>
        </w:rPr>
      </w:pPr>
      <w:r>
        <w:rPr>
          <w:rFonts w:hint="eastAsia" w:hAnsi="楷体_GB2312" w:cs="楷体_GB2312"/>
          <w:b/>
          <w:color w:val="000000"/>
          <w:szCs w:val="32"/>
        </w:rPr>
        <w:t>2.园区外普通车辆出入园区</w:t>
      </w:r>
    </w:p>
    <w:p w14:paraId="7E34DA85">
      <w:pPr>
        <w:pStyle w:val="9"/>
        <w:tabs>
          <w:tab w:val="left" w:pos="1759"/>
        </w:tabs>
        <w:overflowPunct w:val="0"/>
        <w:autoSpaceDE w:val="0"/>
        <w:autoSpaceDN w:val="0"/>
        <w:spacing w:after="0"/>
        <w:ind w:firstLine="640"/>
        <w:rPr>
          <w:rFonts w:hint="eastAsia" w:ascii="仿宋_GB2312" w:hAnsi="仿宋_GB2312" w:eastAsia="仿宋_GB2312" w:cs="仿宋_GB2312"/>
          <w:color w:val="000000"/>
          <w:szCs w:val="32"/>
          <w:lang w:bidi="zh-CN"/>
        </w:rPr>
      </w:pPr>
      <w:r>
        <w:rPr>
          <w:rFonts w:hint="eastAsia" w:ascii="仿宋_GB2312" w:hAnsi="仿宋_GB2312" w:eastAsia="仿宋_GB2312" w:cs="仿宋_GB2312"/>
          <w:color w:val="000000"/>
          <w:szCs w:val="32"/>
          <w:lang w:bidi="zh-CN"/>
        </w:rPr>
        <w:t>（1）访客驾驶普通车辆入园前应提前申请，获到访企业审核通过后方可正常进出园区。</w:t>
      </w:r>
    </w:p>
    <w:p w14:paraId="329DCBE3">
      <w:pPr>
        <w:pStyle w:val="9"/>
        <w:tabs>
          <w:tab w:val="left" w:pos="1759"/>
        </w:tabs>
        <w:overflowPunct w:val="0"/>
        <w:autoSpaceDE w:val="0"/>
        <w:autoSpaceDN w:val="0"/>
        <w:spacing w:after="0"/>
        <w:ind w:firstLine="640"/>
        <w:rPr>
          <w:rFonts w:hint="eastAsia" w:ascii="仿宋_GB2312" w:hAnsi="仿宋_GB2312" w:eastAsia="仿宋_GB2312" w:cs="仿宋_GB2312"/>
          <w:color w:val="000000"/>
          <w:szCs w:val="32"/>
          <w:lang w:bidi="zh-CN"/>
        </w:rPr>
      </w:pPr>
      <w:r>
        <w:rPr>
          <w:rFonts w:hint="eastAsia" w:ascii="仿宋_GB2312" w:hAnsi="仿宋_GB2312" w:eastAsia="仿宋_GB2312" w:cs="仿宋_GB2312"/>
          <w:color w:val="000000"/>
          <w:szCs w:val="32"/>
          <w:lang w:bidi="zh-CN"/>
        </w:rPr>
        <w:t>（2）园区外普通车辆通过卡口机动车道道闸时，需待系统自动识别，道闸抬杆后方可进入。</w:t>
      </w:r>
    </w:p>
    <w:p w14:paraId="3FD7F92B">
      <w:pPr>
        <w:pStyle w:val="9"/>
        <w:tabs>
          <w:tab w:val="left" w:pos="1759"/>
        </w:tabs>
        <w:overflowPunct w:val="0"/>
        <w:autoSpaceDE w:val="0"/>
        <w:autoSpaceDN w:val="0"/>
        <w:spacing w:after="0"/>
        <w:ind w:firstLine="640"/>
        <w:rPr>
          <w:rFonts w:hint="eastAsia" w:ascii="仿宋_GB2312" w:hAnsi="仿宋_GB2312" w:eastAsia="仿宋_GB2312" w:cs="仿宋_GB2312"/>
          <w:color w:val="000000"/>
          <w:szCs w:val="32"/>
          <w:lang w:bidi="zh-CN"/>
        </w:rPr>
      </w:pPr>
      <w:r>
        <w:rPr>
          <w:rFonts w:hint="eastAsia" w:ascii="仿宋_GB2312" w:hAnsi="仿宋_GB2312" w:eastAsia="仿宋_GB2312" w:cs="仿宋_GB2312"/>
          <w:color w:val="000000"/>
          <w:szCs w:val="32"/>
          <w:lang w:bidi="zh-CN"/>
        </w:rPr>
        <w:t>（3）普通车辆应从卡口机动车道有序进出，卡口道闸实行一车一杆，车速控制在5公里/小时以内，与前车距离不少于10米，不得跟车冲卡、暴力冲卡、故意堵塞卡口通道。</w:t>
      </w:r>
    </w:p>
    <w:p w14:paraId="24220398">
      <w:pPr>
        <w:pStyle w:val="9"/>
        <w:tabs>
          <w:tab w:val="left" w:pos="1759"/>
        </w:tabs>
        <w:overflowPunct w:val="0"/>
        <w:autoSpaceDE w:val="0"/>
        <w:autoSpaceDN w:val="0"/>
        <w:spacing w:after="0"/>
        <w:ind w:firstLine="640"/>
        <w:rPr>
          <w:rFonts w:hint="eastAsia" w:ascii="仿宋_GB2312" w:hAnsi="仿宋_GB2312" w:eastAsia="仿宋_GB2312" w:cs="仿宋_GB2312"/>
          <w:color w:val="000000"/>
          <w:szCs w:val="32"/>
          <w:lang w:bidi="zh-CN"/>
        </w:rPr>
      </w:pPr>
      <w:r>
        <w:rPr>
          <w:rFonts w:hint="eastAsia" w:ascii="仿宋_GB2312" w:hAnsi="仿宋_GB2312" w:eastAsia="仿宋_GB2312" w:cs="仿宋_GB2312"/>
          <w:color w:val="000000"/>
          <w:szCs w:val="32"/>
          <w:lang w:bidi="zh-CN"/>
        </w:rPr>
        <w:t>（4）普通车辆不得在卡口附近50米内停车逗留，如遇特殊情况需在卡口附近停靠，应主动配合卡口工作人员的指挥。</w:t>
      </w:r>
    </w:p>
    <w:p w14:paraId="2D9376C4">
      <w:pPr>
        <w:pStyle w:val="9"/>
        <w:tabs>
          <w:tab w:val="left" w:pos="1759"/>
        </w:tabs>
        <w:overflowPunct w:val="0"/>
        <w:autoSpaceDE w:val="0"/>
        <w:autoSpaceDN w:val="0"/>
        <w:spacing w:after="0"/>
        <w:ind w:firstLine="640"/>
        <w:rPr>
          <w:rFonts w:hint="eastAsia" w:ascii="仿宋_GB2312" w:hAnsi="仿宋_GB2312" w:eastAsia="仿宋_GB2312" w:cs="仿宋_GB2312"/>
          <w:color w:val="000000"/>
          <w:szCs w:val="32"/>
          <w:lang w:bidi="zh-CN"/>
        </w:rPr>
      </w:pPr>
      <w:r>
        <w:rPr>
          <w:rFonts w:hint="eastAsia" w:ascii="仿宋_GB2312" w:hAnsi="仿宋_GB2312" w:eastAsia="仿宋_GB2312" w:cs="仿宋_GB2312"/>
          <w:color w:val="000000"/>
          <w:szCs w:val="32"/>
          <w:lang w:bidi="zh-CN"/>
        </w:rPr>
        <w:t>（5）普通车辆驾驶员夜晚驾驶车辆临近卡口时，应打开近光灯，服从卡口工作人员的指挥安排。</w:t>
      </w:r>
    </w:p>
    <w:p w14:paraId="0C61A146">
      <w:pPr>
        <w:pStyle w:val="9"/>
        <w:tabs>
          <w:tab w:val="left" w:pos="1759"/>
        </w:tabs>
        <w:overflowPunct w:val="0"/>
        <w:autoSpaceDE w:val="0"/>
        <w:autoSpaceDN w:val="0"/>
        <w:spacing w:after="0"/>
        <w:ind w:firstLine="640"/>
        <w:rPr>
          <w:rFonts w:hint="eastAsia" w:ascii="仿宋_GB2312" w:hAnsi="仿宋_GB2312" w:eastAsia="仿宋_GB2312" w:cs="仿宋_GB2312"/>
          <w:color w:val="000000"/>
          <w:szCs w:val="32"/>
          <w:lang w:bidi="zh-CN"/>
        </w:rPr>
      </w:pPr>
      <w:r>
        <w:rPr>
          <w:rFonts w:hint="eastAsia" w:ascii="仿宋_GB2312" w:hAnsi="仿宋_GB2312" w:eastAsia="仿宋_GB2312" w:cs="仿宋_GB2312"/>
          <w:color w:val="000000"/>
          <w:szCs w:val="32"/>
          <w:lang w:bidi="zh-CN"/>
        </w:rPr>
        <w:t>（6）普通机动车辆驾驶员应严格遵守道路交通法规，禁止超速、超载，文明行车、礼貌避让，对违反治安管理行为的，由公安机关依照相关法律法规进行处理；构成犯罪的，依法追究刑事责任。</w:t>
      </w:r>
    </w:p>
    <w:p w14:paraId="58B211A5">
      <w:pPr>
        <w:pStyle w:val="9"/>
        <w:tabs>
          <w:tab w:val="left" w:pos="1759"/>
        </w:tabs>
        <w:overflowPunct w:val="0"/>
        <w:autoSpaceDE w:val="0"/>
        <w:autoSpaceDN w:val="0"/>
        <w:spacing w:after="0"/>
        <w:ind w:firstLine="640"/>
        <w:rPr>
          <w:rFonts w:hint="eastAsia" w:ascii="仿宋_GB2312" w:hAnsi="仿宋_GB2312" w:eastAsia="仿宋_GB2312" w:cs="仿宋_GB2312"/>
          <w:color w:val="000000"/>
          <w:szCs w:val="32"/>
          <w:lang w:bidi="zh-CN"/>
        </w:rPr>
      </w:pPr>
      <w:r>
        <w:rPr>
          <w:rFonts w:hint="eastAsia" w:ascii="仿宋_GB2312" w:hAnsi="仿宋_GB2312" w:eastAsia="仿宋_GB2312" w:cs="仿宋_GB2312"/>
          <w:color w:val="000000"/>
          <w:szCs w:val="32"/>
          <w:lang w:bidi="zh-CN"/>
        </w:rPr>
        <w:t>（7）严禁破坏园区封闭化管理相关设备设施，包括道闸设备、监控设备、网络设备、执勤岗亭设施等，违反者须修复相关设备设施；情节严重的，由公安机关依照相关法律法规进行处理；构成犯罪的，依法追究刑事责任。</w:t>
      </w:r>
    </w:p>
    <w:p w14:paraId="011809E7">
      <w:pPr>
        <w:pStyle w:val="4"/>
        <w:ind w:firstLine="643"/>
        <w:rPr>
          <w:rFonts w:hint="eastAsia"/>
        </w:rPr>
      </w:pPr>
      <w:r>
        <w:rPr>
          <w:rFonts w:hint="eastAsia"/>
        </w:rPr>
        <w:t>（六）出入人员管理</w:t>
      </w:r>
    </w:p>
    <w:p w14:paraId="44832EA9">
      <w:pPr>
        <w:overflowPunct w:val="0"/>
        <w:autoSpaceDE w:val="0"/>
        <w:autoSpaceDN w:val="0"/>
        <w:ind w:firstLine="643"/>
        <w:rPr>
          <w:rFonts w:hint="eastAsia" w:cs="仿宋_GB2312"/>
          <w:b/>
          <w:color w:val="000000"/>
          <w:szCs w:val="32"/>
          <w:lang w:bidi="zh-CN"/>
        </w:rPr>
      </w:pPr>
      <w:r>
        <w:rPr>
          <w:rFonts w:hint="eastAsia" w:hAnsi="楷体_GB2312" w:cs="楷体_GB2312"/>
          <w:b/>
          <w:color w:val="000000"/>
          <w:szCs w:val="32"/>
          <w:lang w:val="zh-CN" w:bidi="zh-CN"/>
        </w:rPr>
        <w:t>1.</w:t>
      </w:r>
      <w:r>
        <w:rPr>
          <w:rFonts w:hint="eastAsia" w:cs="仿宋_GB2312"/>
          <w:b/>
          <w:color w:val="000000"/>
          <w:szCs w:val="32"/>
          <w:lang w:bidi="zh-CN"/>
        </w:rPr>
        <w:t>园区外访客行人、非机动车辆、摩托车出入园区</w:t>
      </w:r>
    </w:p>
    <w:p w14:paraId="7FF899CC">
      <w:pPr>
        <w:overflowPunct w:val="0"/>
        <w:autoSpaceDE w:val="0"/>
        <w:autoSpaceDN w:val="0"/>
        <w:ind w:firstLine="640"/>
        <w:rPr>
          <w:rFonts w:hint="eastAsia" w:cs="仿宋_GB2312"/>
          <w:color w:val="000000"/>
          <w:szCs w:val="32"/>
          <w:lang w:bidi="zh-CN"/>
        </w:rPr>
      </w:pPr>
      <w:r>
        <w:rPr>
          <w:rFonts w:hint="eastAsia" w:cs="仿宋_GB2312"/>
          <w:color w:val="000000"/>
          <w:szCs w:val="32"/>
          <w:lang w:bidi="zh-CN"/>
        </w:rPr>
        <w:t>（1）访客步行或驾驶非机动车辆、摩托车入园前应提前申请，获到访企业审核通过后方可正常进出园区。</w:t>
      </w:r>
    </w:p>
    <w:p w14:paraId="5CE5B4EC">
      <w:pPr>
        <w:overflowPunct w:val="0"/>
        <w:autoSpaceDE w:val="0"/>
        <w:autoSpaceDN w:val="0"/>
        <w:ind w:firstLine="640"/>
        <w:rPr>
          <w:rFonts w:hint="eastAsia" w:cs="仿宋_GB2312"/>
          <w:color w:val="000000"/>
          <w:szCs w:val="32"/>
          <w:lang w:bidi="zh-CN"/>
        </w:rPr>
      </w:pPr>
      <w:r>
        <w:rPr>
          <w:rFonts w:hint="eastAsia" w:cs="仿宋_GB2312"/>
          <w:color w:val="000000"/>
          <w:szCs w:val="32"/>
          <w:lang w:bidi="zh-CN"/>
        </w:rPr>
        <w:t>（2）访客步行或驾驶非机动车辆、摩托车通过人行通道时，扫描人脸，待系统识别，门禁自动打开后方可进入。</w:t>
      </w:r>
    </w:p>
    <w:p w14:paraId="62D0A039">
      <w:pPr>
        <w:overflowPunct w:val="0"/>
        <w:autoSpaceDE w:val="0"/>
        <w:autoSpaceDN w:val="0"/>
        <w:ind w:firstLine="640"/>
        <w:rPr>
          <w:rFonts w:hint="eastAsia" w:cs="仿宋_GB2312"/>
          <w:color w:val="000000"/>
          <w:szCs w:val="32"/>
          <w:lang w:bidi="zh-CN"/>
        </w:rPr>
      </w:pPr>
      <w:r>
        <w:rPr>
          <w:rFonts w:hint="eastAsia" w:cs="仿宋_GB2312"/>
          <w:color w:val="000000"/>
          <w:szCs w:val="32"/>
          <w:lang w:bidi="zh-CN"/>
        </w:rPr>
        <w:t>（3）行人、非机动车辆、摩托车应从人行通道有序进出，实行一人一闸，不得抢卡、跟卡、暴力冲卡、故意堵塞卡口通道。</w:t>
      </w:r>
    </w:p>
    <w:p w14:paraId="794E1494">
      <w:pPr>
        <w:overflowPunct w:val="0"/>
        <w:autoSpaceDE w:val="0"/>
        <w:autoSpaceDN w:val="0"/>
        <w:ind w:firstLine="640"/>
        <w:rPr>
          <w:rFonts w:hint="eastAsia" w:cs="仿宋_GB2312"/>
          <w:color w:val="000000"/>
          <w:szCs w:val="32"/>
          <w:lang w:bidi="zh-CN"/>
        </w:rPr>
      </w:pPr>
      <w:r>
        <w:rPr>
          <w:rFonts w:hint="eastAsia" w:cs="仿宋_GB2312"/>
          <w:color w:val="000000"/>
          <w:szCs w:val="32"/>
          <w:lang w:bidi="zh-CN"/>
        </w:rPr>
        <w:t>（4）非机动车辆、摩托车不得在卡口附近50米内停车逗留，避免影响卡口附近的交通安全。</w:t>
      </w:r>
    </w:p>
    <w:p w14:paraId="40471A1B">
      <w:pPr>
        <w:overflowPunct w:val="0"/>
        <w:autoSpaceDE w:val="0"/>
        <w:autoSpaceDN w:val="0"/>
        <w:ind w:firstLine="640"/>
        <w:rPr>
          <w:rFonts w:hint="eastAsia" w:cs="仿宋_GB2312"/>
          <w:color w:val="000000"/>
          <w:szCs w:val="32"/>
          <w:lang w:bidi="zh-CN"/>
        </w:rPr>
      </w:pPr>
      <w:r>
        <w:rPr>
          <w:rFonts w:hint="eastAsia" w:cs="仿宋_GB2312"/>
          <w:color w:val="000000"/>
          <w:szCs w:val="32"/>
          <w:lang w:bidi="zh-CN"/>
        </w:rPr>
        <w:t>（5）非机动车辆、摩托车应严格遵守道路交通法规，禁止超速、超载，文明行车、礼貌避让，对违反治安管理行为的，由公安机关依照相关法律法规进行处理；构成犯罪的，依法追究刑事责任。</w:t>
      </w:r>
    </w:p>
    <w:p w14:paraId="1F34678D">
      <w:pPr>
        <w:overflowPunct w:val="0"/>
        <w:autoSpaceDE w:val="0"/>
        <w:autoSpaceDN w:val="0"/>
        <w:ind w:firstLine="640"/>
        <w:rPr>
          <w:rFonts w:hint="eastAsia" w:cs="仿宋_GB2312"/>
          <w:color w:val="000000"/>
          <w:szCs w:val="32"/>
        </w:rPr>
      </w:pPr>
      <w:r>
        <w:rPr>
          <w:rFonts w:hint="eastAsia" w:cs="仿宋_GB2312"/>
          <w:color w:val="000000"/>
          <w:szCs w:val="32"/>
          <w:lang w:bidi="zh-CN"/>
        </w:rPr>
        <w:t>（6）严禁破坏园区封闭化管理相关设备设施，包括道闸设备、监控设备、网络设备、执勤岗亭设施等，违反者须修复相关设备设施；情节严重的，由公安机关依照相关法律法规进行处理；构成犯罪的，依法追究刑事责任。</w:t>
      </w:r>
    </w:p>
    <w:p w14:paraId="671586BF">
      <w:pPr>
        <w:ind w:firstLine="643"/>
        <w:rPr>
          <w:rFonts w:hint="eastAsia" w:ascii="楷体_GB2312" w:hAnsi="楷体_GB2312" w:eastAsia="楷体_GB2312" w:cs="楷体_GB2312"/>
          <w:b/>
          <w:color w:val="000000"/>
          <w:szCs w:val="32"/>
        </w:rPr>
      </w:pPr>
      <w:r>
        <w:rPr>
          <w:rFonts w:hint="eastAsia" w:hAnsi="楷体_GB2312" w:cs="楷体_GB2312"/>
          <w:b/>
          <w:color w:val="000000"/>
          <w:szCs w:val="32"/>
          <w:lang w:val="zh-CN" w:bidi="zh-CN"/>
        </w:rPr>
        <w:t>2.</w:t>
      </w:r>
      <w:r>
        <w:rPr>
          <w:rFonts w:hint="eastAsia" w:cs="仿宋_GB2312"/>
          <w:b/>
          <w:color w:val="000000"/>
          <w:szCs w:val="32"/>
          <w:lang w:bidi="zh-CN"/>
        </w:rPr>
        <w:t>园区内企业的固定人员和车辆出入园区</w:t>
      </w:r>
    </w:p>
    <w:p w14:paraId="2EFC5675">
      <w:pPr>
        <w:pStyle w:val="9"/>
        <w:spacing w:after="0"/>
        <w:ind w:left="30" w:right="160" w:firstLine="640"/>
        <w:rPr>
          <w:rFonts w:hint="eastAsia" w:ascii="仿宋_GB2312" w:hAnsi="仿宋_GB2312" w:eastAsia="仿宋_GB2312" w:cs="仿宋_GB2312"/>
          <w:color w:val="000000"/>
          <w:szCs w:val="32"/>
          <w:lang w:bidi="zh-CN"/>
        </w:rPr>
      </w:pPr>
      <w:r>
        <w:rPr>
          <w:rFonts w:hint="eastAsia" w:ascii="仿宋_GB2312" w:hAnsi="仿宋_GB2312" w:eastAsia="仿宋_GB2312" w:cs="仿宋_GB2312"/>
          <w:color w:val="000000"/>
          <w:szCs w:val="32"/>
          <w:lang w:bidi="zh-CN"/>
        </w:rPr>
        <w:t>（1）园区内企业的固定人员和车辆，由园区内企业统一在园区智慧化管控平台上进行录入及实名认证，每位员工和每辆车都有相应的通行权限。</w:t>
      </w:r>
    </w:p>
    <w:p w14:paraId="4CC2ECF0">
      <w:pPr>
        <w:pStyle w:val="9"/>
        <w:spacing w:after="0"/>
        <w:ind w:left="30" w:right="160" w:firstLine="640"/>
        <w:rPr>
          <w:rFonts w:hint="eastAsia" w:ascii="仿宋_GB2312" w:hAnsi="仿宋_GB2312" w:eastAsia="仿宋_GB2312" w:cs="仿宋_GB2312"/>
          <w:color w:val="000000"/>
          <w:szCs w:val="32"/>
          <w:lang w:bidi="zh-CN"/>
        </w:rPr>
      </w:pPr>
      <w:r>
        <w:rPr>
          <w:rFonts w:hint="eastAsia" w:ascii="仿宋_GB2312" w:hAnsi="仿宋_GB2312" w:eastAsia="仿宋_GB2312" w:cs="仿宋_GB2312"/>
          <w:color w:val="000000"/>
          <w:szCs w:val="32"/>
          <w:lang w:bidi="zh-CN"/>
        </w:rPr>
        <w:t>（2）固定人员通过人行通道时，扫描人脸，需待系统识别，门禁自动打开后方可进入。固定车辆通过卡口机动车道道闸时，待系统自动识别车牌号，道闸抬杆后方可进入。</w:t>
      </w:r>
    </w:p>
    <w:p w14:paraId="51708084">
      <w:pPr>
        <w:pStyle w:val="34"/>
        <w:tabs>
          <w:tab w:val="left" w:pos="1124"/>
        </w:tabs>
        <w:overflowPunct w:val="0"/>
        <w:autoSpaceDE w:val="0"/>
        <w:autoSpaceDN w:val="0"/>
        <w:spacing w:before="0"/>
        <w:ind w:left="0"/>
        <w:rPr>
          <w:rFonts w:hint="eastAsia" w:cs="仿宋_GB2312"/>
          <w:color w:val="000000"/>
          <w:szCs w:val="32"/>
          <w:lang w:bidi="zh-CN"/>
        </w:rPr>
      </w:pPr>
      <w:r>
        <w:rPr>
          <w:rFonts w:hint="eastAsia" w:cs="仿宋_GB2312"/>
          <w:color w:val="000000"/>
          <w:szCs w:val="32"/>
          <w:lang w:bidi="zh-CN"/>
        </w:rPr>
        <w:t>（3）园区内企业的固定人员和车辆也应遵守预约预约入园的相关安全管理要求。</w:t>
      </w:r>
    </w:p>
    <w:p w14:paraId="7B2FF4DD">
      <w:pPr>
        <w:ind w:firstLine="643"/>
        <w:rPr>
          <w:rFonts w:hint="eastAsia" w:hAnsi="楷体_GB2312" w:cs="楷体_GB2312"/>
          <w:color w:val="000000"/>
          <w:szCs w:val="32"/>
        </w:rPr>
      </w:pPr>
      <w:r>
        <w:rPr>
          <w:rFonts w:hint="eastAsia" w:hAnsi="楷体_GB2312" w:cs="楷体_GB2312"/>
          <w:b/>
          <w:color w:val="000000"/>
          <w:szCs w:val="32"/>
          <w:lang w:val="zh-CN" w:bidi="zh-CN"/>
        </w:rPr>
        <w:t>3.</w:t>
      </w:r>
      <w:r>
        <w:rPr>
          <w:rFonts w:hint="eastAsia" w:hAnsi="楷体_GB2312" w:cs="楷体_GB2312"/>
          <w:b/>
          <w:bCs/>
          <w:color w:val="000000"/>
          <w:szCs w:val="32"/>
          <w:lang w:bidi="zh-CN"/>
        </w:rPr>
        <w:t>特种车辆通行</w:t>
      </w:r>
    </w:p>
    <w:p w14:paraId="7DA66E88">
      <w:pPr>
        <w:pStyle w:val="9"/>
        <w:spacing w:after="0"/>
        <w:ind w:left="30" w:right="160" w:firstLine="640"/>
        <w:rPr>
          <w:rFonts w:hint="eastAsia" w:ascii="仿宋_GB2312" w:hAnsi="仿宋_GB2312" w:eastAsia="仿宋_GB2312" w:cs="仿宋_GB2312"/>
          <w:color w:val="000000"/>
          <w:szCs w:val="32"/>
          <w:lang w:bidi="zh-CN"/>
        </w:rPr>
      </w:pPr>
      <w:r>
        <w:rPr>
          <w:rFonts w:hint="eastAsia" w:ascii="仿宋_GB2312" w:hAnsi="仿宋_GB2312" w:eastAsia="仿宋_GB2312" w:cs="仿宋_GB2312"/>
          <w:color w:val="000000"/>
          <w:szCs w:val="32"/>
        </w:rPr>
        <w:t>执行任务的军车、警车、消防车、救护车，执行应急抢险救灾任务的车辆，党政机关、群团组织和法律法规授权的具有公共事务管理职能的机构车辆等特种车辆，长期进出的录入系统以白名单的方式进出。</w:t>
      </w:r>
    </w:p>
    <w:p w14:paraId="36DBD416">
      <w:pPr>
        <w:pStyle w:val="4"/>
        <w:ind w:firstLine="643"/>
        <w:rPr>
          <w:rFonts w:hint="eastAsia"/>
        </w:rPr>
      </w:pPr>
      <w:r>
        <w:rPr>
          <w:rFonts w:hint="eastAsia"/>
        </w:rPr>
        <w:t>（七）园区诚信管理</w:t>
      </w:r>
    </w:p>
    <w:p w14:paraId="192FC67F">
      <w:pPr>
        <w:pStyle w:val="9"/>
        <w:overflowPunct w:val="0"/>
        <w:autoSpaceDE w:val="0"/>
        <w:autoSpaceDN w:val="0"/>
        <w:spacing w:after="0"/>
        <w:ind w:firstLine="640"/>
        <w:rPr>
          <w:rFonts w:hint="eastAsia" w:ascii="仿宋_GB2312" w:hAnsi="仿宋_GB2312" w:eastAsia="仿宋_GB2312" w:cs="仿宋_GB2312"/>
          <w:bCs/>
          <w:color w:val="000000"/>
          <w:szCs w:val="32"/>
        </w:rPr>
      </w:pPr>
      <w:r>
        <w:rPr>
          <w:rFonts w:hint="eastAsia" w:ascii="仿宋_GB2312" w:hAnsi="楷体_GB2312" w:eastAsia="仿宋_GB2312" w:cs="楷体_GB2312"/>
          <w:bCs/>
          <w:color w:val="000000"/>
          <w:szCs w:val="32"/>
        </w:rPr>
        <w:t>1.</w:t>
      </w:r>
      <w:r>
        <w:rPr>
          <w:rFonts w:hint="eastAsia" w:ascii="仿宋_GB2312" w:hAnsi="仿宋_GB2312" w:eastAsia="仿宋_GB2312" w:cs="仿宋_GB2312"/>
          <w:bCs/>
          <w:color w:val="000000"/>
          <w:szCs w:val="32"/>
        </w:rPr>
        <w:t>园区建立违规车辆、人员档案记录，对所有进入园区的车辆、人员实行诚信管理。</w:t>
      </w:r>
    </w:p>
    <w:p w14:paraId="6F5B15D0">
      <w:pPr>
        <w:overflowPunct w:val="0"/>
        <w:autoSpaceDE w:val="0"/>
        <w:autoSpaceDN w:val="0"/>
        <w:ind w:firstLine="640"/>
        <w:rPr>
          <w:rFonts w:hint="eastAsia" w:cs="仿宋_GB2312"/>
          <w:bCs/>
          <w:color w:val="000000"/>
          <w:szCs w:val="32"/>
        </w:rPr>
      </w:pPr>
      <w:r>
        <w:rPr>
          <w:rFonts w:hint="eastAsia" w:hAnsi="楷体_GB2312" w:cs="楷体_GB2312"/>
          <w:bCs/>
          <w:color w:val="000000"/>
          <w:szCs w:val="32"/>
          <w:lang w:val="zh-CN" w:bidi="zh-CN"/>
        </w:rPr>
        <w:t>2.</w:t>
      </w:r>
      <w:r>
        <w:rPr>
          <w:rFonts w:hint="eastAsia" w:cs="仿宋_GB2312"/>
          <w:bCs/>
          <w:color w:val="000000"/>
          <w:szCs w:val="32"/>
        </w:rPr>
        <w:t>诚信管理实行积分制，凡是扣分满12分的车辆、人员，不予入园许可；如再次入园需进行教育培训并经考核通过后抵扣积分。</w:t>
      </w:r>
    </w:p>
    <w:p w14:paraId="022E1F56">
      <w:pPr>
        <w:overflowPunct w:val="0"/>
        <w:autoSpaceDE w:val="0"/>
        <w:autoSpaceDN w:val="0"/>
        <w:ind w:firstLine="640"/>
        <w:rPr>
          <w:rFonts w:hint="eastAsia" w:cs="仿宋_GB2312"/>
          <w:color w:val="000000"/>
          <w:szCs w:val="32"/>
        </w:rPr>
      </w:pPr>
      <w:r>
        <w:rPr>
          <w:rFonts w:hint="eastAsia" w:hAnsi="楷体_GB2312" w:cs="楷体_GB2312"/>
          <w:bCs/>
          <w:color w:val="000000"/>
          <w:szCs w:val="32"/>
          <w:lang w:val="zh-CN" w:bidi="zh-CN"/>
        </w:rPr>
        <w:t>3.</w:t>
      </w:r>
      <w:r>
        <w:rPr>
          <w:rFonts w:hint="eastAsia" w:cs="仿宋_GB2312"/>
          <w:bCs/>
          <w:color w:val="000000"/>
          <w:szCs w:val="32"/>
        </w:rPr>
        <w:t>对于</w:t>
      </w:r>
      <w:r>
        <w:rPr>
          <w:rFonts w:hint="eastAsia" w:cs="仿宋_GB2312"/>
          <w:color w:val="000000"/>
          <w:szCs w:val="32"/>
        </w:rPr>
        <w:t>违规频繁和存在严重违规行为的车辆、人员和企业、单位将纳入化工工业园区“黑名单”，凡是进入“黑名单”的车辆、人员和企业、单位将不予许可入园，纳入“黑名单”的车辆、人员和企业、单位信息将进行公布。</w:t>
      </w:r>
    </w:p>
    <w:p w14:paraId="57D10CD5">
      <w:pPr>
        <w:pStyle w:val="4"/>
        <w:ind w:firstLine="643"/>
        <w:rPr>
          <w:rFonts w:hint="eastAsia"/>
        </w:rPr>
      </w:pPr>
      <w:r>
        <w:rPr>
          <w:rFonts w:hint="eastAsia"/>
        </w:rPr>
        <w:t>（八）附则</w:t>
      </w:r>
    </w:p>
    <w:p w14:paraId="7D1B27B1">
      <w:pPr>
        <w:pStyle w:val="9"/>
        <w:overflowPunct w:val="0"/>
        <w:autoSpaceDE w:val="0"/>
        <w:autoSpaceDN w:val="0"/>
        <w:spacing w:after="0"/>
        <w:ind w:firstLine="640"/>
        <w:rPr>
          <w:rFonts w:hint="eastAsia" w:ascii="仿宋_GB2312" w:hAnsi="仿宋_GB2312" w:eastAsia="仿宋_GB2312" w:cs="仿宋_GB2312"/>
          <w:bCs/>
          <w:color w:val="000000"/>
          <w:szCs w:val="32"/>
        </w:rPr>
      </w:pPr>
      <w:r>
        <w:rPr>
          <w:rFonts w:hint="eastAsia" w:ascii="仿宋_GB2312" w:hAnsi="楷体_GB2312" w:eastAsia="仿宋_GB2312" w:cs="楷体_GB2312"/>
          <w:bCs/>
          <w:color w:val="000000"/>
          <w:szCs w:val="32"/>
        </w:rPr>
        <w:t>1.</w:t>
      </w:r>
      <w:r>
        <w:rPr>
          <w:rFonts w:hint="eastAsia" w:ascii="仿宋_GB2312" w:hAnsi="仿宋_GB2312" w:eastAsia="仿宋_GB2312" w:cs="仿宋_GB2312"/>
          <w:bCs/>
          <w:color w:val="000000"/>
          <w:szCs w:val="32"/>
        </w:rPr>
        <w:t>园区内各企业、单位应当安排相关工作人员，积极配合封闭管理工作的开展。同时，加强对本企业、单位员工、业务联系单位及访客人员封闭管理政策和规定的宣传教育，主动配合安保人员的引导、验证、登记等工作。</w:t>
      </w:r>
    </w:p>
    <w:p w14:paraId="66C5476F">
      <w:pPr>
        <w:overflowPunct w:val="0"/>
        <w:autoSpaceDE w:val="0"/>
        <w:autoSpaceDN w:val="0"/>
        <w:ind w:firstLine="640"/>
        <w:rPr>
          <w:rFonts w:hint="eastAsia" w:cs="仿宋_GB2312"/>
          <w:bCs/>
          <w:color w:val="000000"/>
          <w:szCs w:val="32"/>
        </w:rPr>
      </w:pPr>
      <w:r>
        <w:rPr>
          <w:rFonts w:hint="eastAsia" w:hAnsi="楷体_GB2312" w:cs="楷体_GB2312"/>
          <w:bCs/>
          <w:color w:val="000000"/>
          <w:szCs w:val="32"/>
          <w:lang w:val="zh-CN" w:bidi="zh-CN"/>
        </w:rPr>
        <w:t>2.</w:t>
      </w:r>
      <w:r>
        <w:rPr>
          <w:rFonts w:hint="eastAsia" w:cs="仿宋_GB2312"/>
          <w:bCs/>
          <w:color w:val="000000"/>
          <w:szCs w:val="32"/>
        </w:rPr>
        <w:t>入园申请人须如实填写车辆货物、人员身份、入园时间等信息，并对填报信息负责。有关职能部门、卡口管理单位有权依法对出入封闭管理区域的车辆、人员、货物信息等进行检查。</w:t>
      </w:r>
    </w:p>
    <w:p w14:paraId="01D8098C">
      <w:pPr>
        <w:overflowPunct w:val="0"/>
        <w:autoSpaceDE w:val="0"/>
        <w:autoSpaceDN w:val="0"/>
        <w:ind w:firstLine="640"/>
        <w:rPr>
          <w:rFonts w:hint="eastAsia" w:cs="仿宋_GB2312"/>
          <w:bCs/>
          <w:color w:val="000000"/>
          <w:szCs w:val="32"/>
        </w:rPr>
      </w:pPr>
      <w:r>
        <w:rPr>
          <w:rFonts w:hint="eastAsia" w:hAnsi="楷体_GB2312" w:cs="楷体_GB2312"/>
          <w:bCs/>
          <w:color w:val="000000"/>
          <w:szCs w:val="32"/>
          <w:lang w:val="zh-CN" w:bidi="zh-CN"/>
        </w:rPr>
        <w:t>3.</w:t>
      </w:r>
      <w:r>
        <w:rPr>
          <w:rFonts w:hint="eastAsia" w:cs="仿宋_GB2312"/>
          <w:bCs/>
          <w:color w:val="000000"/>
          <w:szCs w:val="32"/>
        </w:rPr>
        <w:t>任何单位和个人不得破坏园区封闭管理相关设备设施，包括道闸设备、监控设备、网络设备、执勤岗亭设施等，违反者除责令其恢复相关设备设施外，并给予警告或处罚；情节严重的，由公安执法机关依照相关法律法规进行处理；构成犯罪的，依法追究刑事责任。</w:t>
      </w:r>
    </w:p>
    <w:p w14:paraId="75096CC4">
      <w:pPr>
        <w:overflowPunct w:val="0"/>
        <w:autoSpaceDE w:val="0"/>
        <w:autoSpaceDN w:val="0"/>
        <w:ind w:firstLine="640"/>
        <w:rPr>
          <w:rFonts w:hint="eastAsia" w:cs="仿宋_GB2312"/>
          <w:color w:val="000000"/>
          <w:szCs w:val="32"/>
        </w:rPr>
      </w:pPr>
    </w:p>
    <w:p w14:paraId="4A81EEAD">
      <w:pPr>
        <w:ind w:firstLine="640"/>
        <w:rPr>
          <w:rFonts w:ascii="Times New Roman" w:hAnsi="Times New Roman"/>
        </w:rPr>
      </w:pPr>
    </w:p>
    <w:p w14:paraId="3CCF84FD">
      <w:pPr>
        <w:ind w:firstLine="640"/>
        <w:rPr>
          <w:rFonts w:ascii="Times New Roman" w:hAnsi="Times New Roman"/>
        </w:rPr>
      </w:pPr>
    </w:p>
    <w:p w14:paraId="489CB273">
      <w:pPr>
        <w:ind w:firstLine="640"/>
        <w:rPr>
          <w:rFonts w:ascii="Times New Roman" w:hAnsi="Times New Roman"/>
        </w:rPr>
      </w:pPr>
    </w:p>
    <w:p w14:paraId="01E069B5">
      <w:pPr>
        <w:ind w:firstLine="640"/>
        <w:rPr>
          <w:rFonts w:ascii="Times New Roman" w:hAnsi="Times New Roman"/>
        </w:rPr>
      </w:pPr>
    </w:p>
    <w:p w14:paraId="0CF1F1D0">
      <w:pPr>
        <w:ind w:firstLine="640"/>
        <w:rPr>
          <w:rFonts w:ascii="Times New Roman" w:hAnsi="Times New Roman"/>
        </w:rPr>
        <w:sectPr>
          <w:pgSz w:w="11906" w:h="16838"/>
          <w:pgMar w:top="2098" w:right="1531" w:bottom="1984" w:left="1531" w:header="851" w:footer="1417" w:gutter="0"/>
          <w:cols w:space="720" w:num="1"/>
          <w:docGrid w:type="lines" w:linePitch="439" w:charSpace="0"/>
        </w:sectPr>
      </w:pPr>
    </w:p>
    <w:p w14:paraId="5E100A55">
      <w:pPr>
        <w:pStyle w:val="2"/>
        <w:spacing w:before="0" w:after="0" w:line="600" w:lineRule="exact"/>
        <w:rPr>
          <w:rFonts w:ascii="Times New Roman" w:hAnsi="Times New Roman"/>
        </w:rPr>
      </w:pPr>
      <w:bookmarkStart w:id="38" w:name="_Toc13732"/>
      <w:bookmarkStart w:id="39" w:name="_Toc21959"/>
      <w:r>
        <w:rPr>
          <w:rFonts w:ascii="Times New Roman" w:hAnsi="Times New Roman"/>
        </w:rPr>
        <w:t>第八章</w:t>
      </w:r>
      <w:r>
        <w:rPr>
          <w:rFonts w:hint="eastAsia" w:ascii="Times New Roman" w:hAnsi="Times New Roman"/>
          <w:lang w:val="en-US" w:eastAsia="zh-CN"/>
        </w:rPr>
        <w:t xml:space="preserve"> </w:t>
      </w:r>
      <w:r>
        <w:rPr>
          <w:rFonts w:ascii="Times New Roman" w:hAnsi="Times New Roman"/>
        </w:rPr>
        <w:t xml:space="preserve"> 监督检查</w:t>
      </w:r>
      <w:bookmarkEnd w:id="38"/>
      <w:bookmarkEnd w:id="39"/>
    </w:p>
    <w:p w14:paraId="0D58862B">
      <w:pPr>
        <w:spacing w:line="600" w:lineRule="exact"/>
        <w:ind w:firstLine="640"/>
        <w:rPr>
          <w:rFonts w:ascii="Times New Roman" w:hAnsi="Times New Roman"/>
        </w:rPr>
      </w:pPr>
    </w:p>
    <w:p w14:paraId="25793810">
      <w:pPr>
        <w:pStyle w:val="3"/>
        <w:spacing w:line="600" w:lineRule="exact"/>
        <w:ind w:firstLine="720"/>
        <w:jc w:val="left"/>
        <w:rPr>
          <w:rFonts w:ascii="黑体" w:hAnsi="黑体" w:eastAsia="黑体"/>
          <w:b w:val="0"/>
          <w:bCs/>
        </w:rPr>
      </w:pPr>
      <w:bookmarkStart w:id="40" w:name="_Toc24670"/>
      <w:bookmarkStart w:id="41" w:name="_Toc11986"/>
      <w:r>
        <w:rPr>
          <w:rFonts w:hint="eastAsia" w:ascii="黑体" w:hAnsi="黑体" w:eastAsia="黑体"/>
          <w:b w:val="0"/>
          <w:bCs/>
        </w:rPr>
        <w:t>二十</w:t>
      </w:r>
      <w:r>
        <w:rPr>
          <w:rFonts w:ascii="黑体" w:hAnsi="黑体" w:eastAsia="黑体"/>
          <w:b w:val="0"/>
          <w:bCs/>
        </w:rPr>
        <w:t>、安全生产监督检查制度</w:t>
      </w:r>
      <w:bookmarkEnd w:id="40"/>
      <w:bookmarkEnd w:id="41"/>
    </w:p>
    <w:p w14:paraId="54B43A33">
      <w:pPr>
        <w:ind w:firstLine="643"/>
        <w:rPr>
          <w:rFonts w:ascii="Times New Roman" w:hAnsi="Times New Roman"/>
        </w:rPr>
      </w:pPr>
      <w:r>
        <w:rPr>
          <w:rFonts w:hint="eastAsia" w:ascii="楷体_GB2312" w:hAnsi="楷体_GB2312" w:eastAsia="楷体_GB2312" w:cs="楷体_GB2312"/>
          <w:b/>
          <w:color w:val="000000"/>
          <w:szCs w:val="32"/>
          <w:lang w:val="zh-CN" w:bidi="zh-CN"/>
        </w:rPr>
        <w:t>第一条</w:t>
      </w:r>
      <w:r>
        <w:rPr>
          <w:rFonts w:hint="eastAsia" w:ascii="楷体_GB2312" w:hAnsi="楷体_GB2312" w:eastAsia="楷体_GB2312" w:cs="楷体_GB2312"/>
          <w:b/>
          <w:color w:val="000000"/>
          <w:szCs w:val="32"/>
          <w:lang w:bidi="zh-CN"/>
        </w:rPr>
        <w:t xml:space="preserve">  </w:t>
      </w:r>
      <w:r>
        <w:rPr>
          <w:rFonts w:hint="eastAsia" w:ascii="Times New Roman" w:hAnsi="Times New Roman"/>
        </w:rPr>
        <w:t>园区办安全生产部室</w:t>
      </w:r>
      <w:r>
        <w:rPr>
          <w:rFonts w:ascii="Times New Roman" w:hAnsi="Times New Roman"/>
        </w:rPr>
        <w:t>制定安全生产监督检查计划。</w:t>
      </w:r>
    </w:p>
    <w:p w14:paraId="6F96F54F">
      <w:pPr>
        <w:ind w:firstLine="643"/>
        <w:rPr>
          <w:rFonts w:ascii="Times New Roman" w:hAnsi="Times New Roman"/>
        </w:rPr>
      </w:pPr>
      <w:r>
        <w:rPr>
          <w:rFonts w:hint="eastAsia" w:ascii="楷体_GB2312" w:hAnsi="楷体_GB2312" w:eastAsia="楷体_GB2312" w:cs="楷体_GB2312"/>
          <w:b/>
          <w:color w:val="000000"/>
          <w:szCs w:val="32"/>
          <w:lang w:val="zh-CN" w:bidi="zh-CN"/>
        </w:rPr>
        <w:t>第二条</w:t>
      </w:r>
      <w:r>
        <w:rPr>
          <w:rFonts w:hint="eastAsia" w:ascii="楷体_GB2312" w:hAnsi="楷体_GB2312" w:eastAsia="楷体_GB2312" w:cs="楷体_GB2312"/>
          <w:b/>
          <w:color w:val="000000"/>
          <w:szCs w:val="32"/>
          <w:lang w:bidi="zh-CN"/>
        </w:rPr>
        <w:t xml:space="preserve">  </w:t>
      </w:r>
      <w:r>
        <w:rPr>
          <w:rFonts w:ascii="Times New Roman" w:hAnsi="Times New Roman"/>
        </w:rPr>
        <w:t>日常监督检查应坚持从严督导、热情服务的原则。严格执行国家法律法规，纠正违法违规行为；同时要热诚为企业服务，帮助和促进企业强化安全生产管理。</w:t>
      </w:r>
    </w:p>
    <w:p w14:paraId="723C5334">
      <w:pPr>
        <w:ind w:firstLine="643"/>
        <w:rPr>
          <w:rFonts w:ascii="Times New Roman" w:hAnsi="Times New Roman"/>
        </w:rPr>
      </w:pPr>
      <w:r>
        <w:rPr>
          <w:rFonts w:hint="eastAsia" w:ascii="楷体_GB2312" w:hAnsi="楷体_GB2312" w:eastAsia="楷体_GB2312" w:cs="楷体_GB2312"/>
          <w:b/>
          <w:color w:val="000000"/>
          <w:szCs w:val="32"/>
          <w:lang w:val="zh-CN" w:bidi="zh-CN"/>
        </w:rPr>
        <w:t>第三条</w:t>
      </w:r>
      <w:r>
        <w:rPr>
          <w:rFonts w:hint="eastAsia" w:ascii="楷体_GB2312" w:hAnsi="楷体_GB2312" w:eastAsia="楷体_GB2312" w:cs="楷体_GB2312"/>
          <w:b/>
          <w:color w:val="000000"/>
          <w:szCs w:val="32"/>
          <w:lang w:bidi="zh-CN"/>
        </w:rPr>
        <w:t xml:space="preserve">  </w:t>
      </w:r>
      <w:r>
        <w:rPr>
          <w:rFonts w:ascii="Times New Roman" w:hAnsi="Times New Roman"/>
        </w:rPr>
        <w:t>日常监督检查以定期检查与突击抽查相结合，重点检查安全生产法律法规和安全生产规章制度执行情况、生产作业现场安全管理情况、事故隐患整改情况。</w:t>
      </w:r>
    </w:p>
    <w:p w14:paraId="52475402">
      <w:pPr>
        <w:ind w:firstLine="643"/>
        <w:rPr>
          <w:rFonts w:ascii="Times New Roman" w:hAnsi="Times New Roman"/>
        </w:rPr>
      </w:pPr>
      <w:r>
        <w:rPr>
          <w:rFonts w:hint="eastAsia" w:ascii="楷体_GB2312" w:hAnsi="楷体_GB2312" w:eastAsia="楷体_GB2312" w:cs="楷体_GB2312"/>
          <w:b/>
          <w:color w:val="000000"/>
          <w:szCs w:val="32"/>
          <w:lang w:val="zh-CN" w:bidi="zh-CN"/>
        </w:rPr>
        <w:t>第四条</w:t>
      </w:r>
      <w:r>
        <w:rPr>
          <w:rFonts w:hint="eastAsia" w:ascii="楷体_GB2312" w:hAnsi="楷体_GB2312" w:eastAsia="楷体_GB2312" w:cs="楷体_GB2312"/>
          <w:b/>
          <w:color w:val="000000"/>
          <w:szCs w:val="32"/>
          <w:lang w:bidi="zh-CN"/>
        </w:rPr>
        <w:t xml:space="preserve">  </w:t>
      </w:r>
      <w:r>
        <w:rPr>
          <w:rFonts w:hint="eastAsia" w:ascii="Times New Roman" w:hAnsi="Times New Roman"/>
        </w:rPr>
        <w:t>园区办</w:t>
      </w:r>
      <w:r>
        <w:rPr>
          <w:rFonts w:ascii="Times New Roman" w:hAnsi="Times New Roman"/>
        </w:rPr>
        <w:t>每年组织两次安全生产检查（含现场办公），参与督查的部门可由</w:t>
      </w:r>
      <w:r>
        <w:rPr>
          <w:rFonts w:hint="eastAsia" w:ascii="Times New Roman" w:hAnsi="Times New Roman"/>
        </w:rPr>
        <w:t>区应急管理局</w:t>
      </w:r>
      <w:r>
        <w:rPr>
          <w:rFonts w:ascii="Times New Roman" w:hAnsi="Times New Roman"/>
        </w:rPr>
        <w:t>根据实际工作需要确定。</w:t>
      </w:r>
    </w:p>
    <w:p w14:paraId="0218A483">
      <w:pPr>
        <w:ind w:firstLine="643"/>
        <w:rPr>
          <w:rFonts w:ascii="Times New Roman" w:hAnsi="Times New Roman"/>
        </w:rPr>
      </w:pPr>
      <w:r>
        <w:rPr>
          <w:rFonts w:hint="eastAsia" w:ascii="楷体_GB2312" w:hAnsi="楷体_GB2312" w:eastAsia="楷体_GB2312" w:cs="楷体_GB2312"/>
          <w:b/>
          <w:color w:val="000000"/>
          <w:szCs w:val="32"/>
          <w:lang w:val="zh-CN" w:bidi="zh-CN"/>
        </w:rPr>
        <w:t>第五条</w:t>
      </w:r>
      <w:r>
        <w:rPr>
          <w:rFonts w:hint="eastAsia" w:ascii="楷体_GB2312" w:hAnsi="楷体_GB2312" w:eastAsia="楷体_GB2312" w:cs="楷体_GB2312"/>
          <w:b/>
          <w:color w:val="000000"/>
          <w:szCs w:val="32"/>
          <w:lang w:bidi="zh-CN"/>
        </w:rPr>
        <w:t xml:space="preserve">  </w:t>
      </w:r>
      <w:r>
        <w:rPr>
          <w:rFonts w:ascii="Times New Roman" w:hAnsi="Times New Roman"/>
        </w:rPr>
        <w:t>对检查中发现的安全生产非法违法行为，应当场予以纠正或责令限期整改，并会同</w:t>
      </w:r>
      <w:r>
        <w:rPr>
          <w:rFonts w:hint="eastAsia" w:ascii="Times New Roman" w:hAnsi="Times New Roman"/>
        </w:rPr>
        <w:t>区</w:t>
      </w:r>
      <w:r>
        <w:rPr>
          <w:rFonts w:ascii="Times New Roman" w:hAnsi="Times New Roman"/>
        </w:rPr>
        <w:t>应急管理局依法给予行政处罚；应由其他部门进行处理的，需及时移送相关部门，并形成记录备查。</w:t>
      </w:r>
    </w:p>
    <w:p w14:paraId="286BF308">
      <w:pPr>
        <w:ind w:firstLine="643"/>
        <w:rPr>
          <w:rFonts w:ascii="Times New Roman" w:hAnsi="Times New Roman"/>
        </w:rPr>
      </w:pPr>
      <w:r>
        <w:rPr>
          <w:rFonts w:hint="eastAsia" w:ascii="楷体_GB2312" w:hAnsi="楷体_GB2312" w:eastAsia="楷体_GB2312" w:cs="楷体_GB2312"/>
          <w:b/>
          <w:color w:val="000000"/>
          <w:szCs w:val="32"/>
          <w:lang w:val="zh-CN" w:bidi="zh-CN"/>
        </w:rPr>
        <w:t>第六条</w:t>
      </w:r>
      <w:r>
        <w:rPr>
          <w:rFonts w:hint="eastAsia" w:ascii="楷体_GB2312" w:hAnsi="楷体_GB2312" w:eastAsia="楷体_GB2312" w:cs="楷体_GB2312"/>
          <w:b/>
          <w:color w:val="000000"/>
          <w:szCs w:val="32"/>
          <w:lang w:bidi="zh-CN"/>
        </w:rPr>
        <w:t xml:space="preserve">  </w:t>
      </w:r>
      <w:r>
        <w:rPr>
          <w:rFonts w:ascii="Times New Roman" w:hAnsi="Times New Roman"/>
        </w:rPr>
        <w:t>检查、督查后，应及时向受检单位反馈检查、督查意见。对检查中发现的事故隐患下达事故隐患整改通知书，明确整改内容、整改期限、整改责任单位和责任人，责令立即整改；对重大事故隐患实行挂牌督办。</w:t>
      </w:r>
    </w:p>
    <w:p w14:paraId="4A71ECDE">
      <w:pPr>
        <w:ind w:firstLine="643"/>
        <w:rPr>
          <w:rFonts w:ascii="Times New Roman" w:hAnsi="Times New Roman"/>
        </w:rPr>
      </w:pPr>
      <w:r>
        <w:rPr>
          <w:rFonts w:hint="eastAsia" w:ascii="楷体_GB2312" w:hAnsi="楷体_GB2312" w:eastAsia="楷体_GB2312" w:cs="楷体_GB2312"/>
          <w:b/>
          <w:color w:val="000000"/>
          <w:szCs w:val="32"/>
          <w:lang w:val="zh-CN" w:bidi="zh-CN"/>
        </w:rPr>
        <w:t>第七条</w:t>
      </w:r>
      <w:r>
        <w:rPr>
          <w:rFonts w:hint="eastAsia" w:ascii="楷体_GB2312" w:hAnsi="楷体_GB2312" w:eastAsia="楷体_GB2312" w:cs="楷体_GB2312"/>
          <w:b/>
          <w:color w:val="000000"/>
          <w:szCs w:val="32"/>
          <w:lang w:bidi="zh-CN"/>
        </w:rPr>
        <w:t xml:space="preserve">  </w:t>
      </w:r>
      <w:r>
        <w:rPr>
          <w:rFonts w:ascii="Times New Roman" w:hAnsi="Times New Roman"/>
        </w:rPr>
        <w:t>对检查中发现的事故隐患，应按照</w:t>
      </w:r>
      <w:r>
        <w:rPr>
          <w:rFonts w:hint="eastAsia" w:ascii="Times New Roman" w:hAnsi="Times New Roman"/>
        </w:rPr>
        <w:t>“</w:t>
      </w:r>
      <w:r>
        <w:rPr>
          <w:rFonts w:ascii="Times New Roman" w:hAnsi="Times New Roman"/>
        </w:rPr>
        <w:t>编号登记、限期整改、跟踪督查</w:t>
      </w:r>
      <w:r>
        <w:rPr>
          <w:rFonts w:hint="eastAsia" w:ascii="Times New Roman" w:hAnsi="Times New Roman"/>
        </w:rPr>
        <w:t>”</w:t>
      </w:r>
      <w:r>
        <w:rPr>
          <w:rFonts w:ascii="Times New Roman" w:hAnsi="Times New Roman"/>
        </w:rPr>
        <w:t>的要求，实施全过程跟踪。对未在规定期限内按要求整改的生产经营单位，会同</w:t>
      </w:r>
      <w:r>
        <w:rPr>
          <w:rFonts w:hint="eastAsia" w:ascii="Times New Roman" w:hAnsi="Times New Roman"/>
        </w:rPr>
        <w:t>区</w:t>
      </w:r>
      <w:r>
        <w:rPr>
          <w:rFonts w:ascii="Times New Roman" w:hAnsi="Times New Roman"/>
        </w:rPr>
        <w:t>应急管理局依法给予行政处罚</w:t>
      </w:r>
      <w:r>
        <w:rPr>
          <w:rFonts w:hint="eastAsia" w:ascii="Times New Roman" w:hAnsi="Times New Roman"/>
        </w:rPr>
        <w:t>。</w:t>
      </w:r>
    </w:p>
    <w:p w14:paraId="2E2E0F19">
      <w:pPr>
        <w:ind w:firstLine="643"/>
        <w:rPr>
          <w:rFonts w:ascii="Times New Roman" w:hAnsi="Times New Roman"/>
        </w:rPr>
      </w:pPr>
      <w:r>
        <w:rPr>
          <w:rFonts w:hint="eastAsia" w:ascii="楷体_GB2312" w:hAnsi="楷体_GB2312" w:eastAsia="楷体_GB2312" w:cs="楷体_GB2312"/>
          <w:b/>
          <w:color w:val="000000"/>
          <w:szCs w:val="32"/>
          <w:lang w:val="zh-CN" w:bidi="zh-CN"/>
        </w:rPr>
        <w:t>第八条</w:t>
      </w:r>
      <w:r>
        <w:rPr>
          <w:rFonts w:hint="eastAsia" w:ascii="楷体_GB2312" w:hAnsi="楷体_GB2312" w:eastAsia="楷体_GB2312" w:cs="楷体_GB2312"/>
          <w:b/>
          <w:color w:val="000000"/>
          <w:szCs w:val="32"/>
          <w:lang w:bidi="zh-CN"/>
        </w:rPr>
        <w:t xml:space="preserve">  </w:t>
      </w:r>
      <w:r>
        <w:rPr>
          <w:rFonts w:ascii="Times New Roman" w:hAnsi="Times New Roman"/>
        </w:rPr>
        <w:t>检查人员应当忠于职守、坚持原则、秉公执法，同时必须遵守法定程序，保守被检查单位的技术秘密，不得影响被检查单位的正常生产经营。</w:t>
      </w:r>
    </w:p>
    <w:p w14:paraId="777F3901">
      <w:pPr>
        <w:ind w:firstLine="640"/>
        <w:rPr>
          <w:rFonts w:hint="eastAsia" w:ascii="Times New Roman" w:hAnsi="Times New Roman"/>
        </w:rPr>
      </w:pPr>
    </w:p>
    <w:p w14:paraId="02B3595D">
      <w:pPr>
        <w:pStyle w:val="3"/>
        <w:ind w:firstLine="640"/>
        <w:jc w:val="left"/>
        <w:rPr>
          <w:rFonts w:ascii="黑体" w:hAnsi="黑体" w:eastAsia="黑体"/>
          <w:b w:val="0"/>
          <w:bCs/>
          <w:sz w:val="32"/>
          <w:szCs w:val="21"/>
        </w:rPr>
      </w:pPr>
      <w:bookmarkStart w:id="42" w:name="_Toc27072"/>
      <w:bookmarkStart w:id="43" w:name="_Toc19622"/>
      <w:r>
        <w:rPr>
          <w:rFonts w:ascii="黑体" w:hAnsi="黑体" w:eastAsia="黑体"/>
          <w:b w:val="0"/>
          <w:bCs/>
          <w:sz w:val="32"/>
          <w:szCs w:val="21"/>
        </w:rPr>
        <w:t>二十</w:t>
      </w:r>
      <w:r>
        <w:rPr>
          <w:rFonts w:hint="eastAsia" w:ascii="黑体" w:hAnsi="黑体" w:eastAsia="黑体"/>
          <w:b w:val="0"/>
          <w:bCs/>
          <w:sz w:val="32"/>
          <w:szCs w:val="21"/>
          <w:lang w:val="en-US" w:eastAsia="zh-CN"/>
        </w:rPr>
        <w:t>一</w:t>
      </w:r>
      <w:r>
        <w:rPr>
          <w:rFonts w:ascii="黑体" w:hAnsi="黑体" w:eastAsia="黑体"/>
          <w:b w:val="0"/>
          <w:bCs/>
          <w:sz w:val="32"/>
          <w:szCs w:val="21"/>
        </w:rPr>
        <w:t>、企业安全风险分级管控制度</w:t>
      </w:r>
      <w:bookmarkEnd w:id="42"/>
      <w:bookmarkEnd w:id="43"/>
    </w:p>
    <w:p w14:paraId="7528254B">
      <w:pPr>
        <w:ind w:firstLine="640"/>
        <w:rPr>
          <w:rFonts w:ascii="Times New Roman" w:hAnsi="Times New Roman"/>
        </w:rPr>
      </w:pPr>
      <w:r>
        <w:rPr>
          <w:rFonts w:ascii="Times New Roman" w:hAnsi="Times New Roman"/>
        </w:rPr>
        <w:t>为进一步落实园区安全管理责任，加快完善安全风险分级管控和隐患排查治理工作机制，提高监管针对性，提升监管效能，有效防范遏制重特大生产安全事故，根据《国务院安全生产委员会关于印发2018年工作要点的通知》（安委〔2018〕1号）、《应急管理部关于印发危险化学品生产储存企业安全风险评估诊断分级指南（试行）的通知》（应急〔2018〕19号）等要求，结合实际，特制订本制度。</w:t>
      </w:r>
    </w:p>
    <w:p w14:paraId="3A92EF5D">
      <w:pPr>
        <w:pStyle w:val="4"/>
        <w:ind w:firstLine="643"/>
      </w:pPr>
      <w:r>
        <w:rPr>
          <w:rFonts w:hint="eastAsia"/>
        </w:rPr>
        <w:t>（一）</w:t>
      </w:r>
      <w:r>
        <w:t>适用对象</w:t>
      </w:r>
    </w:p>
    <w:p w14:paraId="4218DD5C">
      <w:pPr>
        <w:ind w:firstLine="640"/>
        <w:rPr>
          <w:rFonts w:ascii="Times New Roman" w:hAnsi="Times New Roman"/>
        </w:rPr>
      </w:pPr>
      <w:r>
        <w:rPr>
          <w:rFonts w:ascii="Times New Roman" w:hAnsi="Times New Roman"/>
        </w:rPr>
        <w:t>本制度适用于化工园区内所有危险化学品生产储存企业，其他企业参照本制度执行。</w:t>
      </w:r>
    </w:p>
    <w:p w14:paraId="47C12235">
      <w:pPr>
        <w:pStyle w:val="4"/>
        <w:ind w:firstLine="643"/>
      </w:pPr>
      <w:r>
        <w:rPr>
          <w:rFonts w:hint="eastAsia"/>
        </w:rPr>
        <w:t>（二）</w:t>
      </w:r>
      <w:r>
        <w:t>工作职责</w:t>
      </w:r>
    </w:p>
    <w:p w14:paraId="0466A080">
      <w:pPr>
        <w:ind w:firstLine="640"/>
        <w:rPr>
          <w:rFonts w:ascii="Times New Roman" w:hAnsi="Times New Roman"/>
        </w:rPr>
      </w:pPr>
      <w:r>
        <w:rPr>
          <w:rFonts w:hint="eastAsia" w:ascii="Times New Roman" w:hAnsi="Times New Roman"/>
        </w:rPr>
        <w:t>安全生产部室</w:t>
      </w:r>
      <w:r>
        <w:rPr>
          <w:rFonts w:ascii="Times New Roman" w:hAnsi="Times New Roman"/>
        </w:rPr>
        <w:t>协助</w:t>
      </w:r>
      <w:r>
        <w:rPr>
          <w:rFonts w:hint="eastAsia" w:ascii="Times New Roman" w:hAnsi="Times New Roman"/>
        </w:rPr>
        <w:t>区</w:t>
      </w:r>
      <w:r>
        <w:rPr>
          <w:rFonts w:ascii="Times New Roman" w:hAnsi="Times New Roman"/>
        </w:rPr>
        <w:t>应急管理局负责化工企业安全风险分级管控制度的修订、企业风险分级审核评定和企业风险管控日常管理等工作。</w:t>
      </w:r>
    </w:p>
    <w:p w14:paraId="662448C2">
      <w:pPr>
        <w:pStyle w:val="4"/>
        <w:ind w:firstLine="643"/>
      </w:pPr>
      <w:r>
        <w:rPr>
          <w:rFonts w:hint="eastAsia"/>
        </w:rPr>
        <w:t>（三）</w:t>
      </w:r>
      <w:r>
        <w:t>危险化学品生产储存企业风险分级评定</w:t>
      </w:r>
    </w:p>
    <w:p w14:paraId="43AEAB36">
      <w:pPr>
        <w:ind w:firstLine="640"/>
        <w:rPr>
          <w:rFonts w:ascii="Times New Roman" w:hAnsi="Times New Roman"/>
        </w:rPr>
      </w:pPr>
      <w:r>
        <w:rPr>
          <w:rFonts w:hint="eastAsia" w:ascii="Times New Roman" w:hAnsi="Times New Roman"/>
        </w:rPr>
        <w:t>园区办邀请有资质的专业机构对企业安全风险进行评估分级，</w:t>
      </w:r>
      <w:r>
        <w:rPr>
          <w:rFonts w:ascii="Times New Roman" w:hAnsi="Times New Roman"/>
        </w:rPr>
        <w:t>根据评估诊断结果，按照风险从高到低依次将危险化学品企业分为四级：重大风险(60分以下，用红色表示)、较大风险(60至75分以下，用橙色表示)、一般风险(75至90分以下，用黄色表示)、低风险(90分及以上，用蓝色表示)。</w:t>
      </w:r>
      <w:r>
        <w:rPr>
          <w:rFonts w:hint="eastAsia" w:ascii="Times New Roman" w:hAnsi="Times New Roman"/>
        </w:rPr>
        <w:t>并报区应急管理局复核，</w:t>
      </w:r>
      <w:r>
        <w:rPr>
          <w:rFonts w:ascii="Times New Roman" w:hAnsi="Times New Roman"/>
        </w:rPr>
        <w:t>最终确定企业整体安全风险等级并进行</w:t>
      </w:r>
      <w:r>
        <w:rPr>
          <w:rFonts w:hint="eastAsia" w:ascii="Times New Roman" w:hAnsi="Times New Roman"/>
        </w:rPr>
        <w:t>管控</w:t>
      </w:r>
      <w:r>
        <w:rPr>
          <w:rFonts w:ascii="Times New Roman" w:hAnsi="Times New Roman"/>
        </w:rPr>
        <w:t>。</w:t>
      </w:r>
    </w:p>
    <w:p w14:paraId="15312F7E">
      <w:pPr>
        <w:pStyle w:val="4"/>
        <w:ind w:firstLine="643"/>
      </w:pPr>
      <w:r>
        <w:rPr>
          <w:rFonts w:hint="eastAsia"/>
        </w:rPr>
        <w:t>（四）</w:t>
      </w:r>
      <w:r>
        <w:t>风险分级管控</w:t>
      </w:r>
    </w:p>
    <w:p w14:paraId="00FC346C">
      <w:pPr>
        <w:ind w:firstLine="640"/>
        <w:rPr>
          <w:rFonts w:hint="eastAsia" w:hAnsi="Times New Roman"/>
        </w:rPr>
      </w:pPr>
      <w:r>
        <w:rPr>
          <w:rFonts w:hint="eastAsia" w:hAnsi="Times New Roman"/>
        </w:rPr>
        <w:t>1.分级管理：对化工园内危险化学品生产储存企业定期开展安全检查。重大风险企业每月检查不少于1次，较大风险企业每季度检查不少于1次；一般风险企业每半年检查不少于1次；低风险企业每年检查不少于1次。</w:t>
      </w:r>
    </w:p>
    <w:p w14:paraId="79E81CA6">
      <w:pPr>
        <w:ind w:firstLine="640"/>
        <w:rPr>
          <w:rFonts w:ascii="Times New Roman" w:hAnsi="Times New Roman"/>
        </w:rPr>
      </w:pPr>
      <w:r>
        <w:rPr>
          <w:rFonts w:hint="eastAsia" w:hAnsi="Times New Roman"/>
        </w:rPr>
        <w:t>2.重</w:t>
      </w:r>
      <w:r>
        <w:rPr>
          <w:rFonts w:ascii="Times New Roman" w:hAnsi="Times New Roman"/>
        </w:rPr>
        <w:t>点监管：企业安全风险等级为重大风险或较大风险的，要制定安全风险分级管控方案，在1个月内降低企业安全风险等级，消除事故隐患，加强对较大以上风险企业的有效管控。对因特殊原因，无法在1个月内完成重大风险或较大风险企业风险等级降级的，要及时申请延期报告并说明延期原因。对重大风险或较大风险企业风险等级无法降级的，要严格按照控制方案明确风险管控措施，对风险落实有效管控，避免发生安全生产事故。</w:t>
      </w:r>
    </w:p>
    <w:p w14:paraId="6735B66E">
      <w:pPr>
        <w:ind w:firstLine="640"/>
        <w:rPr>
          <w:rFonts w:ascii="Times New Roman" w:hAnsi="Times New Roman"/>
        </w:rPr>
      </w:pPr>
      <w:r>
        <w:rPr>
          <w:rFonts w:hint="eastAsia" w:hAnsi="Times New Roman"/>
        </w:rPr>
        <w:t>3.行政处理：企业安全风险等级为重大风险或较大风险，未按要求降低</w:t>
      </w:r>
      <w:r>
        <w:rPr>
          <w:rFonts w:ascii="Times New Roman" w:hAnsi="Times New Roman"/>
        </w:rPr>
        <w:t>企业风险等级，且未对较大以上风险落实有效管控的，由</w:t>
      </w:r>
      <w:r>
        <w:rPr>
          <w:rFonts w:hint="eastAsia" w:ascii="Times New Roman" w:hAnsi="Times New Roman"/>
        </w:rPr>
        <w:t>区</w:t>
      </w:r>
      <w:r>
        <w:rPr>
          <w:rFonts w:ascii="Times New Roman" w:hAnsi="Times New Roman"/>
        </w:rPr>
        <w:t>应急管理局和</w:t>
      </w:r>
      <w:r>
        <w:rPr>
          <w:rFonts w:hint="eastAsia" w:ascii="Times New Roman" w:hAnsi="Times New Roman"/>
        </w:rPr>
        <w:t>园区办</w:t>
      </w:r>
      <w:r>
        <w:rPr>
          <w:rFonts w:ascii="Times New Roman" w:hAnsi="Times New Roman"/>
        </w:rPr>
        <w:t>共同约谈相关责任单位主要负责人，提醒、告诫、督促相关责任单位落实风险管控措施，同时通过降低企业安全生产诚信等级、公共平台隐患曝光、列入重点执法检查对象、依法处罚等手段督促企业落实企业安全生产主体责任。对因风险管控不到位发生安全生产事故的，将严格依法进行处罚。</w:t>
      </w:r>
    </w:p>
    <w:p w14:paraId="66BF6444">
      <w:pPr>
        <w:pStyle w:val="4"/>
        <w:ind w:firstLine="643"/>
      </w:pPr>
      <w:r>
        <w:rPr>
          <w:rFonts w:hint="eastAsia"/>
        </w:rPr>
        <w:t>（五）</w:t>
      </w:r>
      <w:r>
        <w:t>持续改进</w:t>
      </w:r>
    </w:p>
    <w:p w14:paraId="28B216B0">
      <w:pPr>
        <w:ind w:firstLine="640"/>
        <w:rPr>
          <w:rFonts w:ascii="Times New Roman" w:hAnsi="Times New Roman"/>
        </w:rPr>
      </w:pPr>
      <w:r>
        <w:rPr>
          <w:rFonts w:hint="eastAsia" w:ascii="Times New Roman" w:hAnsi="Times New Roman"/>
        </w:rPr>
        <w:t>园区办安全生产部室</w:t>
      </w:r>
      <w:r>
        <w:rPr>
          <w:rFonts w:ascii="Times New Roman" w:hAnsi="Times New Roman"/>
        </w:rPr>
        <w:t>协助</w:t>
      </w:r>
      <w:r>
        <w:rPr>
          <w:rFonts w:hint="eastAsia" w:ascii="Times New Roman" w:hAnsi="Times New Roman"/>
        </w:rPr>
        <w:t>区</w:t>
      </w:r>
      <w:r>
        <w:rPr>
          <w:rFonts w:ascii="Times New Roman" w:hAnsi="Times New Roman"/>
        </w:rPr>
        <w:t>应急管理局每年至少开展一次新入驻企业安全风险分级管控更新工作，确保新入驻企业或试运行企业处于管控状态。</w:t>
      </w:r>
    </w:p>
    <w:p w14:paraId="44BF63B2">
      <w:pPr>
        <w:ind w:firstLine="640"/>
        <w:rPr>
          <w:rFonts w:hint="eastAsia" w:hAnsi="Times New Roman"/>
        </w:rPr>
      </w:pPr>
      <w:r>
        <w:rPr>
          <w:rFonts w:ascii="Times New Roman" w:hAnsi="Times New Roman"/>
        </w:rPr>
        <w:t>根据以下情况变化对园区风险管控的影响，及时针对变化范围开</w:t>
      </w:r>
      <w:r>
        <w:rPr>
          <w:rFonts w:hint="eastAsia" w:hAnsi="Times New Roman"/>
        </w:rPr>
        <w:t>展风险分析，更新园区内企业风险分级信息。</w:t>
      </w:r>
    </w:p>
    <w:p w14:paraId="1993BC04">
      <w:pPr>
        <w:ind w:firstLine="640"/>
        <w:rPr>
          <w:rFonts w:hint="eastAsia" w:hAnsi="Times New Roman"/>
        </w:rPr>
      </w:pPr>
      <w:r>
        <w:rPr>
          <w:rFonts w:hint="eastAsia" w:hAnsi="Times New Roman"/>
        </w:rPr>
        <w:t>1.法规、制度等增减、修订变化所引起风险程度的改变；</w:t>
      </w:r>
    </w:p>
    <w:p w14:paraId="03A03AAC">
      <w:pPr>
        <w:ind w:firstLine="640"/>
        <w:rPr>
          <w:rFonts w:hint="eastAsia" w:hAnsi="Times New Roman"/>
        </w:rPr>
      </w:pPr>
      <w:r>
        <w:rPr>
          <w:rFonts w:hint="eastAsia" w:hAnsi="Times New Roman"/>
        </w:rPr>
        <w:t>2.发生事故后，安全风险产生较大影响的；</w:t>
      </w:r>
    </w:p>
    <w:p w14:paraId="594003BB">
      <w:pPr>
        <w:ind w:firstLine="640"/>
        <w:rPr>
          <w:rFonts w:ascii="Times New Roman" w:hAnsi="Times New Roman"/>
        </w:rPr>
      </w:pPr>
      <w:r>
        <w:rPr>
          <w:rFonts w:hint="eastAsia" w:hAnsi="Times New Roman"/>
        </w:rPr>
        <w:t>3.化工</w:t>
      </w:r>
      <w:r>
        <w:rPr>
          <w:rFonts w:ascii="Times New Roman" w:hAnsi="Times New Roman"/>
        </w:rPr>
        <w:t>企业发生重大调整变更后，需重新进行评估分级。</w:t>
      </w:r>
    </w:p>
    <w:p w14:paraId="14B29351">
      <w:pPr>
        <w:pStyle w:val="4"/>
        <w:ind w:firstLine="643"/>
        <w:rPr>
          <w:rFonts w:ascii="Times New Roman" w:hAnsi="Times New Roman"/>
        </w:rPr>
      </w:pPr>
      <w:r>
        <w:rPr>
          <w:rFonts w:hint="eastAsia" w:ascii="楷体_GB2312" w:hAnsi="楷体_GB2312" w:cs="楷体_GB2312"/>
          <w:color w:val="000000"/>
          <w:szCs w:val="32"/>
          <w:lang w:val="zh-CN" w:bidi="zh-CN"/>
        </w:rPr>
        <w:t>（六）</w:t>
      </w:r>
      <w:r>
        <w:rPr>
          <w:rFonts w:ascii="Times New Roman" w:hAnsi="Times New Roman"/>
          <w:b w:val="0"/>
          <w:bCs/>
        </w:rPr>
        <w:t>本制度自印发之日起实施。</w:t>
      </w:r>
    </w:p>
    <w:p w14:paraId="2A62D494">
      <w:pPr>
        <w:ind w:firstLine="640"/>
        <w:rPr>
          <w:rFonts w:ascii="Times New Roman" w:hAnsi="Times New Roman"/>
        </w:rPr>
      </w:pPr>
    </w:p>
    <w:p w14:paraId="52952DBC">
      <w:pPr>
        <w:pStyle w:val="3"/>
        <w:ind w:firstLine="640"/>
        <w:jc w:val="both"/>
        <w:rPr>
          <w:rFonts w:ascii="黑体" w:hAnsi="黑体" w:eastAsia="黑体"/>
          <w:b w:val="0"/>
          <w:bCs/>
          <w:sz w:val="32"/>
          <w:szCs w:val="21"/>
        </w:rPr>
      </w:pPr>
      <w:bookmarkStart w:id="44" w:name="_Toc14486"/>
      <w:bookmarkStart w:id="45" w:name="_Toc23555"/>
      <w:r>
        <w:rPr>
          <w:rFonts w:ascii="黑体" w:hAnsi="黑体" w:eastAsia="黑体"/>
          <w:b w:val="0"/>
          <w:bCs/>
          <w:sz w:val="32"/>
          <w:szCs w:val="21"/>
        </w:rPr>
        <w:t>二十</w:t>
      </w:r>
      <w:r>
        <w:rPr>
          <w:rFonts w:hint="eastAsia" w:ascii="黑体" w:hAnsi="黑体" w:eastAsia="黑体"/>
          <w:b w:val="0"/>
          <w:bCs/>
          <w:sz w:val="32"/>
          <w:szCs w:val="21"/>
          <w:lang w:val="en-US" w:eastAsia="zh-CN"/>
        </w:rPr>
        <w:t>二</w:t>
      </w:r>
      <w:r>
        <w:rPr>
          <w:rFonts w:ascii="黑体" w:hAnsi="黑体" w:eastAsia="黑体"/>
          <w:b w:val="0"/>
          <w:bCs/>
          <w:sz w:val="32"/>
          <w:szCs w:val="21"/>
        </w:rPr>
        <w:t>、事故隐患排查治理管理制度</w:t>
      </w:r>
      <w:bookmarkEnd w:id="44"/>
      <w:bookmarkEnd w:id="45"/>
    </w:p>
    <w:p w14:paraId="6037FE7E">
      <w:pPr>
        <w:ind w:firstLine="643"/>
        <w:rPr>
          <w:rFonts w:ascii="Times New Roman" w:hAnsi="Times New Roman"/>
        </w:rPr>
      </w:pPr>
      <w:r>
        <w:rPr>
          <w:rFonts w:hint="eastAsia" w:ascii="楷体_GB2312" w:hAnsi="楷体_GB2312" w:eastAsia="楷体_GB2312" w:cs="楷体_GB2312"/>
          <w:b/>
          <w:color w:val="000000"/>
          <w:szCs w:val="32"/>
          <w:lang w:val="zh-CN" w:bidi="zh-CN"/>
        </w:rPr>
        <w:t>第一条</w:t>
      </w:r>
      <w:r>
        <w:rPr>
          <w:rFonts w:hint="eastAsia" w:ascii="楷体_GB2312" w:hAnsi="楷体_GB2312" w:eastAsia="楷体_GB2312" w:cs="楷体_GB2312"/>
          <w:b/>
          <w:color w:val="000000"/>
          <w:szCs w:val="32"/>
          <w:lang w:bidi="zh-CN"/>
        </w:rPr>
        <w:t xml:space="preserve">  </w:t>
      </w:r>
      <w:r>
        <w:rPr>
          <w:rFonts w:ascii="Times New Roman" w:hAnsi="Times New Roman"/>
        </w:rPr>
        <w:t>为进一步落实园区安全管理责任，建立安全生产事故隐患排查治理长效机制，加强重大危险源监控，提高监管针对性，提升监管效能，有效防范遏制园区生产安全事故，根据《中华人民共和国安全生产法》《化工园区安全风险排查治理导则》等法律法规要求，结合园区实际，制定本制度。</w:t>
      </w:r>
    </w:p>
    <w:p w14:paraId="3C8C6ECB">
      <w:pPr>
        <w:ind w:firstLine="643"/>
        <w:rPr>
          <w:rFonts w:ascii="Times New Roman" w:hAnsi="Times New Roman"/>
        </w:rPr>
      </w:pPr>
      <w:r>
        <w:rPr>
          <w:rFonts w:hint="eastAsia" w:ascii="楷体_GB2312" w:hAnsi="楷体_GB2312" w:eastAsia="楷体_GB2312" w:cs="楷体_GB2312"/>
          <w:b/>
          <w:color w:val="000000"/>
          <w:szCs w:val="32"/>
          <w:lang w:val="zh-CN" w:bidi="zh-CN"/>
        </w:rPr>
        <w:t>第二条</w:t>
      </w:r>
      <w:r>
        <w:rPr>
          <w:rFonts w:hint="eastAsia" w:ascii="楷体_GB2312" w:hAnsi="楷体_GB2312" w:eastAsia="楷体_GB2312" w:cs="楷体_GB2312"/>
          <w:b/>
          <w:color w:val="000000"/>
          <w:szCs w:val="32"/>
          <w:lang w:bidi="zh-CN"/>
        </w:rPr>
        <w:t xml:space="preserve">  </w:t>
      </w:r>
      <w:r>
        <w:rPr>
          <w:rFonts w:ascii="Times New Roman" w:hAnsi="Times New Roman"/>
        </w:rPr>
        <w:t>安全生产事故隐患（以下称事故隐患）是指生产经营单位违反安全生产法律、法规、规章、标准、规程的规定，或者因其他因素在生产经营活动中存在可能导致事故发生的物的危险状态、人的不安全行为和管理上的缺陷。</w:t>
      </w:r>
    </w:p>
    <w:p w14:paraId="6E2FD0DD">
      <w:pPr>
        <w:ind w:firstLine="643"/>
        <w:rPr>
          <w:rFonts w:ascii="Times New Roman" w:hAnsi="Times New Roman"/>
        </w:rPr>
      </w:pPr>
      <w:r>
        <w:rPr>
          <w:rFonts w:hint="eastAsia" w:ascii="楷体_GB2312" w:hAnsi="楷体_GB2312" w:eastAsia="楷体_GB2312" w:cs="楷体_GB2312"/>
          <w:b/>
          <w:color w:val="000000"/>
          <w:szCs w:val="32"/>
          <w:lang w:val="zh-CN" w:bidi="zh-CN"/>
        </w:rPr>
        <w:t>第三条</w:t>
      </w:r>
      <w:r>
        <w:rPr>
          <w:rFonts w:hint="eastAsia" w:ascii="楷体_GB2312" w:hAnsi="楷体_GB2312" w:eastAsia="楷体_GB2312" w:cs="楷体_GB2312"/>
          <w:b/>
          <w:color w:val="000000"/>
          <w:szCs w:val="32"/>
          <w:lang w:bidi="zh-CN"/>
        </w:rPr>
        <w:t xml:space="preserve">  </w:t>
      </w:r>
      <w:r>
        <w:rPr>
          <w:rFonts w:ascii="Times New Roman" w:hAnsi="Times New Roman"/>
        </w:rPr>
        <w:t>事故隐患分为一般事故隐患和重大事故隐患。一般事故隐患，是指危害和整改难度较小，发现后能够立即整改排除的隐患。重大事故隐患，是指危害和整改难度较大，依照法律、法规规定应当全部或者局部停产停业，并经过一定时间整改治理方能排除的隐患，或者因外部因素影响致使生产经营单位自身难以排除的隐患。</w:t>
      </w:r>
    </w:p>
    <w:p w14:paraId="4BEBD6D4">
      <w:pPr>
        <w:ind w:firstLine="640"/>
        <w:rPr>
          <w:rFonts w:ascii="Times New Roman" w:hAnsi="Times New Roman"/>
        </w:rPr>
      </w:pPr>
      <w:r>
        <w:rPr>
          <w:rFonts w:ascii="Times New Roman" w:hAnsi="Times New Roman"/>
        </w:rPr>
        <w:t>具体重大事故隐患判定，依据《化工和危险化学品生产经营单位重大生产安全事故隐患判定标准</w:t>
      </w:r>
      <w:r>
        <w:rPr>
          <w:rFonts w:hint="eastAsia" w:ascii="Times New Roman" w:hAnsi="Times New Roman"/>
        </w:rPr>
        <w:t>（</w:t>
      </w:r>
      <w:r>
        <w:rPr>
          <w:rFonts w:ascii="Times New Roman" w:hAnsi="Times New Roman"/>
        </w:rPr>
        <w:t>试行</w:t>
      </w:r>
      <w:r>
        <w:rPr>
          <w:rFonts w:hint="eastAsia" w:ascii="Times New Roman" w:hAnsi="Times New Roman"/>
        </w:rPr>
        <w:t>）</w:t>
      </w:r>
      <w:r>
        <w:rPr>
          <w:rFonts w:ascii="Times New Roman" w:hAnsi="Times New Roman"/>
        </w:rPr>
        <w:t>》有关规定，以下情形应当判定为重大事故隐患：</w:t>
      </w:r>
    </w:p>
    <w:p w14:paraId="682F1EE8">
      <w:pPr>
        <w:ind w:firstLine="640"/>
        <w:rPr>
          <w:rFonts w:ascii="Times New Roman" w:hAnsi="Times New Roman"/>
        </w:rPr>
      </w:pPr>
      <w:r>
        <w:rPr>
          <w:rFonts w:hint="eastAsia" w:ascii="Times New Roman" w:hAnsi="Times New Roman"/>
        </w:rPr>
        <w:t>（一）</w:t>
      </w:r>
      <w:r>
        <w:rPr>
          <w:rFonts w:ascii="Times New Roman" w:hAnsi="Times New Roman"/>
        </w:rPr>
        <w:t>危险化学品生产、经营单位主要负责人和安全生产管理人员未依法经考核合格。</w:t>
      </w:r>
    </w:p>
    <w:p w14:paraId="301EF5BD">
      <w:pPr>
        <w:ind w:firstLine="640"/>
        <w:rPr>
          <w:rFonts w:ascii="Times New Roman" w:hAnsi="Times New Roman"/>
        </w:rPr>
      </w:pPr>
      <w:r>
        <w:rPr>
          <w:rFonts w:hint="eastAsia" w:ascii="Times New Roman" w:hAnsi="Times New Roman"/>
        </w:rPr>
        <w:t>（二）</w:t>
      </w:r>
      <w:r>
        <w:rPr>
          <w:rFonts w:ascii="Times New Roman" w:hAnsi="Times New Roman"/>
        </w:rPr>
        <w:t>特种作业人员未持证上岗。</w:t>
      </w:r>
    </w:p>
    <w:p w14:paraId="2AF64FEB">
      <w:pPr>
        <w:ind w:firstLine="640"/>
        <w:rPr>
          <w:rFonts w:ascii="Times New Roman" w:hAnsi="Times New Roman"/>
        </w:rPr>
      </w:pPr>
      <w:r>
        <w:rPr>
          <w:rFonts w:hint="eastAsia" w:ascii="Times New Roman" w:hAnsi="Times New Roman"/>
        </w:rPr>
        <w:t>（三）</w:t>
      </w:r>
      <w:r>
        <w:rPr>
          <w:rFonts w:ascii="Times New Roman" w:hAnsi="Times New Roman"/>
        </w:rPr>
        <w:t>涉及“两重点一重大”的生产装置、储存设施外部安全防护距离不符合国家标准要求。</w:t>
      </w:r>
    </w:p>
    <w:p w14:paraId="6F87EAE3">
      <w:pPr>
        <w:ind w:firstLine="640"/>
        <w:rPr>
          <w:rFonts w:ascii="Times New Roman" w:hAnsi="Times New Roman"/>
        </w:rPr>
      </w:pPr>
      <w:r>
        <w:rPr>
          <w:rFonts w:hint="eastAsia" w:ascii="Times New Roman" w:hAnsi="Times New Roman"/>
        </w:rPr>
        <w:t>（四）</w:t>
      </w:r>
      <w:r>
        <w:rPr>
          <w:rFonts w:ascii="Times New Roman" w:hAnsi="Times New Roman"/>
        </w:rPr>
        <w:t>涉及重点监管危险化工工艺的装置未实现自动化控制，系统未实现紧急停车功能，装备的自动化控制系统、紧急停车系统未投入使用。</w:t>
      </w:r>
    </w:p>
    <w:p w14:paraId="5A6FD0B4">
      <w:pPr>
        <w:ind w:firstLine="640"/>
        <w:rPr>
          <w:rFonts w:ascii="Times New Roman" w:hAnsi="Times New Roman"/>
        </w:rPr>
      </w:pPr>
      <w:r>
        <w:rPr>
          <w:rFonts w:hint="eastAsia" w:ascii="Times New Roman" w:hAnsi="Times New Roman"/>
        </w:rPr>
        <w:t>（五）</w:t>
      </w:r>
      <w:r>
        <w:rPr>
          <w:rFonts w:ascii="Times New Roman" w:hAnsi="Times New Roman"/>
        </w:rPr>
        <w:t>构成一级、二级重大危险源的危险化学品罐区未实现紧急切断功能；涉及毒性气体、液化气体、剧毒液体的一级、二级重大危险源的危险化学品罐区未配备独立的安全仪表系统。</w:t>
      </w:r>
    </w:p>
    <w:p w14:paraId="212913D5">
      <w:pPr>
        <w:ind w:firstLine="640"/>
        <w:rPr>
          <w:rFonts w:ascii="Times New Roman" w:hAnsi="Times New Roman"/>
        </w:rPr>
      </w:pPr>
      <w:r>
        <w:rPr>
          <w:rFonts w:hint="eastAsia" w:ascii="Times New Roman" w:hAnsi="Times New Roman"/>
        </w:rPr>
        <w:t>（六）</w:t>
      </w:r>
      <w:r>
        <w:rPr>
          <w:rFonts w:ascii="Times New Roman" w:hAnsi="Times New Roman"/>
        </w:rPr>
        <w:t>全压力式液化烃储罐未按国家标准设置注水措施。</w:t>
      </w:r>
    </w:p>
    <w:p w14:paraId="7B9E179D">
      <w:pPr>
        <w:ind w:firstLine="640"/>
        <w:rPr>
          <w:rFonts w:ascii="Times New Roman" w:hAnsi="Times New Roman"/>
        </w:rPr>
      </w:pPr>
      <w:r>
        <w:rPr>
          <w:rFonts w:hint="eastAsia" w:ascii="Times New Roman" w:hAnsi="Times New Roman"/>
        </w:rPr>
        <w:t>（七）</w:t>
      </w:r>
      <w:r>
        <w:rPr>
          <w:rFonts w:ascii="Times New Roman" w:hAnsi="Times New Roman"/>
        </w:rPr>
        <w:t>液化烃、液氨、液氯等易燃易爆、有毒有害液化气体的充装未使用万向管道充装系统。</w:t>
      </w:r>
    </w:p>
    <w:p w14:paraId="2644A78B">
      <w:pPr>
        <w:ind w:firstLine="640"/>
        <w:rPr>
          <w:rFonts w:ascii="Times New Roman" w:hAnsi="Times New Roman"/>
        </w:rPr>
      </w:pPr>
      <w:r>
        <w:rPr>
          <w:rFonts w:hint="eastAsia" w:ascii="Times New Roman" w:hAnsi="Times New Roman"/>
        </w:rPr>
        <w:t>（八）</w:t>
      </w:r>
      <w:r>
        <w:rPr>
          <w:rFonts w:ascii="Times New Roman" w:hAnsi="Times New Roman"/>
        </w:rPr>
        <w:t>光气、氯气等剧毒气体及硫化氢气体管道穿越除厂区</w:t>
      </w:r>
      <w:r>
        <w:rPr>
          <w:rFonts w:hint="eastAsia" w:ascii="Times New Roman" w:hAnsi="Times New Roman"/>
        </w:rPr>
        <w:t>（</w:t>
      </w:r>
      <w:r>
        <w:rPr>
          <w:rFonts w:ascii="Times New Roman" w:hAnsi="Times New Roman"/>
        </w:rPr>
        <w:t>包括化工产业园区、工业园区</w:t>
      </w:r>
      <w:r>
        <w:rPr>
          <w:rFonts w:hint="eastAsia" w:ascii="Times New Roman" w:hAnsi="Times New Roman"/>
        </w:rPr>
        <w:t>）</w:t>
      </w:r>
      <w:r>
        <w:rPr>
          <w:rFonts w:ascii="Times New Roman" w:hAnsi="Times New Roman"/>
        </w:rPr>
        <w:t>外的公共区域。</w:t>
      </w:r>
    </w:p>
    <w:p w14:paraId="0D97B9F7">
      <w:pPr>
        <w:ind w:firstLine="640"/>
        <w:rPr>
          <w:rFonts w:ascii="Times New Roman" w:hAnsi="Times New Roman"/>
        </w:rPr>
      </w:pPr>
      <w:r>
        <w:rPr>
          <w:rFonts w:hint="eastAsia" w:ascii="Times New Roman" w:hAnsi="Times New Roman"/>
        </w:rPr>
        <w:t>（九）</w:t>
      </w:r>
      <w:r>
        <w:rPr>
          <w:rFonts w:ascii="Times New Roman" w:hAnsi="Times New Roman"/>
        </w:rPr>
        <w:t>地区架空电力线路穿越生产区且不符合国家标准要求。</w:t>
      </w:r>
    </w:p>
    <w:p w14:paraId="4FDD8D37">
      <w:pPr>
        <w:ind w:firstLine="640"/>
        <w:rPr>
          <w:rFonts w:ascii="Times New Roman" w:hAnsi="Times New Roman"/>
        </w:rPr>
      </w:pPr>
      <w:r>
        <w:rPr>
          <w:rFonts w:hint="eastAsia" w:ascii="Times New Roman" w:hAnsi="Times New Roman"/>
        </w:rPr>
        <w:t>（十）</w:t>
      </w:r>
      <w:r>
        <w:rPr>
          <w:rFonts w:ascii="Times New Roman" w:hAnsi="Times New Roman"/>
        </w:rPr>
        <w:t>在役化工装置未经正规设计且未进行安全设计诊断。</w:t>
      </w:r>
    </w:p>
    <w:p w14:paraId="19C15C9F">
      <w:pPr>
        <w:ind w:firstLine="640"/>
        <w:rPr>
          <w:rFonts w:ascii="Times New Roman" w:hAnsi="Times New Roman"/>
        </w:rPr>
      </w:pPr>
      <w:r>
        <w:rPr>
          <w:rFonts w:hint="eastAsia" w:ascii="Times New Roman" w:hAnsi="Times New Roman"/>
        </w:rPr>
        <w:t>（十一）</w:t>
      </w:r>
      <w:r>
        <w:rPr>
          <w:rFonts w:ascii="Times New Roman" w:hAnsi="Times New Roman"/>
        </w:rPr>
        <w:t>使用淘汰落后安全技术工艺、设备目录列出的工艺、设备。</w:t>
      </w:r>
    </w:p>
    <w:p w14:paraId="76E3E879">
      <w:pPr>
        <w:ind w:firstLine="640"/>
        <w:rPr>
          <w:rFonts w:ascii="Times New Roman" w:hAnsi="Times New Roman"/>
        </w:rPr>
      </w:pPr>
      <w:r>
        <w:rPr>
          <w:rFonts w:hint="eastAsia" w:ascii="Times New Roman" w:hAnsi="Times New Roman"/>
        </w:rPr>
        <w:t>（十二）</w:t>
      </w:r>
      <w:r>
        <w:rPr>
          <w:rFonts w:ascii="Times New Roman" w:hAnsi="Times New Roman"/>
        </w:rPr>
        <w:t>涉及可燃和有毒有害气体泄漏的场所未按国家标准设置检测报警装置，爆炸危险场所未按国家标准安装使用防爆电气设备。</w:t>
      </w:r>
    </w:p>
    <w:p w14:paraId="357532CD">
      <w:pPr>
        <w:ind w:firstLine="640"/>
        <w:rPr>
          <w:rFonts w:ascii="Times New Roman" w:hAnsi="Times New Roman"/>
        </w:rPr>
      </w:pPr>
      <w:r>
        <w:rPr>
          <w:rFonts w:hint="eastAsia" w:ascii="Times New Roman" w:hAnsi="Times New Roman"/>
        </w:rPr>
        <w:t>（十三）</w:t>
      </w:r>
      <w:r>
        <w:rPr>
          <w:rFonts w:ascii="Times New Roman" w:hAnsi="Times New Roman"/>
        </w:rPr>
        <w:t>控制室或机柜间面向具有火灾、爆炸危险性装置一侧不满足国家标准关于防火防爆的要求。</w:t>
      </w:r>
    </w:p>
    <w:p w14:paraId="78A47DB0">
      <w:pPr>
        <w:ind w:firstLine="640"/>
        <w:rPr>
          <w:rFonts w:ascii="Times New Roman" w:hAnsi="Times New Roman"/>
        </w:rPr>
      </w:pPr>
      <w:r>
        <w:rPr>
          <w:rFonts w:hint="eastAsia" w:ascii="Times New Roman" w:hAnsi="Times New Roman"/>
        </w:rPr>
        <w:t>（十四）</w:t>
      </w:r>
      <w:r>
        <w:rPr>
          <w:rFonts w:ascii="Times New Roman" w:hAnsi="Times New Roman"/>
        </w:rPr>
        <w:t>化工生产装置未按国家标准要求设置双重电源供电，自动化控制系统未设置不间断电源。</w:t>
      </w:r>
    </w:p>
    <w:p w14:paraId="7040035A">
      <w:pPr>
        <w:ind w:firstLine="640"/>
        <w:rPr>
          <w:rFonts w:ascii="Times New Roman" w:hAnsi="Times New Roman"/>
        </w:rPr>
      </w:pPr>
      <w:r>
        <w:rPr>
          <w:rFonts w:hint="eastAsia" w:ascii="Times New Roman" w:hAnsi="Times New Roman"/>
        </w:rPr>
        <w:t>（十五）</w:t>
      </w:r>
      <w:r>
        <w:rPr>
          <w:rFonts w:ascii="Times New Roman" w:hAnsi="Times New Roman"/>
        </w:rPr>
        <w:t>安全阀、爆破片等安全附件未正常投用。</w:t>
      </w:r>
    </w:p>
    <w:p w14:paraId="07E2B61F">
      <w:pPr>
        <w:ind w:firstLine="640"/>
        <w:rPr>
          <w:rFonts w:ascii="Times New Roman" w:hAnsi="Times New Roman"/>
        </w:rPr>
      </w:pPr>
      <w:r>
        <w:rPr>
          <w:rFonts w:hint="eastAsia" w:ascii="Times New Roman" w:hAnsi="Times New Roman"/>
        </w:rPr>
        <w:t>（十六）</w:t>
      </w:r>
      <w:r>
        <w:rPr>
          <w:rFonts w:ascii="Times New Roman" w:hAnsi="Times New Roman"/>
        </w:rPr>
        <w:t>未建立与岗位相匹配的全员安全生产责任制或者未制定实施生产安全事故隐患排查治理制度。</w:t>
      </w:r>
    </w:p>
    <w:p w14:paraId="07C7B4C6">
      <w:pPr>
        <w:ind w:firstLine="640"/>
        <w:rPr>
          <w:rFonts w:ascii="Times New Roman" w:hAnsi="Times New Roman"/>
        </w:rPr>
      </w:pPr>
      <w:r>
        <w:rPr>
          <w:rFonts w:hint="eastAsia" w:ascii="Times New Roman" w:hAnsi="Times New Roman"/>
        </w:rPr>
        <w:t>（十七）</w:t>
      </w:r>
      <w:r>
        <w:rPr>
          <w:rFonts w:ascii="Times New Roman" w:hAnsi="Times New Roman"/>
        </w:rPr>
        <w:t>未制定操作规程和工艺控制指标。</w:t>
      </w:r>
    </w:p>
    <w:p w14:paraId="2CE0E796">
      <w:pPr>
        <w:ind w:firstLine="640"/>
        <w:rPr>
          <w:rFonts w:ascii="Times New Roman" w:hAnsi="Times New Roman"/>
        </w:rPr>
      </w:pPr>
      <w:r>
        <w:rPr>
          <w:rFonts w:hint="eastAsia" w:ascii="Times New Roman" w:hAnsi="Times New Roman"/>
        </w:rPr>
        <w:t>（十八）</w:t>
      </w:r>
      <w:r>
        <w:rPr>
          <w:rFonts w:ascii="Times New Roman" w:hAnsi="Times New Roman"/>
        </w:rPr>
        <w:t>未按照国家标准制定动火、进入受限空间等特殊作业管理制度，或者制度未有效执行。</w:t>
      </w:r>
    </w:p>
    <w:p w14:paraId="4ACC1B75">
      <w:pPr>
        <w:ind w:firstLine="640"/>
        <w:rPr>
          <w:rFonts w:ascii="Times New Roman" w:hAnsi="Times New Roman"/>
        </w:rPr>
      </w:pPr>
      <w:r>
        <w:rPr>
          <w:rFonts w:hint="eastAsia" w:ascii="Times New Roman" w:hAnsi="Times New Roman"/>
        </w:rPr>
        <w:t>（十九）</w:t>
      </w:r>
      <w:r>
        <w:rPr>
          <w:rFonts w:ascii="Times New Roman" w:hAnsi="Times New Roman"/>
        </w:rPr>
        <w:t>新开发的危险化学品生产工艺未经小试、中试、工业化试验直接进行工业化生产；国内首次使用的化工工艺未经过省级人民政府有关部门组织的安全可靠性论证；新建装置未制定试生产方案投料开车；精细化工企业未按规范性文件要求开展反应安全风险评估。</w:t>
      </w:r>
    </w:p>
    <w:p w14:paraId="4A0924D1">
      <w:pPr>
        <w:ind w:firstLine="640"/>
        <w:rPr>
          <w:rFonts w:ascii="Times New Roman" w:hAnsi="Times New Roman"/>
        </w:rPr>
      </w:pPr>
      <w:r>
        <w:rPr>
          <w:rFonts w:hint="eastAsia" w:ascii="Times New Roman" w:hAnsi="Times New Roman"/>
        </w:rPr>
        <w:t>（二十）</w:t>
      </w:r>
      <w:r>
        <w:rPr>
          <w:rFonts w:ascii="Times New Roman" w:hAnsi="Times New Roman"/>
        </w:rPr>
        <w:t>未按国家标准分区分类储存危险化学品，超量、超品种储存危险化学品，相互禁配物质混放混存。</w:t>
      </w:r>
    </w:p>
    <w:p w14:paraId="5FD6FC0A">
      <w:pPr>
        <w:ind w:firstLine="643"/>
        <w:rPr>
          <w:rFonts w:ascii="Times New Roman" w:hAnsi="Times New Roman"/>
        </w:rPr>
      </w:pPr>
      <w:r>
        <w:rPr>
          <w:rFonts w:hint="eastAsia" w:ascii="楷体_GB2312" w:hAnsi="楷体_GB2312" w:eastAsia="楷体_GB2312" w:cs="楷体_GB2312"/>
          <w:b/>
          <w:color w:val="000000"/>
          <w:szCs w:val="32"/>
          <w:lang w:val="zh-CN" w:bidi="zh-CN"/>
        </w:rPr>
        <w:t>第四条</w:t>
      </w:r>
      <w:r>
        <w:rPr>
          <w:rFonts w:hint="eastAsia" w:ascii="楷体_GB2312" w:hAnsi="楷体_GB2312" w:eastAsia="楷体_GB2312" w:cs="楷体_GB2312"/>
          <w:b/>
          <w:color w:val="000000"/>
          <w:szCs w:val="32"/>
          <w:lang w:bidi="zh-CN"/>
        </w:rPr>
        <w:t xml:space="preserve">  </w:t>
      </w:r>
      <w:r>
        <w:rPr>
          <w:rFonts w:ascii="Times New Roman" w:hAnsi="Times New Roman"/>
        </w:rPr>
        <w:t>任何企业和个人发现事故隐患，均有权向</w:t>
      </w:r>
      <w:r>
        <w:rPr>
          <w:rFonts w:hint="eastAsia" w:ascii="Times New Roman" w:hAnsi="Times New Roman"/>
        </w:rPr>
        <w:t>园区办</w:t>
      </w:r>
      <w:r>
        <w:rPr>
          <w:rFonts w:ascii="Times New Roman" w:hAnsi="Times New Roman"/>
        </w:rPr>
        <w:t>或</w:t>
      </w:r>
      <w:r>
        <w:rPr>
          <w:rFonts w:hint="eastAsia" w:ascii="Times New Roman" w:hAnsi="Times New Roman"/>
        </w:rPr>
        <w:t>区</w:t>
      </w:r>
      <w:r>
        <w:rPr>
          <w:rFonts w:ascii="Times New Roman" w:hAnsi="Times New Roman"/>
        </w:rPr>
        <w:t>应急管理局举报。接到事故隐患举报后，应当按照职责分工立即组织核实并予以查处；所举报事故隐患应当由其他部门处理的，应当及时移送，并履行交接程序。</w:t>
      </w:r>
    </w:p>
    <w:p w14:paraId="313B6BE1">
      <w:pPr>
        <w:ind w:firstLine="643"/>
        <w:rPr>
          <w:rFonts w:ascii="Times New Roman" w:hAnsi="Times New Roman"/>
        </w:rPr>
      </w:pPr>
      <w:r>
        <w:rPr>
          <w:rFonts w:hint="eastAsia" w:ascii="楷体_GB2312" w:hAnsi="楷体_GB2312" w:eastAsia="楷体_GB2312" w:cs="楷体_GB2312"/>
          <w:b/>
          <w:color w:val="000000"/>
          <w:szCs w:val="32"/>
          <w:lang w:val="zh-CN" w:bidi="zh-CN"/>
        </w:rPr>
        <w:t>第五条</w:t>
      </w:r>
      <w:r>
        <w:rPr>
          <w:rFonts w:hint="eastAsia" w:ascii="楷体_GB2312" w:hAnsi="楷体_GB2312" w:eastAsia="楷体_GB2312" w:cs="楷体_GB2312"/>
          <w:b/>
          <w:color w:val="000000"/>
          <w:szCs w:val="32"/>
          <w:lang w:bidi="zh-CN"/>
        </w:rPr>
        <w:t xml:space="preserve">  </w:t>
      </w:r>
      <w:r>
        <w:rPr>
          <w:rFonts w:ascii="Times New Roman" w:hAnsi="Times New Roman"/>
        </w:rPr>
        <w:t>事故隐患的排查治理</w:t>
      </w:r>
    </w:p>
    <w:p w14:paraId="745F148B">
      <w:pPr>
        <w:ind w:firstLine="640"/>
        <w:rPr>
          <w:rFonts w:ascii="Times New Roman" w:hAnsi="Times New Roman"/>
        </w:rPr>
      </w:pPr>
      <w:r>
        <w:rPr>
          <w:rFonts w:hint="eastAsia" w:ascii="Times New Roman" w:hAnsi="Times New Roman"/>
        </w:rPr>
        <w:t>（一）</w:t>
      </w:r>
      <w:r>
        <w:rPr>
          <w:rFonts w:ascii="Times New Roman" w:hAnsi="Times New Roman"/>
        </w:rPr>
        <w:t>生产经营单位是事故隐患排查、治理和防控的责任主体。应当把隐患排查治理工作贯穿到生产活动全过程，建立实时检查、班组检查、日常排查等隐患排查治理制度，明确排查地点、项目、标准、责任，将隐患排查治理经常化。应当建立事故隐患排查治理的档案台账制度、监控和应急管理制度、挂牌制度、限期整改销号制度、专项资金使用制度、岗位责任制度、统计分析制度、公告公示制度、定期报告和举报奖励等制度，组织事故隐患排查，及时发现并排除从业人员存在的各类违章行为和带病运行的设备、设施及生产场所的各类事故隐患。</w:t>
      </w:r>
    </w:p>
    <w:p w14:paraId="121E1626">
      <w:pPr>
        <w:ind w:firstLine="640"/>
        <w:rPr>
          <w:rFonts w:ascii="Times New Roman" w:hAnsi="Times New Roman"/>
        </w:rPr>
      </w:pPr>
      <w:r>
        <w:rPr>
          <w:rFonts w:hint="eastAsia" w:ascii="Times New Roman" w:hAnsi="Times New Roman"/>
        </w:rPr>
        <w:t>（二）</w:t>
      </w:r>
      <w:r>
        <w:rPr>
          <w:rFonts w:ascii="Times New Roman" w:hAnsi="Times New Roman"/>
        </w:rPr>
        <w:t>企业主要负责人要每月带队对本单位重大事故隐患排查整治情况至少开展1次检查，落实重大事故隐患溯源整改要求。</w:t>
      </w:r>
    </w:p>
    <w:p w14:paraId="6C79E3D9">
      <w:pPr>
        <w:ind w:firstLine="640"/>
        <w:rPr>
          <w:rFonts w:ascii="Times New Roman" w:hAnsi="Times New Roman"/>
        </w:rPr>
      </w:pPr>
      <w:r>
        <w:rPr>
          <w:rFonts w:hint="eastAsia" w:ascii="Times New Roman" w:hAnsi="Times New Roman"/>
        </w:rPr>
        <w:t>（三）</w:t>
      </w:r>
      <w:r>
        <w:rPr>
          <w:rFonts w:ascii="Times New Roman" w:hAnsi="Times New Roman"/>
        </w:rPr>
        <w:t>园区内企业应定期组织安全生产管理人员、工程技术人员和其他相关人员排查本单位的事故隐患，并逐级落实从主要负责人到每个从业人员隐患排查治理的范围和责任，确保不留空当，不留死角。</w:t>
      </w:r>
    </w:p>
    <w:p w14:paraId="4FBDB348">
      <w:pPr>
        <w:ind w:firstLine="640"/>
        <w:rPr>
          <w:rFonts w:ascii="Times New Roman" w:hAnsi="Times New Roman"/>
        </w:rPr>
      </w:pPr>
      <w:r>
        <w:rPr>
          <w:rFonts w:hint="eastAsia" w:ascii="Times New Roman" w:hAnsi="Times New Roman"/>
        </w:rPr>
        <w:t>（四）</w:t>
      </w:r>
      <w:r>
        <w:rPr>
          <w:rFonts w:ascii="Times New Roman" w:hAnsi="Times New Roman"/>
        </w:rPr>
        <w:t>园区内企业应依照有关法律法规和标准规范要求制订具体方案，对安全生产规章制度、落实责任、安全管理组织体系、资金投入、人员培训、劳动纪律、现场管理、防控手段、事故查处以及安全生产基本条件、工艺系统、基础设施、技术装备、作业环境等方面组织自查。</w:t>
      </w:r>
    </w:p>
    <w:p w14:paraId="5DE8190F">
      <w:pPr>
        <w:ind w:firstLine="640"/>
        <w:rPr>
          <w:rFonts w:ascii="Times New Roman" w:hAnsi="Times New Roman"/>
        </w:rPr>
      </w:pPr>
      <w:r>
        <w:rPr>
          <w:rFonts w:hint="eastAsia" w:ascii="Times New Roman" w:hAnsi="Times New Roman"/>
        </w:rPr>
        <w:t>（五）</w:t>
      </w:r>
      <w:r>
        <w:rPr>
          <w:rFonts w:ascii="Times New Roman" w:hAnsi="Times New Roman"/>
        </w:rPr>
        <w:t>园区内企业应加强对自然灾害的预防。对于因自然灾害可能导致事故灾难的隐患，应当及时排查治理，采取可靠的预防措施，制定针对性的应急预案。在接到有关自然灾害预报时，应当及时发出预警通知；发生自然灾害可能危及生产经营单位和人员安全的情况时，应当立即撤离人员、停止作业、加强监测，并及时向</w:t>
      </w:r>
      <w:r>
        <w:rPr>
          <w:rFonts w:hint="eastAsia" w:ascii="Times New Roman" w:hAnsi="Times New Roman"/>
        </w:rPr>
        <w:t>园区办</w:t>
      </w:r>
      <w:r>
        <w:rPr>
          <w:rFonts w:ascii="Times New Roman" w:hAnsi="Times New Roman"/>
        </w:rPr>
        <w:t>报告。</w:t>
      </w:r>
    </w:p>
    <w:p w14:paraId="4E34F728">
      <w:pPr>
        <w:ind w:firstLine="640"/>
        <w:rPr>
          <w:rFonts w:ascii="Times New Roman" w:hAnsi="Times New Roman"/>
        </w:rPr>
      </w:pPr>
      <w:r>
        <w:rPr>
          <w:rFonts w:hint="eastAsia" w:ascii="Times New Roman" w:hAnsi="Times New Roman"/>
        </w:rPr>
        <w:t>（六）</w:t>
      </w:r>
      <w:r>
        <w:rPr>
          <w:rFonts w:ascii="Times New Roman" w:hAnsi="Times New Roman"/>
        </w:rPr>
        <w:t>园区内企业接到有关部门下达的责令停产整改指令，必须立即停止生产，制订整改方案，由主要负责人及时组织实施，并报送有关部门。</w:t>
      </w:r>
    </w:p>
    <w:p w14:paraId="543636AD">
      <w:pPr>
        <w:ind w:firstLine="643"/>
        <w:rPr>
          <w:rFonts w:ascii="Times New Roman" w:hAnsi="Times New Roman"/>
        </w:rPr>
      </w:pPr>
      <w:r>
        <w:rPr>
          <w:rFonts w:hint="eastAsia" w:ascii="楷体_GB2312" w:hAnsi="楷体_GB2312" w:eastAsia="楷体_GB2312" w:cs="楷体_GB2312"/>
          <w:b/>
          <w:color w:val="000000"/>
          <w:szCs w:val="32"/>
          <w:lang w:val="zh-CN" w:bidi="zh-CN"/>
        </w:rPr>
        <w:t>第六条</w:t>
      </w:r>
      <w:r>
        <w:rPr>
          <w:rFonts w:hint="eastAsia" w:ascii="楷体_GB2312" w:hAnsi="楷体_GB2312" w:eastAsia="楷体_GB2312" w:cs="楷体_GB2312"/>
          <w:b/>
          <w:color w:val="000000"/>
          <w:szCs w:val="32"/>
          <w:lang w:bidi="zh-CN"/>
        </w:rPr>
        <w:t xml:space="preserve">  </w:t>
      </w:r>
      <w:r>
        <w:rPr>
          <w:rFonts w:ascii="Times New Roman" w:hAnsi="Times New Roman"/>
        </w:rPr>
        <w:t>事故隐患排查治理工作的监管</w:t>
      </w:r>
    </w:p>
    <w:p w14:paraId="6BAFDA2C">
      <w:pPr>
        <w:ind w:firstLine="640"/>
        <w:rPr>
          <w:rFonts w:ascii="Times New Roman" w:hAnsi="Times New Roman"/>
        </w:rPr>
      </w:pPr>
      <w:r>
        <w:rPr>
          <w:rFonts w:hint="eastAsia" w:ascii="Times New Roman" w:hAnsi="Times New Roman"/>
        </w:rPr>
        <w:t>（一）园区办安全部室</w:t>
      </w:r>
      <w:r>
        <w:rPr>
          <w:rFonts w:ascii="Times New Roman" w:hAnsi="Times New Roman"/>
        </w:rPr>
        <w:t>协助</w:t>
      </w:r>
      <w:r>
        <w:rPr>
          <w:rFonts w:hint="eastAsia" w:ascii="Times New Roman" w:hAnsi="Times New Roman"/>
        </w:rPr>
        <w:t>区</w:t>
      </w:r>
      <w:r>
        <w:rPr>
          <w:rFonts w:ascii="Times New Roman" w:hAnsi="Times New Roman"/>
        </w:rPr>
        <w:t>应急管理局督促指导园区内企业按照有关法律、法规、规章、标准和规程的要求，建立健全事故隐患排查治理等各项制度，监督生产经营单位依法开展隐患排查治理工作。</w:t>
      </w:r>
    </w:p>
    <w:p w14:paraId="37037662">
      <w:pPr>
        <w:ind w:firstLine="640"/>
        <w:rPr>
          <w:rFonts w:ascii="Times New Roman" w:hAnsi="Times New Roman"/>
        </w:rPr>
      </w:pPr>
      <w:r>
        <w:rPr>
          <w:rFonts w:hint="eastAsia" w:ascii="Times New Roman" w:hAnsi="Times New Roman"/>
        </w:rPr>
        <w:t>（二）园区办</w:t>
      </w:r>
      <w:r>
        <w:rPr>
          <w:rFonts w:ascii="Times New Roman" w:hAnsi="Times New Roman"/>
        </w:rPr>
        <w:t>对企业上报和检查发现的重大事故隐患要及时登记，分类编号，建立档案或隐患管理台账，对企业制订的重大隐患整改计划、整改责任人等有关情况资料备案。</w:t>
      </w:r>
    </w:p>
    <w:p w14:paraId="60044D88">
      <w:pPr>
        <w:ind w:firstLine="643"/>
        <w:rPr>
          <w:rFonts w:ascii="Times New Roman" w:hAnsi="Times New Roman"/>
        </w:rPr>
      </w:pPr>
      <w:r>
        <w:rPr>
          <w:rFonts w:hint="eastAsia" w:ascii="楷体_GB2312" w:hAnsi="楷体_GB2312" w:eastAsia="楷体_GB2312" w:cs="楷体_GB2312"/>
          <w:b/>
          <w:color w:val="000000"/>
          <w:szCs w:val="32"/>
          <w:lang w:val="zh-CN" w:bidi="zh-CN"/>
        </w:rPr>
        <w:t>第七条</w:t>
      </w:r>
      <w:r>
        <w:rPr>
          <w:rFonts w:hint="eastAsia" w:ascii="楷体_GB2312" w:hAnsi="楷体_GB2312" w:eastAsia="楷体_GB2312" w:cs="楷体_GB2312"/>
          <w:b/>
          <w:color w:val="000000"/>
          <w:szCs w:val="32"/>
          <w:lang w:bidi="zh-CN"/>
        </w:rPr>
        <w:t xml:space="preserve"> </w:t>
      </w:r>
      <w:r>
        <w:rPr>
          <w:rFonts w:ascii="Times New Roman" w:hAnsi="Times New Roman"/>
        </w:rPr>
        <w:t>事故隐患排查治理的报告</w:t>
      </w:r>
    </w:p>
    <w:p w14:paraId="787E3DE0">
      <w:pPr>
        <w:ind w:firstLine="640"/>
        <w:rPr>
          <w:rFonts w:ascii="Times New Roman" w:hAnsi="Times New Roman"/>
        </w:rPr>
      </w:pPr>
      <w:r>
        <w:rPr>
          <w:rFonts w:ascii="Times New Roman" w:hAnsi="Times New Roman"/>
        </w:rPr>
        <w:t>园区内企业应及时向</w:t>
      </w:r>
      <w:r>
        <w:rPr>
          <w:rFonts w:hint="eastAsia" w:ascii="Times New Roman" w:hAnsi="Times New Roman"/>
        </w:rPr>
        <w:t>园区办安全部室及区应急局</w:t>
      </w:r>
      <w:r>
        <w:rPr>
          <w:rFonts w:ascii="Times New Roman" w:hAnsi="Times New Roman"/>
        </w:rPr>
        <w:t>报告事故隐患排查治理工作情况。</w:t>
      </w:r>
    </w:p>
    <w:p w14:paraId="0177EB5B">
      <w:pPr>
        <w:ind w:firstLine="640"/>
        <w:rPr>
          <w:rFonts w:hint="eastAsia" w:ascii="Times New Roman" w:hAnsi="Times New Roman"/>
        </w:rPr>
      </w:pPr>
    </w:p>
    <w:p w14:paraId="6A43361B">
      <w:pPr>
        <w:pStyle w:val="3"/>
        <w:ind w:firstLine="640"/>
        <w:jc w:val="both"/>
        <w:rPr>
          <w:rFonts w:ascii="黑体" w:hAnsi="黑体" w:eastAsia="黑体"/>
          <w:b w:val="0"/>
          <w:bCs/>
          <w:sz w:val="32"/>
          <w:szCs w:val="21"/>
        </w:rPr>
      </w:pPr>
      <w:bookmarkStart w:id="46" w:name="_Toc6098"/>
      <w:bookmarkStart w:id="47" w:name="_Toc9356"/>
      <w:r>
        <w:rPr>
          <w:rFonts w:ascii="黑体" w:hAnsi="黑体" w:eastAsia="黑体"/>
          <w:b w:val="0"/>
          <w:bCs/>
          <w:sz w:val="32"/>
          <w:szCs w:val="21"/>
        </w:rPr>
        <w:t>二十</w:t>
      </w:r>
      <w:r>
        <w:rPr>
          <w:rFonts w:hint="eastAsia" w:ascii="黑体" w:hAnsi="黑体" w:eastAsia="黑体"/>
          <w:b w:val="0"/>
          <w:bCs/>
          <w:sz w:val="32"/>
          <w:szCs w:val="21"/>
          <w:lang w:val="en-US" w:eastAsia="zh-CN"/>
        </w:rPr>
        <w:t>三</w:t>
      </w:r>
      <w:r>
        <w:rPr>
          <w:rFonts w:ascii="黑体" w:hAnsi="黑体" w:eastAsia="黑体"/>
          <w:b w:val="0"/>
          <w:bCs/>
          <w:sz w:val="32"/>
          <w:szCs w:val="21"/>
        </w:rPr>
        <w:t>、自然灾害预防和应急处置制度</w:t>
      </w:r>
      <w:bookmarkEnd w:id="46"/>
      <w:bookmarkEnd w:id="47"/>
    </w:p>
    <w:p w14:paraId="103B0DA3">
      <w:pPr>
        <w:ind w:firstLine="643"/>
        <w:rPr>
          <w:rFonts w:ascii="Times New Roman" w:hAnsi="Times New Roman"/>
        </w:rPr>
      </w:pPr>
      <w:r>
        <w:rPr>
          <w:rFonts w:hint="eastAsia" w:ascii="楷体_GB2312" w:hAnsi="楷体_GB2312" w:eastAsia="楷体_GB2312" w:cs="楷体_GB2312"/>
          <w:b/>
          <w:color w:val="000000"/>
          <w:szCs w:val="32"/>
          <w:lang w:val="zh-CN" w:bidi="zh-CN"/>
        </w:rPr>
        <w:t>第一条</w:t>
      </w:r>
      <w:r>
        <w:rPr>
          <w:rFonts w:hint="eastAsia" w:ascii="楷体_GB2312" w:hAnsi="楷体_GB2312" w:eastAsia="楷体_GB2312" w:cs="楷体_GB2312"/>
          <w:b/>
          <w:color w:val="000000"/>
          <w:szCs w:val="32"/>
          <w:lang w:bidi="zh-CN"/>
        </w:rPr>
        <w:t xml:space="preserve">  </w:t>
      </w:r>
      <w:r>
        <w:rPr>
          <w:rFonts w:ascii="Times New Roman" w:hAnsi="Times New Roman"/>
        </w:rPr>
        <w:t>根据《中华人民共和国安全生产法》、《中华人民共和国突发事件应对法》、《化工园区安全风险排查治理导则》等法律法规的要求，为加强自然灾害预防和应急处置，确保园区平稳应对自然灾害情况，避免因自然灾害引发次生事故，制定本制度。</w:t>
      </w:r>
    </w:p>
    <w:p w14:paraId="2B06C4C4">
      <w:pPr>
        <w:ind w:firstLine="643"/>
        <w:rPr>
          <w:rFonts w:ascii="Times New Roman" w:hAnsi="Times New Roman"/>
        </w:rPr>
      </w:pPr>
      <w:r>
        <w:rPr>
          <w:rFonts w:hint="eastAsia" w:ascii="楷体_GB2312" w:hAnsi="楷体_GB2312" w:eastAsia="楷体_GB2312" w:cs="楷体_GB2312"/>
          <w:b/>
          <w:color w:val="000000"/>
          <w:szCs w:val="32"/>
          <w:lang w:val="zh-CN" w:bidi="zh-CN"/>
        </w:rPr>
        <w:t>第二条</w:t>
      </w:r>
      <w:r>
        <w:rPr>
          <w:rFonts w:hint="eastAsia" w:ascii="楷体_GB2312" w:hAnsi="楷体_GB2312" w:eastAsia="楷体_GB2312" w:cs="楷体_GB2312"/>
          <w:b/>
          <w:color w:val="000000"/>
          <w:szCs w:val="32"/>
          <w:lang w:bidi="zh-CN"/>
        </w:rPr>
        <w:t xml:space="preserve">  </w:t>
      </w:r>
      <w:r>
        <w:rPr>
          <w:rFonts w:ascii="Times New Roman" w:hAnsi="Times New Roman"/>
        </w:rPr>
        <w:t>本制度适用于在</w:t>
      </w:r>
      <w:r>
        <w:rPr>
          <w:rFonts w:hint="eastAsia" w:ascii="Times New Roman" w:hAnsi="Times New Roman"/>
        </w:rPr>
        <w:t>随州市青春化工工业园</w:t>
      </w:r>
      <w:r>
        <w:rPr>
          <w:rFonts w:ascii="Times New Roman" w:hAnsi="Times New Roman"/>
        </w:rPr>
        <w:t>区（以下简称园区）内自然灾害的预防和应急处置管理。</w:t>
      </w:r>
    </w:p>
    <w:p w14:paraId="70843030">
      <w:pPr>
        <w:ind w:firstLine="643"/>
        <w:rPr>
          <w:rFonts w:ascii="Times New Roman" w:hAnsi="Times New Roman"/>
        </w:rPr>
      </w:pPr>
      <w:r>
        <w:rPr>
          <w:rFonts w:hint="eastAsia" w:ascii="楷体_GB2312" w:hAnsi="楷体_GB2312" w:eastAsia="楷体_GB2312" w:cs="楷体_GB2312"/>
          <w:b/>
          <w:color w:val="000000"/>
          <w:szCs w:val="32"/>
          <w:lang w:val="zh-CN" w:bidi="zh-CN"/>
        </w:rPr>
        <w:t>第三条</w:t>
      </w:r>
      <w:r>
        <w:rPr>
          <w:rFonts w:hint="eastAsia" w:ascii="楷体_GB2312" w:hAnsi="楷体_GB2312" w:eastAsia="楷体_GB2312" w:cs="楷体_GB2312"/>
          <w:b/>
          <w:color w:val="000000"/>
          <w:szCs w:val="32"/>
          <w:lang w:bidi="zh-CN"/>
        </w:rPr>
        <w:t xml:space="preserve">  </w:t>
      </w:r>
      <w:r>
        <w:rPr>
          <w:rFonts w:hint="eastAsia" w:ascii="Times New Roman" w:hAnsi="Times New Roman"/>
        </w:rPr>
        <w:t>安全生产部室</w:t>
      </w:r>
      <w:r>
        <w:rPr>
          <w:rFonts w:ascii="Times New Roman" w:hAnsi="Times New Roman"/>
        </w:rPr>
        <w:t>职责</w:t>
      </w:r>
    </w:p>
    <w:p w14:paraId="150CB24A">
      <w:pPr>
        <w:ind w:firstLine="640"/>
        <w:rPr>
          <w:rFonts w:ascii="Times New Roman" w:hAnsi="Times New Roman"/>
        </w:rPr>
      </w:pPr>
      <w:r>
        <w:rPr>
          <w:rFonts w:ascii="Times New Roman" w:hAnsi="Times New Roman"/>
        </w:rPr>
        <w:t>负责监督指导园区和企业对自然灾害的防范和应急处置工作，组织、协调园区自然灾害应急救援工作。</w:t>
      </w:r>
    </w:p>
    <w:p w14:paraId="1BA11780">
      <w:pPr>
        <w:ind w:firstLine="643"/>
        <w:rPr>
          <w:rFonts w:ascii="Times New Roman" w:hAnsi="Times New Roman"/>
        </w:rPr>
      </w:pPr>
      <w:r>
        <w:rPr>
          <w:rFonts w:hint="eastAsia" w:ascii="楷体_GB2312" w:hAnsi="楷体_GB2312" w:eastAsia="楷体_GB2312" w:cs="楷体_GB2312"/>
          <w:b/>
          <w:color w:val="000000"/>
          <w:szCs w:val="32"/>
          <w:lang w:val="zh-CN" w:bidi="zh-CN"/>
        </w:rPr>
        <w:t>第四条</w:t>
      </w:r>
      <w:r>
        <w:rPr>
          <w:rFonts w:hint="eastAsia" w:ascii="楷体_GB2312" w:hAnsi="楷体_GB2312" w:eastAsia="楷体_GB2312" w:cs="楷体_GB2312"/>
          <w:b/>
          <w:color w:val="000000"/>
          <w:szCs w:val="32"/>
          <w:lang w:bidi="zh-CN"/>
        </w:rPr>
        <w:t xml:space="preserve">  </w:t>
      </w:r>
      <w:r>
        <w:rPr>
          <w:rFonts w:ascii="Times New Roman" w:hAnsi="Times New Roman"/>
        </w:rPr>
        <w:t>园区各企业职责</w:t>
      </w:r>
    </w:p>
    <w:p w14:paraId="35C39713">
      <w:pPr>
        <w:ind w:firstLine="640"/>
        <w:rPr>
          <w:rFonts w:ascii="Times New Roman" w:hAnsi="Times New Roman"/>
        </w:rPr>
      </w:pPr>
      <w:r>
        <w:rPr>
          <w:rFonts w:ascii="Times New Roman" w:hAnsi="Times New Roman"/>
        </w:rPr>
        <w:t>组织、协调自然灾害预防和应急处置工作。</w:t>
      </w:r>
    </w:p>
    <w:p w14:paraId="6B9D8CF5">
      <w:pPr>
        <w:ind w:firstLine="643"/>
        <w:rPr>
          <w:rFonts w:ascii="Times New Roman" w:hAnsi="Times New Roman"/>
        </w:rPr>
      </w:pPr>
      <w:r>
        <w:rPr>
          <w:rFonts w:hint="eastAsia" w:ascii="楷体_GB2312" w:hAnsi="楷体_GB2312" w:eastAsia="楷体_GB2312" w:cs="楷体_GB2312"/>
          <w:b/>
          <w:color w:val="000000"/>
          <w:szCs w:val="32"/>
          <w:lang w:val="zh-CN" w:bidi="zh-CN"/>
        </w:rPr>
        <w:t>第五条</w:t>
      </w:r>
      <w:r>
        <w:rPr>
          <w:rFonts w:hint="eastAsia" w:ascii="楷体_GB2312" w:hAnsi="楷体_GB2312" w:eastAsia="楷体_GB2312" w:cs="楷体_GB2312"/>
          <w:b/>
          <w:color w:val="000000"/>
          <w:szCs w:val="32"/>
          <w:lang w:bidi="zh-CN"/>
        </w:rPr>
        <w:t xml:space="preserve">  </w:t>
      </w:r>
      <w:r>
        <w:rPr>
          <w:rFonts w:ascii="Times New Roman" w:hAnsi="Times New Roman"/>
        </w:rPr>
        <w:t>园区应及时发布气象自然灾害预警。</w:t>
      </w:r>
    </w:p>
    <w:p w14:paraId="12EA5BD5">
      <w:pPr>
        <w:ind w:firstLine="640"/>
        <w:rPr>
          <w:rFonts w:ascii="Times New Roman" w:hAnsi="Times New Roman"/>
        </w:rPr>
      </w:pPr>
      <w:r>
        <w:rPr>
          <w:rFonts w:hint="eastAsia" w:ascii="Times New Roman" w:hAnsi="Times New Roman"/>
        </w:rPr>
        <w:t>（一）</w:t>
      </w:r>
      <w:r>
        <w:rPr>
          <w:rFonts w:ascii="Times New Roman" w:hAnsi="Times New Roman"/>
        </w:rPr>
        <w:t>园区通过相关途径获取预警信息：如洪水、山洪、洪涝、渍涝、泥石流等自然灾害；暴雨</w:t>
      </w:r>
      <w:r>
        <w:rPr>
          <w:rFonts w:hint="eastAsia" w:ascii="Times New Roman" w:hAnsi="Times New Roman"/>
        </w:rPr>
        <w:t>（</w:t>
      </w:r>
      <w:r>
        <w:rPr>
          <w:rFonts w:ascii="Times New Roman" w:hAnsi="Times New Roman"/>
        </w:rPr>
        <w:t>雪</w:t>
      </w:r>
      <w:r>
        <w:rPr>
          <w:rFonts w:hint="eastAsia" w:ascii="Times New Roman" w:hAnsi="Times New Roman"/>
        </w:rPr>
        <w:t>）</w:t>
      </w:r>
      <w:r>
        <w:rPr>
          <w:rFonts w:ascii="Times New Roman" w:hAnsi="Times New Roman"/>
        </w:rPr>
        <w:t>、雷电、冰雹、台风等气象灾害；地震灾害；滑坡、崩塌、地面塌陷、地面沉降、地裂缝等地质灾害及其他突发自然灾害。</w:t>
      </w:r>
    </w:p>
    <w:p w14:paraId="78EFAEE0">
      <w:pPr>
        <w:ind w:firstLine="640"/>
        <w:rPr>
          <w:rFonts w:ascii="Times New Roman" w:hAnsi="Times New Roman"/>
        </w:rPr>
      </w:pPr>
      <w:r>
        <w:rPr>
          <w:rFonts w:hint="eastAsia" w:ascii="Times New Roman" w:hAnsi="Times New Roman"/>
        </w:rPr>
        <w:t>（二）</w:t>
      </w:r>
      <w:r>
        <w:rPr>
          <w:rFonts w:ascii="Times New Roman" w:hAnsi="Times New Roman"/>
        </w:rPr>
        <w:t>依据突发事件将造成的危害程度、发展情况和紧迫性等因素，由低到高划分为一般</w:t>
      </w:r>
      <w:r>
        <w:rPr>
          <w:rFonts w:hint="eastAsia" w:ascii="Times New Roman" w:hAnsi="Times New Roman"/>
        </w:rPr>
        <w:t>（</w:t>
      </w:r>
      <w:r>
        <w:rPr>
          <w:rFonts w:ascii="Times New Roman" w:hAnsi="Times New Roman"/>
        </w:rPr>
        <w:t>四级</w:t>
      </w:r>
      <w:r>
        <w:rPr>
          <w:rFonts w:hint="eastAsia" w:ascii="Times New Roman" w:hAnsi="Times New Roman"/>
        </w:rPr>
        <w:t>）</w:t>
      </w:r>
      <w:r>
        <w:rPr>
          <w:rFonts w:ascii="Times New Roman" w:hAnsi="Times New Roman"/>
        </w:rPr>
        <w:t>、较大</w:t>
      </w:r>
      <w:r>
        <w:rPr>
          <w:rFonts w:hint="eastAsia" w:ascii="Times New Roman" w:hAnsi="Times New Roman"/>
        </w:rPr>
        <w:t>（</w:t>
      </w:r>
      <w:r>
        <w:rPr>
          <w:rFonts w:ascii="Times New Roman" w:hAnsi="Times New Roman"/>
        </w:rPr>
        <w:t>三级</w:t>
      </w:r>
      <w:r>
        <w:rPr>
          <w:rFonts w:hint="eastAsia" w:ascii="Times New Roman" w:hAnsi="Times New Roman"/>
        </w:rPr>
        <w:t>）</w:t>
      </w:r>
      <w:r>
        <w:rPr>
          <w:rFonts w:ascii="Times New Roman" w:hAnsi="Times New Roman"/>
        </w:rPr>
        <w:t>、重大</w:t>
      </w:r>
      <w:r>
        <w:rPr>
          <w:rFonts w:hint="eastAsia" w:ascii="Times New Roman" w:hAnsi="Times New Roman"/>
        </w:rPr>
        <w:t>（</w:t>
      </w:r>
      <w:r>
        <w:rPr>
          <w:rFonts w:ascii="Times New Roman" w:hAnsi="Times New Roman"/>
        </w:rPr>
        <w:t>二级</w:t>
      </w:r>
      <w:r>
        <w:rPr>
          <w:rFonts w:hint="eastAsia" w:ascii="Times New Roman" w:hAnsi="Times New Roman"/>
        </w:rPr>
        <w:t>）</w:t>
      </w:r>
      <w:r>
        <w:rPr>
          <w:rFonts w:ascii="Times New Roman" w:hAnsi="Times New Roman"/>
        </w:rPr>
        <w:t>、特大</w:t>
      </w:r>
      <w:r>
        <w:rPr>
          <w:rFonts w:hint="eastAsia" w:ascii="Times New Roman" w:hAnsi="Times New Roman"/>
        </w:rPr>
        <w:t>（</w:t>
      </w:r>
      <w:r>
        <w:rPr>
          <w:rFonts w:ascii="Times New Roman" w:hAnsi="Times New Roman"/>
        </w:rPr>
        <w:t>一级</w:t>
      </w:r>
      <w:r>
        <w:rPr>
          <w:rFonts w:hint="eastAsia" w:ascii="Times New Roman" w:hAnsi="Times New Roman"/>
        </w:rPr>
        <w:t>）</w:t>
      </w:r>
      <w:r>
        <w:rPr>
          <w:rFonts w:ascii="Times New Roman" w:hAnsi="Times New Roman"/>
        </w:rPr>
        <w:t>四个预警级别，并依次采用蓝色、黄色、橙色和红色表示。</w:t>
      </w:r>
    </w:p>
    <w:p w14:paraId="60B780EC">
      <w:pPr>
        <w:ind w:firstLine="640"/>
        <w:rPr>
          <w:rFonts w:ascii="Times New Roman" w:hAnsi="Times New Roman"/>
        </w:rPr>
      </w:pPr>
      <w:r>
        <w:rPr>
          <w:rFonts w:hint="eastAsia" w:ascii="Times New Roman" w:hAnsi="Times New Roman"/>
        </w:rPr>
        <w:t>1.</w:t>
      </w:r>
      <w:r>
        <w:rPr>
          <w:rFonts w:ascii="Times New Roman" w:hAnsi="Times New Roman"/>
        </w:rPr>
        <w:t>蓝色等级（四级）：气象、自然资源、上级应急管理部门发布蓝色或者相应等级的预警信息，预计将要发生一般事故，事件即将临近，事态可能会扩大。</w:t>
      </w:r>
    </w:p>
    <w:p w14:paraId="024C713C">
      <w:pPr>
        <w:ind w:firstLine="640"/>
        <w:rPr>
          <w:rFonts w:ascii="Times New Roman" w:hAnsi="Times New Roman"/>
        </w:rPr>
      </w:pPr>
      <w:r>
        <w:rPr>
          <w:rFonts w:hint="eastAsia" w:ascii="Times New Roman" w:hAnsi="Times New Roman"/>
        </w:rPr>
        <w:t>2.</w:t>
      </w:r>
      <w:r>
        <w:rPr>
          <w:rFonts w:ascii="Times New Roman" w:hAnsi="Times New Roman"/>
        </w:rPr>
        <w:t>黄色等级（三级）：气象、自然资源、上级应急管理部门发布黄色或者相应等级的预警信息，预计将要发生较大事故，事件已经临近，事态有扩大趋势。</w:t>
      </w:r>
    </w:p>
    <w:p w14:paraId="4EB46C74">
      <w:pPr>
        <w:ind w:firstLine="640"/>
        <w:rPr>
          <w:rFonts w:ascii="Times New Roman" w:hAnsi="Times New Roman"/>
        </w:rPr>
      </w:pPr>
      <w:r>
        <w:rPr>
          <w:rFonts w:hint="eastAsia" w:ascii="Times New Roman" w:hAnsi="Times New Roman"/>
        </w:rPr>
        <w:t>3.</w:t>
      </w:r>
      <w:r>
        <w:rPr>
          <w:rFonts w:ascii="Times New Roman" w:hAnsi="Times New Roman"/>
        </w:rPr>
        <w:t>橙色等级（二级）：气象、自然资源、上级应急管理部门发布橙色或者相应等级的预警信息，预计将要发生重大事故，事件即将发生，事态正逐步扩大。</w:t>
      </w:r>
    </w:p>
    <w:p w14:paraId="15E5BE35">
      <w:pPr>
        <w:ind w:firstLine="640"/>
        <w:rPr>
          <w:rFonts w:ascii="Times New Roman" w:hAnsi="Times New Roman"/>
        </w:rPr>
      </w:pPr>
      <w:r>
        <w:rPr>
          <w:rFonts w:hint="eastAsia" w:ascii="Times New Roman" w:hAnsi="Times New Roman"/>
        </w:rPr>
        <w:t>4.</w:t>
      </w:r>
      <w:r>
        <w:rPr>
          <w:rFonts w:ascii="Times New Roman" w:hAnsi="Times New Roman"/>
        </w:rPr>
        <w:t>红色等级（一级）：气象、自然资源、上级应急管理部门发布红色或者相应等级的预警信息，预计将要发生特大事故，事件会随时发生，事态正在不断蔓延。</w:t>
      </w:r>
    </w:p>
    <w:p w14:paraId="2BEA3EDC">
      <w:pPr>
        <w:ind w:firstLine="640"/>
        <w:rPr>
          <w:rFonts w:ascii="Times New Roman" w:hAnsi="Times New Roman"/>
        </w:rPr>
      </w:pPr>
      <w:r>
        <w:rPr>
          <w:rFonts w:hint="eastAsia" w:ascii="Times New Roman" w:hAnsi="Times New Roman"/>
        </w:rPr>
        <w:t>（三）</w:t>
      </w:r>
      <w:r>
        <w:rPr>
          <w:rFonts w:ascii="Times New Roman" w:hAnsi="Times New Roman"/>
        </w:rPr>
        <w:t>各单位应建立应急管理领导小组和应急救援管理机构，明确职责、分工和联系方式。</w:t>
      </w:r>
    </w:p>
    <w:p w14:paraId="15F49C8B">
      <w:pPr>
        <w:ind w:firstLine="640"/>
        <w:rPr>
          <w:rFonts w:ascii="Times New Roman" w:hAnsi="Times New Roman"/>
        </w:rPr>
      </w:pPr>
      <w:r>
        <w:rPr>
          <w:rFonts w:hint="eastAsia" w:ascii="Times New Roman" w:hAnsi="Times New Roman"/>
        </w:rPr>
        <w:t>（四）</w:t>
      </w:r>
      <w:r>
        <w:rPr>
          <w:rFonts w:ascii="Times New Roman" w:hAnsi="Times New Roman"/>
        </w:rPr>
        <w:t>各单位应采取管理措施和技术手段，从项目规划、选址、化学品储存、防雷设施等方面加强自然灾害及次生事故预防工作，提高自然灾害防范能力。</w:t>
      </w:r>
    </w:p>
    <w:p w14:paraId="7871FEA1">
      <w:pPr>
        <w:ind w:firstLine="640"/>
        <w:rPr>
          <w:rFonts w:ascii="Times New Roman" w:hAnsi="Times New Roman"/>
        </w:rPr>
      </w:pPr>
      <w:r>
        <w:rPr>
          <w:rFonts w:hint="eastAsia" w:ascii="Times New Roman" w:hAnsi="Times New Roman"/>
        </w:rPr>
        <w:t>（五）</w:t>
      </w:r>
      <w:r>
        <w:rPr>
          <w:rFonts w:ascii="Times New Roman" w:hAnsi="Times New Roman"/>
        </w:rPr>
        <w:t>各单位应开展应急救援宣传和培训，普及自然灾害预防、避险、自救、互救知识，提高全员应急处置能力。</w:t>
      </w:r>
    </w:p>
    <w:p w14:paraId="79D3DAC3">
      <w:pPr>
        <w:ind w:firstLine="643"/>
        <w:rPr>
          <w:rFonts w:ascii="Times New Roman" w:hAnsi="Times New Roman"/>
        </w:rPr>
      </w:pPr>
      <w:r>
        <w:rPr>
          <w:rFonts w:hint="eastAsia" w:ascii="楷体_GB2312" w:hAnsi="楷体_GB2312" w:eastAsia="楷体_GB2312" w:cs="楷体_GB2312"/>
          <w:b/>
          <w:color w:val="000000"/>
          <w:szCs w:val="32"/>
          <w:lang w:val="zh-CN" w:bidi="zh-CN"/>
        </w:rPr>
        <w:t>第六条</w:t>
      </w:r>
      <w:r>
        <w:rPr>
          <w:rFonts w:hint="eastAsia" w:ascii="楷体_GB2312" w:hAnsi="楷体_GB2312" w:eastAsia="楷体_GB2312" w:cs="楷体_GB2312"/>
          <w:b/>
          <w:color w:val="000000"/>
          <w:szCs w:val="32"/>
          <w:lang w:bidi="zh-CN"/>
        </w:rPr>
        <w:t xml:space="preserve">  </w:t>
      </w:r>
      <w:r>
        <w:rPr>
          <w:rFonts w:ascii="Times New Roman" w:hAnsi="Times New Roman"/>
        </w:rPr>
        <w:t>预警和预防措施</w:t>
      </w:r>
    </w:p>
    <w:p w14:paraId="2F6E1E63">
      <w:pPr>
        <w:ind w:firstLine="640"/>
        <w:rPr>
          <w:rFonts w:ascii="Times New Roman" w:hAnsi="Times New Roman"/>
        </w:rPr>
      </w:pPr>
      <w:r>
        <w:rPr>
          <w:rFonts w:ascii="Times New Roman" w:hAnsi="Times New Roman"/>
        </w:rPr>
        <w:t>园区根据自然灾害预警预报信息，结合可能受影响地区的自然条件、人口和社会经济状况，对可能出现的灾情进行预评估，当可能威胁人民生命财产安全、影响基本生活、需要提前采取应对措施时，启动预警响应，视情采取以下一项或多项措施：</w:t>
      </w:r>
    </w:p>
    <w:p w14:paraId="4AE71A55">
      <w:pPr>
        <w:ind w:firstLine="640"/>
        <w:rPr>
          <w:rFonts w:ascii="Times New Roman" w:hAnsi="Times New Roman"/>
        </w:rPr>
      </w:pPr>
      <w:r>
        <w:rPr>
          <w:rFonts w:hint="eastAsia" w:ascii="Times New Roman" w:hAnsi="Times New Roman"/>
        </w:rPr>
        <w:t>（一）</w:t>
      </w:r>
      <w:r>
        <w:rPr>
          <w:rFonts w:ascii="Times New Roman" w:hAnsi="Times New Roman"/>
        </w:rPr>
        <w:t>向可能受影响的企业或部门通报预警信息，提出灾害救助工作要求，启用应急避难场所，疏散、转移易受自然灾害危害的人员和财产，做好基本生活救助的准备。</w:t>
      </w:r>
    </w:p>
    <w:p w14:paraId="40172034">
      <w:pPr>
        <w:ind w:firstLine="640"/>
        <w:rPr>
          <w:rFonts w:ascii="Times New Roman" w:hAnsi="Times New Roman"/>
        </w:rPr>
      </w:pPr>
      <w:r>
        <w:rPr>
          <w:rFonts w:hint="eastAsia" w:ascii="Times New Roman" w:hAnsi="Times New Roman"/>
        </w:rPr>
        <w:t>（二）</w:t>
      </w:r>
      <w:r>
        <w:rPr>
          <w:rFonts w:ascii="Times New Roman" w:hAnsi="Times New Roman"/>
        </w:rPr>
        <w:t>加强应急值守，密切跟踪灾害风险变化和发展趋势，对灾害可能造成的损失进行动态评估，及时调整相关措施。</w:t>
      </w:r>
    </w:p>
    <w:p w14:paraId="366026E5">
      <w:pPr>
        <w:ind w:firstLine="640"/>
        <w:rPr>
          <w:rFonts w:ascii="Times New Roman" w:hAnsi="Times New Roman"/>
        </w:rPr>
      </w:pPr>
      <w:r>
        <w:rPr>
          <w:rFonts w:hint="eastAsia" w:ascii="Times New Roman" w:hAnsi="Times New Roman"/>
        </w:rPr>
        <w:t>（三）</w:t>
      </w:r>
      <w:r>
        <w:rPr>
          <w:rFonts w:ascii="Times New Roman" w:hAnsi="Times New Roman"/>
        </w:rPr>
        <w:t>通知救灾物资储备库做好救灾物资准备，紧急情况下提前调拨；启动与交通运输等单位的应急联动机制，做好救灾物资调运准备。</w:t>
      </w:r>
    </w:p>
    <w:p w14:paraId="38D17ACF">
      <w:pPr>
        <w:ind w:firstLine="640"/>
        <w:rPr>
          <w:rFonts w:ascii="Times New Roman" w:hAnsi="Times New Roman"/>
        </w:rPr>
      </w:pPr>
      <w:r>
        <w:rPr>
          <w:rFonts w:hint="eastAsia" w:ascii="Times New Roman" w:hAnsi="Times New Roman"/>
        </w:rPr>
        <w:t>（四）</w:t>
      </w:r>
      <w:r>
        <w:rPr>
          <w:rFonts w:ascii="Times New Roman" w:hAnsi="Times New Roman"/>
        </w:rPr>
        <w:t>派出预警响应工作组，实地了解灾害风险，检查指导各项救灾准备工作。</w:t>
      </w:r>
    </w:p>
    <w:p w14:paraId="52800AB0">
      <w:pPr>
        <w:ind w:firstLine="640"/>
        <w:rPr>
          <w:rFonts w:ascii="Times New Roman" w:hAnsi="Times New Roman"/>
        </w:rPr>
      </w:pPr>
      <w:r>
        <w:rPr>
          <w:rFonts w:hint="eastAsia" w:ascii="Times New Roman" w:hAnsi="Times New Roman"/>
        </w:rPr>
        <w:t>（五）</w:t>
      </w:r>
      <w:r>
        <w:rPr>
          <w:rFonts w:ascii="Times New Roman" w:hAnsi="Times New Roman"/>
        </w:rPr>
        <w:t>向</w:t>
      </w:r>
      <w:r>
        <w:rPr>
          <w:rFonts w:hint="eastAsia" w:ascii="Times New Roman" w:hAnsi="Times New Roman"/>
        </w:rPr>
        <w:t>党工委管委会</w:t>
      </w:r>
      <w:r>
        <w:rPr>
          <w:rFonts w:ascii="Times New Roman" w:hAnsi="Times New Roman"/>
        </w:rPr>
        <w:t>和</w:t>
      </w:r>
      <w:r>
        <w:rPr>
          <w:rFonts w:hint="eastAsia" w:ascii="Times New Roman" w:hAnsi="Times New Roman"/>
        </w:rPr>
        <w:t>区直有关单位</w:t>
      </w:r>
      <w:r>
        <w:rPr>
          <w:rFonts w:ascii="Times New Roman" w:hAnsi="Times New Roman"/>
        </w:rPr>
        <w:t>报告预警响应启动情况。</w:t>
      </w:r>
    </w:p>
    <w:p w14:paraId="0980802B">
      <w:pPr>
        <w:ind w:firstLine="640"/>
        <w:rPr>
          <w:rFonts w:ascii="Times New Roman" w:hAnsi="Times New Roman"/>
        </w:rPr>
      </w:pPr>
      <w:r>
        <w:rPr>
          <w:rFonts w:hint="eastAsia" w:ascii="Times New Roman" w:hAnsi="Times New Roman"/>
        </w:rPr>
        <w:t>（六）</w:t>
      </w:r>
      <w:r>
        <w:rPr>
          <w:rFonts w:ascii="Times New Roman" w:hAnsi="Times New Roman"/>
        </w:rPr>
        <w:t>向园区和社会发布预警响应启动情况，提醒公众做好自救互救准备。</w:t>
      </w:r>
    </w:p>
    <w:p w14:paraId="5DED81C1">
      <w:pPr>
        <w:ind w:firstLine="643"/>
        <w:rPr>
          <w:rFonts w:ascii="Times New Roman" w:hAnsi="Times New Roman"/>
        </w:rPr>
      </w:pPr>
      <w:r>
        <w:rPr>
          <w:rFonts w:hint="eastAsia" w:ascii="楷体_GB2312" w:hAnsi="楷体_GB2312" w:eastAsia="楷体_GB2312" w:cs="楷体_GB2312"/>
          <w:b/>
          <w:color w:val="000000"/>
          <w:szCs w:val="32"/>
          <w:lang w:val="zh-CN" w:bidi="zh-CN"/>
        </w:rPr>
        <w:t>第七条</w:t>
      </w:r>
      <w:r>
        <w:rPr>
          <w:rFonts w:hint="eastAsia" w:ascii="楷体_GB2312" w:hAnsi="楷体_GB2312" w:eastAsia="楷体_GB2312" w:cs="楷体_GB2312"/>
          <w:b/>
          <w:color w:val="000000"/>
          <w:szCs w:val="32"/>
          <w:lang w:bidi="zh-CN"/>
        </w:rPr>
        <w:t xml:space="preserve">  </w:t>
      </w:r>
      <w:r>
        <w:rPr>
          <w:rFonts w:ascii="Times New Roman" w:hAnsi="Times New Roman"/>
        </w:rPr>
        <w:t>预警行动</w:t>
      </w:r>
    </w:p>
    <w:p w14:paraId="07D5823C">
      <w:pPr>
        <w:ind w:firstLine="640"/>
        <w:rPr>
          <w:rFonts w:ascii="Times New Roman" w:hAnsi="Times New Roman"/>
        </w:rPr>
      </w:pPr>
      <w:r>
        <w:rPr>
          <w:rFonts w:ascii="Times New Roman" w:hAnsi="Times New Roman"/>
        </w:rPr>
        <w:t>当应急办公室发布预警信息后，园区相关部门和企业应开展以下工作：</w:t>
      </w:r>
    </w:p>
    <w:p w14:paraId="3138B5BD">
      <w:pPr>
        <w:ind w:firstLine="640"/>
        <w:rPr>
          <w:rFonts w:ascii="Times New Roman" w:hAnsi="Times New Roman"/>
        </w:rPr>
      </w:pPr>
      <w:r>
        <w:rPr>
          <w:rFonts w:hint="eastAsia" w:ascii="Times New Roman" w:hAnsi="Times New Roman"/>
        </w:rPr>
        <w:t>（一）</w:t>
      </w:r>
      <w:r>
        <w:rPr>
          <w:rFonts w:ascii="Times New Roman" w:hAnsi="Times New Roman"/>
        </w:rPr>
        <w:t>园区各应急救援工作小组进入应急准备状态；</w:t>
      </w:r>
    </w:p>
    <w:p w14:paraId="5594282C">
      <w:pPr>
        <w:ind w:firstLine="640"/>
        <w:rPr>
          <w:rFonts w:ascii="Times New Roman" w:hAnsi="Times New Roman"/>
        </w:rPr>
      </w:pPr>
      <w:r>
        <w:rPr>
          <w:rFonts w:hint="eastAsia" w:ascii="Times New Roman" w:hAnsi="Times New Roman"/>
        </w:rPr>
        <w:t>（二）</w:t>
      </w:r>
      <w:r>
        <w:rPr>
          <w:rFonts w:ascii="Times New Roman" w:hAnsi="Times New Roman"/>
        </w:rPr>
        <w:t>接到预警信息的企业应严格落实防范控制措施，实时监测预警，对预警区域和预警事件加强巡视，保持通讯畅通，及时向园区</w:t>
      </w:r>
      <w:r>
        <w:rPr>
          <w:rFonts w:hint="eastAsia" w:ascii="Times New Roman" w:hAnsi="Times New Roman"/>
        </w:rPr>
        <w:t>应急救援部室</w:t>
      </w:r>
      <w:r>
        <w:rPr>
          <w:rFonts w:ascii="Times New Roman" w:hAnsi="Times New Roman"/>
        </w:rPr>
        <w:t>上报事态发展情况；</w:t>
      </w:r>
    </w:p>
    <w:p w14:paraId="43BD9C1D">
      <w:pPr>
        <w:ind w:firstLine="640"/>
        <w:rPr>
          <w:rFonts w:ascii="Times New Roman" w:hAnsi="Times New Roman"/>
        </w:rPr>
      </w:pPr>
      <w:r>
        <w:rPr>
          <w:rFonts w:hint="eastAsia" w:ascii="楷体_GB2312" w:hAnsi="楷体_GB2312" w:eastAsia="楷体_GB2312" w:cs="楷体_GB2312"/>
          <w:bCs/>
          <w:color w:val="000000"/>
          <w:szCs w:val="32"/>
          <w:lang w:val="zh-CN" w:bidi="zh-CN"/>
        </w:rPr>
        <w:t>（三）</w:t>
      </w:r>
      <w:r>
        <w:rPr>
          <w:rFonts w:ascii="Times New Roman" w:hAnsi="Times New Roman"/>
        </w:rPr>
        <w:t>应急救援部室全程跟踪预警响应情况，实时掌握预警事件风险状况，以便及时作出决策；</w:t>
      </w:r>
    </w:p>
    <w:p w14:paraId="341E844C">
      <w:pPr>
        <w:ind w:firstLine="640"/>
        <w:rPr>
          <w:rFonts w:ascii="Times New Roman" w:hAnsi="Times New Roman"/>
        </w:rPr>
      </w:pPr>
      <w:r>
        <w:rPr>
          <w:rFonts w:hint="eastAsia" w:ascii="Times New Roman" w:hAnsi="Times New Roman"/>
        </w:rPr>
        <w:t>（四）</w:t>
      </w:r>
      <w:r>
        <w:rPr>
          <w:rFonts w:ascii="Times New Roman" w:hAnsi="Times New Roman"/>
        </w:rPr>
        <w:t>应急救援部室及时将预警事件发展情况上报</w:t>
      </w:r>
      <w:r>
        <w:rPr>
          <w:rFonts w:hint="eastAsia" w:ascii="Times New Roman" w:hAnsi="Times New Roman"/>
        </w:rPr>
        <w:t>区安委会</w:t>
      </w:r>
      <w:r>
        <w:rPr>
          <w:rFonts w:ascii="Times New Roman" w:hAnsi="Times New Roman"/>
        </w:rPr>
        <w:t>，达到园区应急预案启动条件时，及时启动应急预案。</w:t>
      </w:r>
    </w:p>
    <w:p w14:paraId="789AAA42">
      <w:pPr>
        <w:ind w:firstLine="640"/>
        <w:rPr>
          <w:rFonts w:ascii="Times New Roman" w:hAnsi="Times New Roman"/>
        </w:rPr>
      </w:pPr>
    </w:p>
    <w:p w14:paraId="4633702A">
      <w:pPr>
        <w:ind w:firstLine="640"/>
        <w:rPr>
          <w:rFonts w:ascii="Times New Roman" w:hAnsi="Times New Roman"/>
        </w:rPr>
      </w:pPr>
    </w:p>
    <w:p w14:paraId="7CC03B15">
      <w:pPr>
        <w:ind w:firstLine="640"/>
        <w:rPr>
          <w:rFonts w:ascii="Times New Roman" w:hAnsi="Times New Roman"/>
        </w:rPr>
        <w:sectPr>
          <w:footerReference r:id="rId17" w:type="default"/>
          <w:pgSz w:w="11906" w:h="16838"/>
          <w:pgMar w:top="2098" w:right="1531" w:bottom="1984" w:left="1531" w:header="851" w:footer="1417" w:gutter="0"/>
          <w:cols w:space="720" w:num="1"/>
          <w:docGrid w:type="lines" w:linePitch="439" w:charSpace="0"/>
        </w:sectPr>
      </w:pPr>
    </w:p>
    <w:p w14:paraId="612C023F">
      <w:pPr>
        <w:pStyle w:val="2"/>
        <w:spacing w:before="0" w:after="0" w:line="600" w:lineRule="exact"/>
        <w:rPr>
          <w:rFonts w:ascii="Times New Roman" w:hAnsi="Times New Roman"/>
        </w:rPr>
      </w:pPr>
      <w:bookmarkStart w:id="48" w:name="_Toc13271"/>
      <w:bookmarkStart w:id="49" w:name="_Toc4992"/>
      <w:r>
        <w:rPr>
          <w:rFonts w:ascii="Times New Roman" w:hAnsi="Times New Roman"/>
        </w:rPr>
        <w:t>第九章</w:t>
      </w:r>
      <w:r>
        <w:rPr>
          <w:rFonts w:hint="eastAsia" w:ascii="Times New Roman" w:hAnsi="Times New Roman"/>
          <w:lang w:val="en-US" w:eastAsia="zh-CN"/>
        </w:rPr>
        <w:t xml:space="preserve"> </w:t>
      </w:r>
      <w:r>
        <w:rPr>
          <w:rFonts w:ascii="Times New Roman" w:hAnsi="Times New Roman"/>
        </w:rPr>
        <w:t xml:space="preserve"> 特殊作业安全管理</w:t>
      </w:r>
      <w:bookmarkEnd w:id="48"/>
      <w:bookmarkEnd w:id="49"/>
    </w:p>
    <w:p w14:paraId="6C31E55D">
      <w:pPr>
        <w:spacing w:line="600" w:lineRule="exact"/>
        <w:ind w:firstLine="640"/>
        <w:rPr>
          <w:rFonts w:ascii="Times New Roman" w:hAnsi="Times New Roman"/>
        </w:rPr>
      </w:pPr>
    </w:p>
    <w:p w14:paraId="59920382">
      <w:pPr>
        <w:pStyle w:val="3"/>
        <w:spacing w:line="600" w:lineRule="exact"/>
        <w:ind w:firstLine="640"/>
        <w:jc w:val="left"/>
        <w:rPr>
          <w:rFonts w:ascii="黑体" w:hAnsi="黑体" w:eastAsia="黑体"/>
          <w:b w:val="0"/>
          <w:bCs/>
          <w:sz w:val="32"/>
          <w:szCs w:val="21"/>
        </w:rPr>
      </w:pPr>
      <w:bookmarkStart w:id="50" w:name="_Toc10784"/>
      <w:bookmarkStart w:id="51" w:name="_Toc10152"/>
      <w:r>
        <w:rPr>
          <w:rFonts w:ascii="黑体" w:hAnsi="黑体" w:eastAsia="黑体"/>
          <w:b w:val="0"/>
          <w:bCs/>
          <w:sz w:val="32"/>
          <w:szCs w:val="21"/>
        </w:rPr>
        <w:t>二十</w:t>
      </w:r>
      <w:r>
        <w:rPr>
          <w:rFonts w:hint="eastAsia" w:ascii="黑体" w:hAnsi="黑体" w:eastAsia="黑体"/>
          <w:b w:val="0"/>
          <w:bCs/>
          <w:sz w:val="32"/>
          <w:szCs w:val="21"/>
          <w:lang w:val="en-US" w:eastAsia="zh-CN"/>
        </w:rPr>
        <w:t>四</w:t>
      </w:r>
      <w:r>
        <w:rPr>
          <w:rFonts w:ascii="黑体" w:hAnsi="黑体" w:eastAsia="黑体"/>
          <w:b w:val="0"/>
          <w:bCs/>
          <w:sz w:val="32"/>
          <w:szCs w:val="21"/>
        </w:rPr>
        <w:t>、危险化学品企业特殊作业安全管理制度</w:t>
      </w:r>
      <w:bookmarkEnd w:id="50"/>
      <w:bookmarkEnd w:id="51"/>
    </w:p>
    <w:p w14:paraId="77E57DB6">
      <w:pPr>
        <w:ind w:firstLine="640"/>
        <w:rPr>
          <w:rFonts w:hint="eastAsia" w:hAnsi="楷体_GB2312" w:cs="楷体_GB2312"/>
          <w:bCs/>
          <w:color w:val="000000"/>
          <w:szCs w:val="32"/>
          <w:lang w:val="zh-CN" w:bidi="zh-CN"/>
        </w:rPr>
      </w:pPr>
      <w:r>
        <w:rPr>
          <w:rFonts w:hint="eastAsia" w:hAnsi="楷体_GB2312" w:cs="楷体_GB2312"/>
          <w:bCs/>
          <w:color w:val="000000"/>
          <w:szCs w:val="32"/>
          <w:lang w:val="zh-CN" w:bidi="zh-CN"/>
        </w:rPr>
        <w:t>（一）本办法适用于园区内危险化学品企业特殊作业的管理。</w:t>
      </w:r>
    </w:p>
    <w:p w14:paraId="28180D54">
      <w:pPr>
        <w:ind w:firstLine="640"/>
        <w:rPr>
          <w:rFonts w:hint="eastAsia" w:hAnsi="楷体_GB2312" w:cs="楷体_GB2312"/>
          <w:bCs/>
          <w:color w:val="000000"/>
          <w:szCs w:val="32"/>
          <w:lang w:val="zh-CN" w:bidi="zh-CN"/>
        </w:rPr>
      </w:pPr>
      <w:r>
        <w:rPr>
          <w:rFonts w:hint="eastAsia" w:hAnsi="楷体_GB2312" w:cs="楷体_GB2312"/>
          <w:bCs/>
          <w:color w:val="000000"/>
          <w:szCs w:val="32"/>
          <w:lang w:val="zh-CN" w:bidi="zh-CN"/>
        </w:rPr>
        <w:t>（二）园区内危险化学品企业应根据《危险化学品企业特殊作业安全规范》GB30871制定《特殊作业安全管理制度》。园区内企业应在园区智能管控平台填报特殊作业相关资料。</w:t>
      </w:r>
    </w:p>
    <w:p w14:paraId="1EF561AF">
      <w:pPr>
        <w:ind w:firstLine="640"/>
        <w:rPr>
          <w:rFonts w:hint="eastAsia" w:hAnsi="楷体_GB2312" w:cs="楷体_GB2312"/>
          <w:bCs/>
          <w:color w:val="000000"/>
          <w:szCs w:val="32"/>
          <w:lang w:val="zh-CN" w:bidi="zh-CN"/>
        </w:rPr>
      </w:pPr>
      <w:r>
        <w:rPr>
          <w:rFonts w:hint="eastAsia" w:hAnsi="楷体_GB2312" w:cs="楷体_GB2312"/>
          <w:bCs/>
          <w:color w:val="000000"/>
          <w:szCs w:val="32"/>
          <w:lang w:val="zh-CN" w:bidi="zh-CN"/>
        </w:rPr>
        <w:t>（三）企业在特殊作业时应提前在智能管控平台上报备，报备数据包括但不限于作业属地单位、作业类型、作业内容、作业时间等。</w:t>
      </w:r>
    </w:p>
    <w:p w14:paraId="585DB131">
      <w:pPr>
        <w:ind w:firstLine="640"/>
        <w:rPr>
          <w:rFonts w:hint="eastAsia" w:hAnsi="楷体_GB2312" w:cs="楷体_GB2312"/>
          <w:bCs/>
          <w:color w:val="000000"/>
          <w:szCs w:val="32"/>
          <w:lang w:val="zh-CN" w:bidi="zh-CN"/>
        </w:rPr>
      </w:pPr>
      <w:r>
        <w:rPr>
          <w:rFonts w:hint="eastAsia" w:hAnsi="楷体_GB2312" w:cs="楷体_GB2312"/>
          <w:bCs/>
          <w:color w:val="000000"/>
          <w:szCs w:val="32"/>
          <w:lang w:val="zh-CN" w:bidi="zh-CN"/>
        </w:rPr>
        <w:t>（四）智能管控平台值班人员在线抽查检查企业的特殊作业情况。每周至少开展一次抽查。通过核对特种作业票填写是否规范、特种作业人员是否取得特种作业操作证，以及企业现场摄像头等设备的联动调阅等方式进行管理。</w:t>
      </w:r>
    </w:p>
    <w:p w14:paraId="6053A385">
      <w:pPr>
        <w:ind w:firstLine="640"/>
        <w:rPr>
          <w:rFonts w:hint="eastAsia" w:hAnsi="楷体_GB2312" w:cs="楷体_GB2312"/>
          <w:bCs/>
          <w:color w:val="000000"/>
          <w:szCs w:val="32"/>
          <w:lang w:val="zh-CN" w:bidi="zh-CN"/>
        </w:rPr>
      </w:pPr>
      <w:r>
        <w:rPr>
          <w:rFonts w:hint="eastAsia" w:hAnsi="楷体_GB2312" w:cs="楷体_GB2312"/>
          <w:bCs/>
          <w:color w:val="000000"/>
          <w:szCs w:val="32"/>
          <w:lang w:val="zh-CN" w:bidi="zh-CN"/>
        </w:rPr>
        <w:t>（五）对于风险较大的特殊作业，园区安全监管人员可进行现场监督管理，并进行记录。</w:t>
      </w:r>
    </w:p>
    <w:p w14:paraId="1D734F4A">
      <w:pPr>
        <w:ind w:firstLine="640"/>
        <w:rPr>
          <w:rFonts w:hint="eastAsia" w:hAnsi="楷体_GB2312" w:cs="楷体_GB2312"/>
          <w:bCs/>
          <w:color w:val="000000"/>
          <w:szCs w:val="32"/>
          <w:lang w:val="zh-CN" w:bidi="zh-CN"/>
        </w:rPr>
      </w:pPr>
      <w:r>
        <w:rPr>
          <w:rFonts w:hint="eastAsia" w:hAnsi="楷体_GB2312" w:cs="楷体_GB2312"/>
          <w:bCs/>
          <w:color w:val="000000"/>
          <w:szCs w:val="32"/>
          <w:lang w:val="zh-CN" w:bidi="zh-CN"/>
        </w:rPr>
        <w:t>（六）化工园区</w:t>
      </w:r>
      <w:r>
        <w:rPr>
          <w:rFonts w:hint="eastAsia" w:hAnsi="楷体_GB2312" w:cs="楷体_GB2312"/>
          <w:bCs/>
          <w:color w:val="000000"/>
          <w:szCs w:val="32"/>
          <w:lang w:val="en-US" w:bidi="zh-CN"/>
        </w:rPr>
        <w:t>办</w:t>
      </w:r>
      <w:r>
        <w:rPr>
          <w:rFonts w:hint="eastAsia" w:hAnsi="楷体_GB2312" w:cs="楷体_GB2312"/>
          <w:bCs/>
          <w:color w:val="000000"/>
          <w:szCs w:val="32"/>
          <w:lang w:val="zh-CN" w:bidi="zh-CN"/>
        </w:rPr>
        <w:t>对企业违反特殊作业管理规定的行为进行制止，并将违规行为转报应急管理局督办整改。</w:t>
      </w:r>
    </w:p>
    <w:p w14:paraId="46110C6E">
      <w:pPr>
        <w:ind w:firstLine="640"/>
        <w:rPr>
          <w:rFonts w:hint="eastAsia" w:hAnsi="Times New Roman"/>
          <w:bCs/>
        </w:rPr>
      </w:pPr>
      <w:r>
        <w:rPr>
          <w:rFonts w:hint="eastAsia" w:hAnsi="楷体_GB2312" w:cs="楷体_GB2312"/>
          <w:bCs/>
          <w:color w:val="000000"/>
          <w:szCs w:val="32"/>
          <w:lang w:val="zh-CN" w:bidi="zh-CN"/>
        </w:rPr>
        <w:t>（七）本制度自发文之日起执行。</w:t>
      </w:r>
    </w:p>
    <w:p w14:paraId="31501BA0">
      <w:pPr>
        <w:ind w:firstLine="640"/>
        <w:rPr>
          <w:rFonts w:ascii="Times New Roman" w:hAnsi="Times New Roman"/>
        </w:rPr>
      </w:pPr>
    </w:p>
    <w:p w14:paraId="115B6EF7">
      <w:pPr>
        <w:ind w:firstLine="640"/>
        <w:rPr>
          <w:rFonts w:ascii="Times New Roman" w:hAnsi="Times New Roman"/>
        </w:rPr>
        <w:sectPr>
          <w:pgSz w:w="11906" w:h="16838"/>
          <w:pgMar w:top="2098" w:right="1531" w:bottom="1984" w:left="1531" w:header="851" w:footer="1417" w:gutter="0"/>
          <w:cols w:space="720" w:num="1"/>
          <w:docGrid w:type="lines" w:linePitch="439" w:charSpace="0"/>
        </w:sectPr>
      </w:pPr>
    </w:p>
    <w:p w14:paraId="0A6D37A3">
      <w:pPr>
        <w:pStyle w:val="2"/>
        <w:spacing w:before="0" w:after="0" w:line="600" w:lineRule="exact"/>
      </w:pPr>
      <w:bookmarkStart w:id="52" w:name="_Toc22549"/>
      <w:bookmarkStart w:id="53" w:name="_Toc27293"/>
      <w:r>
        <w:t>第十章</w:t>
      </w:r>
      <w:r>
        <w:rPr>
          <w:rFonts w:hint="eastAsia"/>
        </w:rPr>
        <w:t xml:space="preserve">  园区企业特殊安全管理</w:t>
      </w:r>
      <w:bookmarkEnd w:id="52"/>
    </w:p>
    <w:p w14:paraId="3E9DF796">
      <w:pPr>
        <w:spacing w:line="600" w:lineRule="exact"/>
        <w:ind w:firstLine="640"/>
        <w:rPr>
          <w:rFonts w:hint="eastAsia"/>
        </w:rPr>
      </w:pPr>
    </w:p>
    <w:p w14:paraId="69D06A25">
      <w:pPr>
        <w:pStyle w:val="3"/>
        <w:spacing w:line="600" w:lineRule="exact"/>
        <w:ind w:firstLine="640"/>
        <w:jc w:val="left"/>
        <w:rPr>
          <w:rFonts w:ascii="黑体" w:hAnsi="黑体" w:eastAsia="黑体"/>
          <w:b w:val="0"/>
          <w:bCs/>
          <w:sz w:val="32"/>
          <w:szCs w:val="21"/>
        </w:rPr>
      </w:pPr>
      <w:bookmarkStart w:id="54" w:name="_Toc4172"/>
      <w:r>
        <w:rPr>
          <w:rFonts w:hint="eastAsia" w:ascii="黑体" w:hAnsi="黑体" w:eastAsia="黑体"/>
          <w:b w:val="0"/>
          <w:bCs/>
          <w:sz w:val="32"/>
          <w:szCs w:val="21"/>
        </w:rPr>
        <w:t>二十</w:t>
      </w:r>
      <w:r>
        <w:rPr>
          <w:rFonts w:hint="eastAsia" w:ascii="黑体" w:hAnsi="黑体" w:eastAsia="黑体"/>
          <w:b w:val="0"/>
          <w:bCs/>
          <w:sz w:val="32"/>
          <w:szCs w:val="21"/>
          <w:lang w:val="en-US" w:eastAsia="zh-CN"/>
        </w:rPr>
        <w:t>五</w:t>
      </w:r>
      <w:r>
        <w:rPr>
          <w:rFonts w:hint="eastAsia" w:ascii="黑体" w:hAnsi="黑体" w:eastAsia="黑体"/>
          <w:b w:val="0"/>
          <w:bCs/>
          <w:sz w:val="32"/>
          <w:szCs w:val="21"/>
        </w:rPr>
        <w:t>、企业安全生产规章制度</w:t>
      </w:r>
      <w:bookmarkEnd w:id="54"/>
    </w:p>
    <w:p w14:paraId="38A5D7F1">
      <w:pPr>
        <w:ind w:firstLine="640"/>
        <w:rPr>
          <w:rFonts w:hint="eastAsia"/>
        </w:rPr>
      </w:pPr>
      <w:r>
        <w:rPr>
          <w:rFonts w:hint="eastAsia"/>
        </w:rPr>
        <w:t>企业必须遵守《中华人民共和国安全生产法》《湖北省安全生产条例》等法律、规章，建立健全安全生产规章制度。</w:t>
      </w:r>
    </w:p>
    <w:p w14:paraId="43C1A0F3">
      <w:pPr>
        <w:ind w:firstLine="640"/>
        <w:rPr>
          <w:rFonts w:hint="eastAsia"/>
        </w:rPr>
      </w:pPr>
      <w:r>
        <w:rPr>
          <w:rFonts w:hint="eastAsia"/>
        </w:rPr>
        <w:t>（一）生产经营单位必须遵守安全生产法律、法规和标准，建立健全全员安全生产责任制和安全生产规章制度，保障安全生产资金、物资、技术、人员投入，改善安全生产条件，加强安全生产标准化、信息化建设，构建安全风险分级管控和隐患排查治理双重预防机制，健全风险防范化解机制，提高安全生产水平，确保安全生产。</w:t>
      </w:r>
    </w:p>
    <w:p w14:paraId="270A9B6F">
      <w:pPr>
        <w:ind w:firstLine="640"/>
        <w:rPr>
          <w:rFonts w:hint="eastAsia"/>
        </w:rPr>
      </w:pPr>
      <w:r>
        <w:rPr>
          <w:rFonts w:hint="eastAsia"/>
        </w:rPr>
        <w:t>（二）生产经营单位应当实行全员安全生产责任制，编制全员安全生产责任清单，明确全部岗位的责任人员、责任范围等内容，加强监督考核，把安全生产工作纳入生产经营全过程。</w:t>
      </w:r>
    </w:p>
    <w:p w14:paraId="4CA531C5">
      <w:pPr>
        <w:ind w:firstLine="640"/>
        <w:rPr>
          <w:rFonts w:hint="eastAsia"/>
        </w:rPr>
      </w:pPr>
      <w:r>
        <w:rPr>
          <w:rFonts w:hint="eastAsia"/>
        </w:rPr>
        <w:t>（三）组织制定并实施本单位安全生产规章制度，至少包括下列内容：</w:t>
      </w:r>
    </w:p>
    <w:p w14:paraId="2BF275FD">
      <w:pPr>
        <w:ind w:firstLine="640"/>
        <w:rPr>
          <w:rFonts w:hint="eastAsia"/>
        </w:rPr>
      </w:pPr>
      <w:r>
        <w:rPr>
          <w:rFonts w:hint="eastAsia"/>
        </w:rPr>
        <w:t>1.安全生产职责；</w:t>
      </w:r>
    </w:p>
    <w:p w14:paraId="4A8324DD">
      <w:pPr>
        <w:ind w:firstLine="640"/>
        <w:rPr>
          <w:rFonts w:hint="eastAsia"/>
        </w:rPr>
      </w:pPr>
      <w:r>
        <w:rPr>
          <w:rFonts w:hint="eastAsia"/>
        </w:rPr>
        <w:t>2.识别和获取适用的安全生产法律法规、标准及其他要求；</w:t>
      </w:r>
    </w:p>
    <w:p w14:paraId="29BA6198">
      <w:pPr>
        <w:ind w:firstLine="640"/>
        <w:rPr>
          <w:rFonts w:hint="eastAsia"/>
        </w:rPr>
      </w:pPr>
      <w:r>
        <w:rPr>
          <w:rFonts w:hint="eastAsia"/>
        </w:rPr>
        <w:t>3.安全生产会议管理；</w:t>
      </w:r>
    </w:p>
    <w:p w14:paraId="014E7C1F">
      <w:pPr>
        <w:ind w:firstLine="640"/>
        <w:rPr>
          <w:rFonts w:hint="eastAsia"/>
        </w:rPr>
      </w:pPr>
      <w:r>
        <w:rPr>
          <w:rFonts w:hint="eastAsia"/>
        </w:rPr>
        <w:t>4.安全生产费用；</w:t>
      </w:r>
    </w:p>
    <w:p w14:paraId="5AB693C7">
      <w:pPr>
        <w:ind w:firstLine="640"/>
        <w:rPr>
          <w:rFonts w:hint="eastAsia"/>
        </w:rPr>
      </w:pPr>
      <w:r>
        <w:rPr>
          <w:rFonts w:hint="eastAsia"/>
        </w:rPr>
        <w:t>5.安全生产奖惩管理；</w:t>
      </w:r>
    </w:p>
    <w:p w14:paraId="2E67E746">
      <w:pPr>
        <w:ind w:firstLine="640"/>
        <w:rPr>
          <w:rFonts w:hint="eastAsia"/>
        </w:rPr>
      </w:pPr>
      <w:r>
        <w:rPr>
          <w:rFonts w:hint="eastAsia"/>
        </w:rPr>
        <w:t>6.管理制度评审和修订；</w:t>
      </w:r>
    </w:p>
    <w:p w14:paraId="4865C149">
      <w:pPr>
        <w:ind w:firstLine="640"/>
        <w:rPr>
          <w:rFonts w:hint="eastAsia"/>
        </w:rPr>
      </w:pPr>
      <w:r>
        <w:rPr>
          <w:rFonts w:hint="eastAsia"/>
        </w:rPr>
        <w:t xml:space="preserve">7.安全培训教育； </w:t>
      </w:r>
    </w:p>
    <w:p w14:paraId="79307E33">
      <w:pPr>
        <w:ind w:firstLine="640"/>
        <w:rPr>
          <w:rFonts w:hint="eastAsia"/>
        </w:rPr>
      </w:pPr>
      <w:r>
        <w:rPr>
          <w:rFonts w:hint="eastAsia"/>
        </w:rPr>
        <w:t xml:space="preserve">8.特种作业人员管理； </w:t>
      </w:r>
    </w:p>
    <w:p w14:paraId="1B7C19B1">
      <w:pPr>
        <w:ind w:firstLine="640"/>
        <w:rPr>
          <w:rFonts w:hint="eastAsia"/>
        </w:rPr>
      </w:pPr>
      <w:r>
        <w:rPr>
          <w:rFonts w:hint="eastAsia"/>
        </w:rPr>
        <w:t xml:space="preserve">9.管理部门、基层班组安全活动管理； </w:t>
      </w:r>
    </w:p>
    <w:p w14:paraId="1E0FA904">
      <w:pPr>
        <w:ind w:firstLine="640"/>
        <w:rPr>
          <w:rFonts w:hint="eastAsia"/>
        </w:rPr>
      </w:pPr>
      <w:r>
        <w:rPr>
          <w:rFonts w:hint="eastAsia"/>
        </w:rPr>
        <w:t>10.风险评价；</w:t>
      </w:r>
    </w:p>
    <w:p w14:paraId="18182826">
      <w:pPr>
        <w:ind w:firstLine="640"/>
        <w:rPr>
          <w:rFonts w:hint="eastAsia"/>
        </w:rPr>
      </w:pPr>
      <w:r>
        <w:rPr>
          <w:rFonts w:hint="eastAsia"/>
        </w:rPr>
        <w:t xml:space="preserve">11.隐患排查治理； </w:t>
      </w:r>
    </w:p>
    <w:p w14:paraId="14749F46">
      <w:pPr>
        <w:ind w:firstLine="640"/>
        <w:rPr>
          <w:rFonts w:hint="eastAsia"/>
        </w:rPr>
      </w:pPr>
      <w:r>
        <w:rPr>
          <w:rFonts w:hint="eastAsia"/>
        </w:rPr>
        <w:t xml:space="preserve">12.重大危险源管理； </w:t>
      </w:r>
    </w:p>
    <w:p w14:paraId="4969A2CD">
      <w:pPr>
        <w:ind w:firstLine="640"/>
        <w:rPr>
          <w:rFonts w:hint="eastAsia"/>
        </w:rPr>
      </w:pPr>
      <w:r>
        <w:rPr>
          <w:rFonts w:hint="eastAsia"/>
        </w:rPr>
        <w:t xml:space="preserve">13.变更管理； </w:t>
      </w:r>
    </w:p>
    <w:p w14:paraId="6AF3BE3E">
      <w:pPr>
        <w:ind w:firstLine="640"/>
        <w:rPr>
          <w:rFonts w:hint="eastAsia"/>
        </w:rPr>
      </w:pPr>
      <w:r>
        <w:rPr>
          <w:rFonts w:hint="eastAsia"/>
        </w:rPr>
        <w:t>14.事故管理；</w:t>
      </w:r>
    </w:p>
    <w:p w14:paraId="3D178828">
      <w:pPr>
        <w:ind w:firstLine="640"/>
        <w:rPr>
          <w:rFonts w:hint="eastAsia"/>
        </w:rPr>
      </w:pPr>
      <w:r>
        <w:rPr>
          <w:rFonts w:hint="eastAsia"/>
        </w:rPr>
        <w:t>15.防火、防爆管理，包括禁烟管理；</w:t>
      </w:r>
    </w:p>
    <w:p w14:paraId="268C6E3B">
      <w:pPr>
        <w:ind w:firstLine="640"/>
        <w:rPr>
          <w:rFonts w:hint="eastAsia"/>
        </w:rPr>
      </w:pPr>
      <w:r>
        <w:rPr>
          <w:rFonts w:hint="eastAsia"/>
        </w:rPr>
        <w:t>16.消防管理；</w:t>
      </w:r>
    </w:p>
    <w:p w14:paraId="197B1B72">
      <w:pPr>
        <w:ind w:firstLine="640"/>
        <w:rPr>
          <w:rFonts w:hint="eastAsia"/>
        </w:rPr>
      </w:pPr>
      <w:r>
        <w:rPr>
          <w:rFonts w:hint="eastAsia"/>
        </w:rPr>
        <w:t xml:space="preserve">17.仓库、罐区安全管理； </w:t>
      </w:r>
    </w:p>
    <w:p w14:paraId="2F39618D">
      <w:pPr>
        <w:ind w:firstLine="640"/>
        <w:rPr>
          <w:rFonts w:hint="eastAsia"/>
        </w:rPr>
      </w:pPr>
      <w:r>
        <w:rPr>
          <w:rFonts w:hint="eastAsia"/>
        </w:rPr>
        <w:t>18.关键装置、重点部位安全管理；</w:t>
      </w:r>
    </w:p>
    <w:p w14:paraId="0673DEA8">
      <w:pPr>
        <w:ind w:firstLine="640"/>
        <w:rPr>
          <w:rFonts w:hint="eastAsia"/>
        </w:rPr>
      </w:pPr>
      <w:r>
        <w:rPr>
          <w:rFonts w:hint="eastAsia"/>
        </w:rPr>
        <w:t xml:space="preserve">19.生产设施管理，包括安全设施、特种设备等管理； </w:t>
      </w:r>
    </w:p>
    <w:p w14:paraId="263DAF97">
      <w:pPr>
        <w:ind w:firstLine="640"/>
        <w:rPr>
          <w:rFonts w:hint="eastAsia"/>
        </w:rPr>
      </w:pPr>
      <w:r>
        <w:rPr>
          <w:rFonts w:hint="eastAsia"/>
        </w:rPr>
        <w:t>20.监视和测量设备管理；</w:t>
      </w:r>
    </w:p>
    <w:p w14:paraId="4A5D97AD">
      <w:pPr>
        <w:ind w:firstLine="640"/>
        <w:rPr>
          <w:rFonts w:hint="eastAsia"/>
        </w:rPr>
      </w:pPr>
      <w:r>
        <w:rPr>
          <w:rFonts w:hint="eastAsia"/>
        </w:rPr>
        <w:t>21.安全作业管理，包括动火作业、进入受限空间作业、临时用电作业、高处作业、起重吊装作业、破土作业、断路作业、设备检维修作业、高温作业、抽堵盲板作业管理等；</w:t>
      </w:r>
    </w:p>
    <w:p w14:paraId="5C5E7EA1">
      <w:pPr>
        <w:ind w:firstLine="640"/>
        <w:rPr>
          <w:rFonts w:hint="eastAsia"/>
        </w:rPr>
      </w:pPr>
      <w:r>
        <w:rPr>
          <w:rFonts w:hint="eastAsia"/>
        </w:rPr>
        <w:t>22.危险化学品安全管理，包括剧毒化学品安全管理及危险化学品储存、出入库、运输、装卸等；</w:t>
      </w:r>
    </w:p>
    <w:p w14:paraId="666C7E9F">
      <w:pPr>
        <w:ind w:firstLine="640"/>
        <w:rPr>
          <w:rFonts w:hint="eastAsia"/>
        </w:rPr>
      </w:pPr>
      <w:r>
        <w:rPr>
          <w:rFonts w:hint="eastAsia"/>
        </w:rPr>
        <w:t>23.检维修管理；</w:t>
      </w:r>
    </w:p>
    <w:p w14:paraId="19AE10A3">
      <w:pPr>
        <w:ind w:firstLine="640"/>
        <w:rPr>
          <w:rFonts w:hint="eastAsia"/>
        </w:rPr>
      </w:pPr>
      <w:r>
        <w:rPr>
          <w:rFonts w:hint="eastAsia"/>
        </w:rPr>
        <w:t xml:space="preserve">24.承包商管理； </w:t>
      </w:r>
    </w:p>
    <w:p w14:paraId="276B31B5">
      <w:pPr>
        <w:ind w:firstLine="640"/>
        <w:rPr>
          <w:rFonts w:hint="eastAsia"/>
        </w:rPr>
      </w:pPr>
      <w:r>
        <w:rPr>
          <w:rFonts w:hint="eastAsia"/>
        </w:rPr>
        <w:t>25.职业卫生管理，包括防尘、防毒管理；</w:t>
      </w:r>
    </w:p>
    <w:p w14:paraId="2BB6A50E">
      <w:pPr>
        <w:ind w:firstLine="640"/>
        <w:rPr>
          <w:rFonts w:hint="eastAsia"/>
        </w:rPr>
      </w:pPr>
      <w:r>
        <w:rPr>
          <w:rFonts w:hint="eastAsia"/>
        </w:rPr>
        <w:t>26.劳动防护用品（具）和保健品管理；</w:t>
      </w:r>
    </w:p>
    <w:p w14:paraId="64C7059F">
      <w:pPr>
        <w:ind w:firstLine="640"/>
        <w:rPr>
          <w:rFonts w:hint="eastAsia"/>
        </w:rPr>
      </w:pPr>
      <w:r>
        <w:rPr>
          <w:rFonts w:hint="eastAsia"/>
        </w:rPr>
        <w:t>27.作业场所职业危害因素检测管理；</w:t>
      </w:r>
    </w:p>
    <w:p w14:paraId="4E76A48C">
      <w:pPr>
        <w:ind w:firstLine="640"/>
        <w:rPr>
          <w:rFonts w:hint="eastAsia"/>
        </w:rPr>
      </w:pPr>
      <w:r>
        <w:rPr>
          <w:rFonts w:hint="eastAsia"/>
        </w:rPr>
        <w:t>28.应急救援管理；</w:t>
      </w:r>
    </w:p>
    <w:p w14:paraId="71D865A0">
      <w:pPr>
        <w:ind w:firstLine="640"/>
        <w:rPr>
          <w:rFonts w:hint="eastAsia"/>
        </w:rPr>
      </w:pPr>
      <w:r>
        <w:rPr>
          <w:rFonts w:hint="eastAsia"/>
        </w:rPr>
        <w:t>29.安全检查管理；</w:t>
      </w:r>
    </w:p>
    <w:p w14:paraId="5D39B364">
      <w:pPr>
        <w:ind w:firstLine="640"/>
        <w:rPr>
          <w:rFonts w:hint="eastAsia"/>
        </w:rPr>
      </w:pPr>
      <w:r>
        <w:rPr>
          <w:rFonts w:hint="eastAsia"/>
        </w:rPr>
        <w:t>30.自评。</w:t>
      </w:r>
    </w:p>
    <w:p w14:paraId="0DF2BCA7">
      <w:pPr>
        <w:ind w:firstLine="640"/>
        <w:rPr>
          <w:rFonts w:hint="eastAsia"/>
        </w:rPr>
      </w:pPr>
      <w:r>
        <w:rPr>
          <w:rFonts w:hint="eastAsia"/>
        </w:rPr>
        <w:t>（四）本制度自发文之日起执行。</w:t>
      </w:r>
    </w:p>
    <w:p w14:paraId="42B17916">
      <w:pPr>
        <w:ind w:firstLine="640"/>
      </w:pPr>
    </w:p>
    <w:p w14:paraId="3DE47009">
      <w:pPr>
        <w:pStyle w:val="3"/>
        <w:ind w:firstLine="723"/>
        <w:jc w:val="left"/>
        <w:rPr>
          <w:rFonts w:hint="eastAsia" w:ascii="黑体" w:hAnsi="黑体" w:eastAsia="黑体" w:cs="黑体"/>
          <w:b w:val="0"/>
          <w:bCs/>
          <w:sz w:val="32"/>
          <w:szCs w:val="21"/>
        </w:rPr>
      </w:pPr>
      <w:bookmarkStart w:id="55" w:name="_Toc6815"/>
      <w:r>
        <w:rPr>
          <w:rFonts w:hint="eastAsia" w:ascii="黑体" w:hAnsi="黑体" w:eastAsia="黑体" w:cs="黑体"/>
          <w:b w:val="0"/>
          <w:bCs/>
          <w:sz w:val="32"/>
          <w:szCs w:val="21"/>
        </w:rPr>
        <w:t>二十</w:t>
      </w:r>
      <w:r>
        <w:rPr>
          <w:rFonts w:hint="eastAsia" w:ascii="黑体" w:hAnsi="黑体" w:eastAsia="黑体" w:cs="黑体"/>
          <w:b w:val="0"/>
          <w:bCs/>
          <w:sz w:val="32"/>
          <w:szCs w:val="21"/>
          <w:lang w:val="en-US" w:eastAsia="zh-CN"/>
        </w:rPr>
        <w:t>六</w:t>
      </w:r>
      <w:r>
        <w:rPr>
          <w:rFonts w:hint="eastAsia" w:ascii="黑体" w:hAnsi="黑体" w:eastAsia="黑体" w:cs="黑体"/>
          <w:b w:val="0"/>
          <w:bCs/>
          <w:sz w:val="32"/>
          <w:szCs w:val="21"/>
        </w:rPr>
        <w:t>、企业特殊安全管理制度</w:t>
      </w:r>
      <w:bookmarkEnd w:id="55"/>
    </w:p>
    <w:p w14:paraId="1DDCC321">
      <w:pPr>
        <w:pStyle w:val="4"/>
        <w:ind w:firstLine="643"/>
      </w:pPr>
      <w:r>
        <w:rPr>
          <w:rFonts w:hint="eastAsia"/>
        </w:rPr>
        <w:t>（一）企业安全风险研判和公告制度</w:t>
      </w:r>
    </w:p>
    <w:p w14:paraId="03A10719">
      <w:pPr>
        <w:ind w:firstLine="640"/>
        <w:rPr>
          <w:rFonts w:hint="eastAsia"/>
        </w:rPr>
      </w:pPr>
      <w:r>
        <w:rPr>
          <w:rFonts w:hint="eastAsia"/>
        </w:rPr>
        <w:t>危险化学品生产、经营（带有储存设施）企业及取得危险化学品安全使用许可证的企业，必须实施危险化学品企业安全风险研判与承诺公告制度。</w:t>
      </w:r>
    </w:p>
    <w:p w14:paraId="592337A5">
      <w:pPr>
        <w:ind w:firstLine="640"/>
        <w:rPr>
          <w:rFonts w:hint="eastAsia"/>
        </w:rPr>
      </w:pPr>
      <w:r>
        <w:t>危险化学品企业要建立安全风险研判制度，完善责任体系，明确企业主要负责人、分管负责人、各职能部门、各车间（分厂）、各班组岗位的工作职责，强化目标管理和履职考核。要按照</w:t>
      </w:r>
      <w:r>
        <w:rPr>
          <w:rFonts w:hint="eastAsia"/>
        </w:rPr>
        <w:t>“</w:t>
      </w:r>
      <w:r>
        <w:t>疑险从有、疑险必研，有险要判、有险必控</w:t>
      </w:r>
      <w:r>
        <w:rPr>
          <w:rFonts w:hint="eastAsia"/>
        </w:rPr>
        <w:t>”</w:t>
      </w:r>
      <w:r>
        <w:t>的原则，建立覆盖企业全员、全过程的安全风险研判工作流程。在每日开展班组交接班、车间生产调度会、厂级生产调度会布置生产工作任务的同时，要同步研判各项工作的安全风险，落实安全风险管控措施。其中，要重点对生产装置的安全运行状态、高危生产活动及作业的安全风险可控状态和危险化学品罐区、仓库等重大危险源的安全运行状态等方面进行安全风险研判，并按照安全风险辨识结果，严格落实重大风险、较大风险管控、重大隐患治理及降低风险措施。</w:t>
      </w:r>
    </w:p>
    <w:p w14:paraId="4935DA14">
      <w:pPr>
        <w:ind w:firstLine="640"/>
      </w:pPr>
      <w:r>
        <w:rPr>
          <w:rFonts w:hint="eastAsia"/>
        </w:rPr>
        <w:t>区应急管理局和化工园区办对未建立制度、不发布、虚假发布安全承诺公告的企业，进行约谈、通报、公开曝光，并纳入重点监管对象。</w:t>
      </w:r>
    </w:p>
    <w:p w14:paraId="7C021951">
      <w:pPr>
        <w:pStyle w:val="4"/>
        <w:ind w:firstLine="643"/>
        <w:rPr>
          <w:rFonts w:hint="eastAsia"/>
        </w:rPr>
      </w:pPr>
      <w:r>
        <w:rPr>
          <w:rFonts w:hint="eastAsia"/>
        </w:rPr>
        <w:t>（二）企业安全设计诊断制度</w:t>
      </w:r>
    </w:p>
    <w:p w14:paraId="47D77B12">
      <w:pPr>
        <w:ind w:firstLine="640"/>
        <w:rPr>
          <w:rFonts w:hint="eastAsia"/>
        </w:rPr>
      </w:pPr>
      <w:r>
        <w:rPr>
          <w:rFonts w:hint="eastAsia"/>
        </w:rPr>
        <w:t>园区内企业安全设计诊断由化工园区办协助区应急管理局督促企业按相关法律、法规执行。</w:t>
      </w:r>
    </w:p>
    <w:p w14:paraId="605BA7C5">
      <w:pPr>
        <w:ind w:firstLine="640"/>
      </w:pPr>
      <w:r>
        <w:rPr>
          <w:rFonts w:hint="eastAsia"/>
        </w:rPr>
        <w:t>1.园区内化工企业</w:t>
      </w:r>
    </w:p>
    <w:p w14:paraId="42EA6276">
      <w:pPr>
        <w:ind w:firstLine="640"/>
        <w:rPr>
          <w:rFonts w:hint="eastAsia"/>
        </w:rPr>
      </w:pPr>
      <w:r>
        <w:rPr>
          <w:rFonts w:hint="eastAsia"/>
        </w:rPr>
        <w:t>根据《化工（危险化学品）生产储存在役装置安全设计诊断复核制度（试行）》（鄂应急发〔2019〕18号）的要求开展安全设计诊断</w:t>
      </w:r>
      <w:r>
        <w:t>。</w:t>
      </w:r>
    </w:p>
    <w:p w14:paraId="0B39E75E">
      <w:pPr>
        <w:ind w:firstLine="640"/>
      </w:pPr>
      <w:r>
        <w:rPr>
          <w:rFonts w:hint="eastAsia"/>
        </w:rPr>
        <w:t>2.园区内一般化工企业</w:t>
      </w:r>
    </w:p>
    <w:p w14:paraId="2D8BA64A">
      <w:pPr>
        <w:ind w:firstLine="640"/>
        <w:rPr>
          <w:rFonts w:hint="eastAsia"/>
          <w:bCs/>
        </w:rPr>
      </w:pPr>
      <w:r>
        <w:rPr>
          <w:rFonts w:hint="eastAsia"/>
        </w:rPr>
        <w:t>根据《省应急管理厅关于进一步加强工贸行业建设项目安全设施“三同时”管理的通知》，对已经建成但未落实安全设施“三同时”的工贸（一般化工）建设项目，要指导企业委托有资质的设计单位，对其安全设施的设计是否符合相关设计标准、规范进行诊断，出具《企业安全设施设计诊断报告》，编制单位对报告负责。对报告中认定企业存在安全设备、设施、装置、构（建）筑物和其他技术措施有不符合安全生产条件的事项，企业要主动进行整改，直到符合安全生产条件为止，应急管理部门要加强督办检查，确保整改完成。对已经审批、核准、备案但未完成建设，且没有落实安全设施“三同时”的建设项目，应急管理部门要认真履行监管责任，督促生产经营单位履行安全生产主体责任，严格按</w:t>
      </w:r>
      <w:r>
        <w:rPr>
          <w:rFonts w:hint="eastAsia"/>
          <w:bCs/>
        </w:rPr>
        <w:t>照建设项目安全设施“三同时”管理有关规定，完善安全设施“三同时”手续。</w:t>
      </w:r>
    </w:p>
    <w:p w14:paraId="2A081F2C">
      <w:pPr>
        <w:pStyle w:val="4"/>
        <w:ind w:firstLine="643"/>
        <w:rPr>
          <w:rFonts w:hint="eastAsia"/>
        </w:rPr>
      </w:pPr>
      <w:r>
        <w:rPr>
          <w:rFonts w:hint="eastAsia"/>
        </w:rPr>
        <w:t>（三）企业隐患排查和风险分级管控制度</w:t>
      </w:r>
    </w:p>
    <w:p w14:paraId="1381C3A6">
      <w:pPr>
        <w:ind w:firstLine="640"/>
        <w:rPr>
          <w:rFonts w:hint="eastAsia"/>
        </w:rPr>
      </w:pPr>
      <w:r>
        <w:rPr>
          <w:rFonts w:hint="eastAsia"/>
        </w:rPr>
        <w:t>根据《中华人民共和国安全生产法》第四条“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14:paraId="07688D2A">
      <w:pPr>
        <w:ind w:firstLine="640"/>
        <w:rPr>
          <w:rFonts w:hint="eastAsia"/>
        </w:rPr>
      </w:pPr>
      <w:r>
        <w:rPr>
          <w:rFonts w:hint="eastAsia"/>
        </w:rPr>
        <w:t>1.建立完善的工作推进机制</w:t>
      </w:r>
    </w:p>
    <w:p w14:paraId="732D4B82">
      <w:pPr>
        <w:ind w:firstLine="640"/>
        <w:rPr>
          <w:rFonts w:hint="eastAsia"/>
        </w:rPr>
      </w:pPr>
      <w:r>
        <w:rPr>
          <w:rFonts w:hint="eastAsia"/>
        </w:rPr>
        <w:t>（1）为有效落实双重预防体系建设工作提供有力的组织保障，由企业主要负责人全面负责双重预防体系建设；以文件形式明确相关人员及部门的职责。</w:t>
      </w:r>
    </w:p>
    <w:p w14:paraId="6FA2ED5F">
      <w:pPr>
        <w:ind w:firstLine="640"/>
        <w:rPr>
          <w:rFonts w:hint="eastAsia"/>
        </w:rPr>
      </w:pPr>
      <w:r>
        <w:rPr>
          <w:rFonts w:hint="eastAsia"/>
        </w:rPr>
        <w:t>（2）制定符合双重预防体系建设标准要求的安全生产责任制度、风险分级管控制度、隐患排查治理制度、运行考核制度、岗位安全操作规程体系文件。</w:t>
      </w:r>
    </w:p>
    <w:p w14:paraId="0655929C">
      <w:pPr>
        <w:ind w:firstLine="640"/>
        <w:rPr>
          <w:rFonts w:hint="eastAsia"/>
        </w:rPr>
      </w:pPr>
      <w:r>
        <w:rPr>
          <w:rFonts w:hint="eastAsia"/>
        </w:rPr>
        <w:t>（3）分专业、分层次、分阶段对全员进行双重预防体系培训。</w:t>
      </w:r>
    </w:p>
    <w:p w14:paraId="0EDE5F20">
      <w:pPr>
        <w:ind w:firstLine="640"/>
        <w:rPr>
          <w:rFonts w:hint="eastAsia"/>
        </w:rPr>
      </w:pPr>
      <w:r>
        <w:rPr>
          <w:rFonts w:hint="eastAsia"/>
        </w:rPr>
        <w:t>2.建立全面覆盖的风险辨识分级管控体系</w:t>
      </w:r>
    </w:p>
    <w:p w14:paraId="59A22E60">
      <w:pPr>
        <w:ind w:firstLine="640"/>
        <w:rPr>
          <w:rFonts w:hint="eastAsia"/>
        </w:rPr>
      </w:pPr>
      <w:r>
        <w:rPr>
          <w:rFonts w:hint="eastAsia"/>
        </w:rPr>
        <w:t>（1）组织相关部门、班组、岗位人员进行危险源辨识、分析，建立全员、全过程、全区域安全风险辨识清单。</w:t>
      </w:r>
    </w:p>
    <w:p w14:paraId="410B0F68">
      <w:pPr>
        <w:ind w:firstLine="640"/>
        <w:rPr>
          <w:rFonts w:hint="eastAsia"/>
        </w:rPr>
      </w:pPr>
      <w:r>
        <w:rPr>
          <w:rFonts w:hint="eastAsia"/>
        </w:rPr>
        <w:t>（2）依据《企业安全生产风险隐患双重预防体系建设规范》及企业生产实际开展风险评估，确定风险等级。</w:t>
      </w:r>
    </w:p>
    <w:p w14:paraId="3719326E">
      <w:pPr>
        <w:ind w:firstLine="640"/>
        <w:rPr>
          <w:rFonts w:hint="eastAsia"/>
        </w:rPr>
      </w:pPr>
      <w:r>
        <w:rPr>
          <w:rFonts w:hint="eastAsia"/>
        </w:rPr>
        <w:t>（3）根据风险分级管控原则，合理确定各等级风险管控层级。</w:t>
      </w:r>
    </w:p>
    <w:p w14:paraId="5A4011CE">
      <w:pPr>
        <w:ind w:firstLine="640"/>
        <w:rPr>
          <w:rFonts w:hint="eastAsia"/>
        </w:rPr>
      </w:pPr>
      <w:r>
        <w:rPr>
          <w:rFonts w:hint="eastAsia"/>
        </w:rPr>
        <w:t>（4）从工程技术、管理制度、培训教育、个体防护、应急处置等方面，针对安全风险辨识清单，提出风险控制措施，形成全面的安全风险分级管控责任清单。</w:t>
      </w:r>
    </w:p>
    <w:p w14:paraId="694B77A7">
      <w:pPr>
        <w:ind w:firstLine="640"/>
        <w:rPr>
          <w:rFonts w:hint="eastAsia"/>
        </w:rPr>
      </w:pPr>
      <w:r>
        <w:rPr>
          <w:rFonts w:hint="eastAsia"/>
        </w:rPr>
        <w:t>（5）安全风险分级管控责任清单由企业组织相关部门、岗位人员按程序评审，由企业主要负责人审核公布。</w:t>
      </w:r>
    </w:p>
    <w:p w14:paraId="7B1DC114">
      <w:pPr>
        <w:ind w:firstLine="640"/>
        <w:rPr>
          <w:rFonts w:hint="eastAsia"/>
        </w:rPr>
      </w:pPr>
      <w:r>
        <w:rPr>
          <w:rFonts w:hint="eastAsia"/>
        </w:rPr>
        <w:t>（6）编制安全风险图（包括风险分布图和作业安全风险比较图），存在重大风险的工作场所和岗位，设置明显警示标志。</w:t>
      </w:r>
    </w:p>
    <w:p w14:paraId="062AF192">
      <w:pPr>
        <w:ind w:firstLine="640"/>
        <w:rPr>
          <w:rFonts w:hint="eastAsia"/>
        </w:rPr>
      </w:pPr>
      <w:r>
        <w:rPr>
          <w:rFonts w:hint="eastAsia"/>
        </w:rPr>
        <w:t>（7）发放《岗位风险管控应知应会卡》《岗位事故应急处置卡》，告知员工及相关方主要风险和处置措施等相关内容。</w:t>
      </w:r>
    </w:p>
    <w:p w14:paraId="0BBBA15B">
      <w:pPr>
        <w:ind w:firstLine="640"/>
        <w:rPr>
          <w:rFonts w:hint="eastAsia"/>
        </w:rPr>
      </w:pPr>
      <w:r>
        <w:rPr>
          <w:rFonts w:hint="eastAsia"/>
        </w:rPr>
        <w:t>3.建立责任明确的隐患排查治理体系</w:t>
      </w:r>
    </w:p>
    <w:p w14:paraId="4BBB8C32">
      <w:pPr>
        <w:ind w:firstLine="640"/>
        <w:rPr>
          <w:rFonts w:hint="eastAsia"/>
        </w:rPr>
      </w:pPr>
      <w:r>
        <w:rPr>
          <w:rFonts w:hint="eastAsia"/>
        </w:rPr>
        <w:t>（1）依据风险管控措施清单和法律法规、标准规范、操作规程，编制符合企业实际的隐患排查清单。隐患排查清单内容包括：排查内容、排查标准、排查方法、排查周期、排查责任等。</w:t>
      </w:r>
    </w:p>
    <w:p w14:paraId="2B600D4C">
      <w:pPr>
        <w:ind w:firstLine="640"/>
        <w:rPr>
          <w:rFonts w:hint="eastAsia"/>
        </w:rPr>
      </w:pPr>
      <w:r>
        <w:rPr>
          <w:rFonts w:hint="eastAsia"/>
        </w:rPr>
        <w:t>（2）制定全年隐患排查计划，明确各类隐患排查组织级别、排查时间、排查要求、排查范围、排查人员等。</w:t>
      </w:r>
    </w:p>
    <w:p w14:paraId="07D185D4">
      <w:pPr>
        <w:ind w:firstLine="640"/>
        <w:rPr>
          <w:rFonts w:hint="eastAsia"/>
        </w:rPr>
      </w:pPr>
      <w:r>
        <w:rPr>
          <w:rFonts w:hint="eastAsia"/>
        </w:rPr>
        <w:t>（3）按照排查计划，分级组织隐患排查，及时、准确填写排查记录。</w:t>
      </w:r>
    </w:p>
    <w:p w14:paraId="06D1CB18">
      <w:pPr>
        <w:ind w:firstLine="640"/>
        <w:rPr>
          <w:rFonts w:hint="eastAsia"/>
        </w:rPr>
      </w:pPr>
      <w:r>
        <w:rPr>
          <w:rFonts w:hint="eastAsia"/>
        </w:rPr>
        <w:t>（4）建立动态的隐患排查、治理、验收、销号台账，全面记录隐患排查治理信息，实现闭环管理。</w:t>
      </w:r>
    </w:p>
    <w:p w14:paraId="6E71513F">
      <w:pPr>
        <w:ind w:firstLine="640"/>
        <w:rPr>
          <w:rFonts w:hint="eastAsia"/>
        </w:rPr>
      </w:pPr>
      <w:r>
        <w:rPr>
          <w:rFonts w:hint="eastAsia"/>
        </w:rPr>
        <w:t>4.建立智能化信息平台</w:t>
      </w:r>
    </w:p>
    <w:p w14:paraId="7E5B5B34">
      <w:pPr>
        <w:ind w:firstLine="640"/>
        <w:rPr>
          <w:rFonts w:hint="eastAsia"/>
        </w:rPr>
      </w:pPr>
      <w:r>
        <w:rPr>
          <w:rFonts w:hint="eastAsia"/>
        </w:rPr>
        <w:t>（1）建立双重预防体系信息化管理系统。企业基本信息、双重预防体系组织机构、管理制度、风险隐患数据库、分析评价记录、隐患排查治理记录、清单和隐患排查治理台账等信息完整，准确。</w:t>
      </w:r>
    </w:p>
    <w:p w14:paraId="4655155E">
      <w:pPr>
        <w:ind w:firstLine="640"/>
        <w:rPr>
          <w:rFonts w:hint="eastAsia"/>
        </w:rPr>
      </w:pPr>
      <w:r>
        <w:rPr>
          <w:rFonts w:hint="eastAsia"/>
        </w:rPr>
        <w:t>（2）企业信息化管理系统具有PC端和手机APP信息交互方式，实现全天候动态和全员参与隐患上报功能。</w:t>
      </w:r>
    </w:p>
    <w:p w14:paraId="10B38D3C">
      <w:pPr>
        <w:ind w:firstLine="640"/>
        <w:rPr>
          <w:rFonts w:hint="eastAsia"/>
        </w:rPr>
      </w:pPr>
      <w:r>
        <w:rPr>
          <w:rFonts w:hint="eastAsia"/>
        </w:rPr>
        <w:t>（3）信息化管理系统实现对重大风险隐患的动态管理和对各级责任人和管理人员的即时预警。</w:t>
      </w:r>
    </w:p>
    <w:p w14:paraId="64681D94">
      <w:pPr>
        <w:ind w:firstLine="640"/>
        <w:rPr>
          <w:rFonts w:hint="eastAsia"/>
        </w:rPr>
      </w:pPr>
      <w:r>
        <w:rPr>
          <w:rFonts w:hint="eastAsia"/>
        </w:rPr>
        <w:t>（4）企业双重预防体系信息化平台与相关监管部门信息平台对接，每月向负有安全生产监督管理职责的部门报告重大风险和重大隐患。</w:t>
      </w:r>
    </w:p>
    <w:p w14:paraId="7900348E">
      <w:pPr>
        <w:ind w:firstLine="640"/>
        <w:rPr>
          <w:rFonts w:hint="eastAsia"/>
        </w:rPr>
      </w:pPr>
      <w:r>
        <w:rPr>
          <w:rFonts w:hint="eastAsia"/>
        </w:rPr>
        <w:t>（5）按照有关规定向省应急管理厅和园区智能管控平台上传企业双重预防体系数据信息。</w:t>
      </w:r>
    </w:p>
    <w:p w14:paraId="2DECF073">
      <w:pPr>
        <w:pStyle w:val="4"/>
        <w:ind w:firstLine="643"/>
        <w:rPr>
          <w:rFonts w:hint="eastAsia"/>
        </w:rPr>
      </w:pPr>
      <w:r>
        <w:rPr>
          <w:rFonts w:hint="eastAsia"/>
        </w:rPr>
        <w:t>（四）企业危险与可操作性分析（HAZOP）、保护层分析（LOPA）、SIS评估制度</w:t>
      </w:r>
    </w:p>
    <w:p w14:paraId="3765EAD1">
      <w:pPr>
        <w:ind w:firstLine="640"/>
        <w:rPr>
          <w:rFonts w:hint="eastAsia"/>
        </w:rPr>
      </w:pPr>
      <w:r>
        <w:rPr>
          <w:rFonts w:hint="eastAsia"/>
        </w:rPr>
        <w:t>1.根据《国家安全监管总局住房城乡建设部关于进一步加强危险化学品建设项目安全设计管理的通知》（安监总管三〔2013〕76号），“涉及“两重点一重大”和首次工业化设计的建设项目，必须在基础设计阶段开展HAZOP分析。”</w:t>
      </w:r>
    </w:p>
    <w:p w14:paraId="6B6FD5B9">
      <w:pPr>
        <w:ind w:firstLine="640"/>
        <w:rPr>
          <w:rFonts w:hint="eastAsia"/>
        </w:rPr>
      </w:pPr>
      <w:r>
        <w:rPr>
          <w:rFonts w:hint="eastAsia"/>
        </w:rPr>
        <w:t>2.根据《安全监管总局关于加强化工过程安全管理的指导意见》（安监总管三〔2013〕88号），对涉及重点监管危险化学品、重点监管危险化工工艺和危险化学品重大危险源（以下统称“两重点一重大”）的生产储存装置进行风险辨识分析，要采用危险与可操作性分析（HAZOP）技术，一般每3年进行一次。企业管理机构、人员构成、生产装置等发生重大变化或发生生产安全事故时，要及时进行风险辨识分析。企业要组织所有人员参与风险辨识分析，力求风险辨识分析全覆盖。</w:t>
      </w:r>
    </w:p>
    <w:p w14:paraId="2B8C2100">
      <w:pPr>
        <w:ind w:firstLine="640"/>
        <w:rPr>
          <w:rFonts w:hint="eastAsia"/>
        </w:rPr>
      </w:pPr>
      <w:r>
        <w:rPr>
          <w:rFonts w:hint="eastAsia"/>
        </w:rPr>
        <w:t>3.在进行HAZOP分析时，执行《危险与可操作性分析（HAZOP分析）应用导则》（AQ/T3049-2013）和保护层分析（LOPA）方法应用导则（AQ/T3054-2015）。</w:t>
      </w:r>
    </w:p>
    <w:p w14:paraId="64FC8580">
      <w:pPr>
        <w:ind w:firstLine="640"/>
      </w:pPr>
      <w:r>
        <w:rPr>
          <w:rFonts w:hint="eastAsia"/>
        </w:rPr>
        <w:t>4.根据《国家安全监管总局关于加强化工安全仪表系统管理的指导意见》（安监总管三〔2014〕116号）第十四条，涉及“两重点一重大”在役生产装置或设施的化工企业和危险化学品储存单位，要在全面开展过程危险分析（如危险与可操作性分析）基础上，通过风险分析确定安全仪表功能及其风险降低要求，并尽快评估现有安全仪表功能是否满足风险降低要求。企业应按《安全仪表功能（SIF）安全完整性等级（SIL）验证导则》及时编制SIL验证报告。</w:t>
      </w:r>
    </w:p>
    <w:p w14:paraId="62390634">
      <w:pPr>
        <w:pStyle w:val="4"/>
        <w:ind w:firstLine="643"/>
      </w:pPr>
      <w:r>
        <w:rPr>
          <w:rFonts w:hint="eastAsia"/>
        </w:rPr>
        <w:t>（五）企业过程安全管理制度</w:t>
      </w:r>
    </w:p>
    <w:p w14:paraId="721B2C68">
      <w:pPr>
        <w:ind w:firstLine="640"/>
        <w:rPr>
          <w:rFonts w:hint="eastAsia"/>
        </w:rPr>
      </w:pPr>
      <w:r>
        <w:rPr>
          <w:rFonts w:hint="eastAsia"/>
        </w:rPr>
        <w:t>化工过程安全管理是通过对化学品生产、</w:t>
      </w:r>
      <w:r>
        <w:t>储存、使用、处置、操作等活动过程涉及的工艺、设备、仪表、电气等系统进行管理和技术控制</w:t>
      </w:r>
      <w:r>
        <w:rPr>
          <w:rFonts w:hint="eastAsia"/>
        </w:rPr>
        <w:t>，</w:t>
      </w:r>
      <w:r>
        <w:t>从根本上管控风险、消除隐患</w:t>
      </w:r>
      <w:r>
        <w:rPr>
          <w:rFonts w:hint="eastAsia"/>
        </w:rPr>
        <w:t>，</w:t>
      </w:r>
      <w:r>
        <w:t>预防化学品泄漏或能量意外释放造成的安全事故</w:t>
      </w:r>
      <w:r>
        <w:rPr>
          <w:rFonts w:hint="eastAsia"/>
        </w:rPr>
        <w:t>。园区内化工企业应按照《化工过程安全管理导则》AQ/T3034-2022的要求建立并完善化工过程安全管理体系。</w:t>
      </w:r>
    </w:p>
    <w:p w14:paraId="21BC55A9">
      <w:pPr>
        <w:ind w:firstLine="640"/>
      </w:pPr>
      <w:r>
        <w:rPr>
          <w:rFonts w:hint="eastAsia"/>
        </w:rPr>
        <w:t>由化工园区办协助区应急管理局对园区化工企业的化工过程安全管理（包括但不限于风险管理、装置安全规划和设计、装置首次开车安全、设备完好性管理、变更管理、事故事件管理等）进行指导和监管企业，企业试生产、开车、停车需向化工园区办和区应急管理局备案。</w:t>
      </w:r>
    </w:p>
    <w:p w14:paraId="25448D60">
      <w:pPr>
        <w:ind w:firstLine="640"/>
        <w:rPr>
          <w:rFonts w:hint="eastAsia"/>
        </w:rPr>
      </w:pPr>
    </w:p>
    <w:p w14:paraId="446EE86C">
      <w:pPr>
        <w:pStyle w:val="3"/>
        <w:ind w:firstLine="640"/>
        <w:jc w:val="left"/>
        <w:rPr>
          <w:rFonts w:ascii="黑体" w:hAnsi="黑体" w:eastAsia="黑体"/>
          <w:b w:val="0"/>
          <w:bCs/>
          <w:sz w:val="32"/>
          <w:szCs w:val="21"/>
        </w:rPr>
      </w:pPr>
      <w:bookmarkStart w:id="56" w:name="_Toc29804"/>
      <w:r>
        <w:rPr>
          <w:rFonts w:hint="eastAsia" w:ascii="黑体" w:hAnsi="黑体" w:eastAsia="黑体"/>
          <w:b w:val="0"/>
          <w:bCs/>
          <w:sz w:val="32"/>
          <w:szCs w:val="21"/>
        </w:rPr>
        <w:t>二十</w:t>
      </w:r>
      <w:r>
        <w:rPr>
          <w:rFonts w:hint="eastAsia" w:ascii="黑体" w:hAnsi="黑体" w:eastAsia="黑体"/>
          <w:b w:val="0"/>
          <w:bCs/>
          <w:sz w:val="32"/>
          <w:szCs w:val="21"/>
          <w:lang w:val="en-US" w:eastAsia="zh-CN"/>
        </w:rPr>
        <w:t>七</w:t>
      </w:r>
      <w:r>
        <w:rPr>
          <w:rFonts w:hint="eastAsia" w:ascii="黑体" w:hAnsi="黑体" w:eastAsia="黑体"/>
          <w:b w:val="0"/>
          <w:bCs/>
          <w:sz w:val="32"/>
          <w:szCs w:val="21"/>
        </w:rPr>
        <w:t>、企业承包商管理制度</w:t>
      </w:r>
      <w:bookmarkEnd w:id="56"/>
    </w:p>
    <w:p w14:paraId="31C99684">
      <w:pPr>
        <w:ind w:firstLine="640"/>
        <w:rPr>
          <w:rFonts w:hint="eastAsia"/>
        </w:rPr>
      </w:pPr>
      <w:r>
        <w:rPr>
          <w:rFonts w:hint="eastAsia"/>
        </w:rPr>
        <w:t>园区内企业需将企业承包商信息向园区办安全管理部室报备，定期对承包商安全业绩进行考核评价，并将考核评价结果报送至应急办公室。企业承包商严格实施“五双管、五到位”管理</w:t>
      </w:r>
    </w:p>
    <w:p w14:paraId="02229ED4">
      <w:pPr>
        <w:pStyle w:val="4"/>
        <w:ind w:firstLine="643"/>
        <w:rPr>
          <w:rFonts w:hint="eastAsia"/>
        </w:rPr>
      </w:pPr>
      <w:r>
        <w:rPr>
          <w:rFonts w:hint="eastAsia"/>
        </w:rPr>
        <w:t>（一）五双管主要内容</w:t>
      </w:r>
    </w:p>
    <w:p w14:paraId="39657A0D">
      <w:pPr>
        <w:ind w:firstLine="640"/>
        <w:rPr>
          <w:rFonts w:hint="eastAsia"/>
        </w:rPr>
      </w:pPr>
      <w:r>
        <w:rPr>
          <w:rFonts w:hint="eastAsia"/>
        </w:rPr>
        <w:t>1.制度程序双制定</w:t>
      </w:r>
    </w:p>
    <w:p w14:paraId="4F6CC159">
      <w:pPr>
        <w:ind w:firstLine="640"/>
        <w:rPr>
          <w:rFonts w:hint="eastAsia"/>
        </w:rPr>
      </w:pPr>
      <w:r>
        <w:rPr>
          <w:rFonts w:hint="eastAsia"/>
        </w:rPr>
        <w:t>企业应建立健全承包商安全管理制度，明确承包商管理的主管部门及职责，以及承包商管控程序、选择、安全生产管理协议、入厂（场）管理、开工准备、作业安全、考核、评估、续用、合格承包商名录和档案等，全程监管承包商在企业的活动，对承包商安全工作统一协调、管理。</w:t>
      </w:r>
    </w:p>
    <w:p w14:paraId="4044A04D">
      <w:pPr>
        <w:ind w:firstLine="640"/>
        <w:rPr>
          <w:rFonts w:hint="eastAsia"/>
        </w:rPr>
      </w:pPr>
      <w:r>
        <w:rPr>
          <w:rFonts w:hint="eastAsia"/>
        </w:rPr>
        <w:t>承包商需建立健全项目施工期间安全生产责任体系，完善安全生产管理基本制度，设置安全生产管理机构，明确项目负责人、安全管理人员，并制定和实施作业程序、安全许可、安全操作规程，进行全过程安全监管，承包商制定的安全管理制度，应当符合国家和省市有关法律、法规、规章、标准和规范性文件的要求。</w:t>
      </w:r>
    </w:p>
    <w:p w14:paraId="2422F4E2">
      <w:pPr>
        <w:ind w:firstLine="640"/>
        <w:rPr>
          <w:rFonts w:hint="eastAsia"/>
        </w:rPr>
      </w:pPr>
      <w:r>
        <w:rPr>
          <w:rFonts w:hint="eastAsia"/>
        </w:rPr>
        <w:t>2.资格审查双把关</w:t>
      </w:r>
    </w:p>
    <w:p w14:paraId="08F29192">
      <w:pPr>
        <w:ind w:firstLine="640"/>
        <w:rPr>
          <w:rFonts w:hint="eastAsia"/>
        </w:rPr>
      </w:pPr>
      <w:r>
        <w:rPr>
          <w:rFonts w:hint="eastAsia"/>
        </w:rPr>
        <w:t>企业应当制定承包商准入条件，严格审查承包商的施工资质和安全资质。审查内容主要包括：承包商的营业执照、 资质类别及等级、安全生产许可证；组织架构及项目施工现行的规章制度；主要负责人、项目负责人和安全管理员等人员的安全生产考核合格证书；特种作业人员和特种设备作业人员持证情况；员工培训情况；安全业绩情况；工伤保险、意外伤害保险、安全生产责任险缴纳情况等。</w:t>
      </w:r>
    </w:p>
    <w:p w14:paraId="3C107DD5">
      <w:pPr>
        <w:ind w:firstLine="640"/>
        <w:rPr>
          <w:rFonts w:hint="eastAsia"/>
        </w:rPr>
      </w:pPr>
      <w:r>
        <w:rPr>
          <w:rFonts w:hint="eastAsia"/>
        </w:rPr>
        <w:t>承包商应确保单位资质真实有效，要对自身的员工个人资质进行严格审查，项目负责人、安全管理人员、特种作业人员等要依法取得相应合格证书，并建立相关人员台账，严禁持假证、过期证或无证者进入企业厂区作业。</w:t>
      </w:r>
    </w:p>
    <w:p w14:paraId="6DDA8B8A">
      <w:pPr>
        <w:ind w:firstLine="640"/>
        <w:rPr>
          <w:rFonts w:hint="eastAsia"/>
        </w:rPr>
      </w:pPr>
      <w:r>
        <w:rPr>
          <w:rFonts w:hint="eastAsia"/>
        </w:rPr>
        <w:t>3.安全培训双考核</w:t>
      </w:r>
    </w:p>
    <w:p w14:paraId="32D9783B">
      <w:pPr>
        <w:ind w:firstLine="640"/>
        <w:rPr>
          <w:rFonts w:hint="eastAsia"/>
        </w:rPr>
      </w:pPr>
      <w:r>
        <w:rPr>
          <w:rFonts w:hint="eastAsia"/>
        </w:rPr>
        <w:t>企业安全培训。企业要规范承包商安全教育培训，应当对承包商人员进行入厂安全教育及作业现场安全培训，并考核合格，建立安全培训台账。入厂安全教育应至少包括以下内容：企业安全规章制度；作业区域情况；作业现场的危险、有害因素；作业现场的安全和应急处置要求；作业许可管理要求；承包商典型事故案例；车辆安全管理规定；门禁和保卫要求；法律法规要求的其他内容。作业现场安全培训，应当结合安全技术措施交底进行。培训教育措施包括：作业现场区域安全风险情况、施工作业前专项安全培训和安全技术措施交底等。企业落实承包商安全教育培训，一定要注重培训实效，保证作业人员具备必要的安全生产知识，熟悉公司有关的安全生产规章制度和安全操作规程，掌握作业区域本岗位的安全操作技能。培训内容要适合不同工种、不同岗位的特点要求。要加强安全教育监督与考核，考核不合格的人员，严禁进入现场施工作业。</w:t>
      </w:r>
    </w:p>
    <w:p w14:paraId="2BD09424">
      <w:pPr>
        <w:ind w:firstLine="640"/>
        <w:rPr>
          <w:rFonts w:hint="eastAsia"/>
        </w:rPr>
      </w:pPr>
      <w:r>
        <w:rPr>
          <w:rFonts w:hint="eastAsia"/>
        </w:rPr>
        <w:t>承包商自主安全培训。承包商应在入厂（场）前对其所有从业人员开展自主安全培训，并向企业提供入厂（场）作业人员的安全培训及考核合格书面材料；在作业过程中严格落实“晨会”制度，并与企业一起把安全技术措施交好底。承包商存在人员变更、作业工艺和设备变更、作业方案变更、作业环境变化的，应对作业人员进行相应的安全培训，经考核合格后方可上岗作业，并报企业备案。</w:t>
      </w:r>
    </w:p>
    <w:p w14:paraId="63374F5F">
      <w:pPr>
        <w:ind w:firstLine="640"/>
        <w:rPr>
          <w:rFonts w:hint="eastAsia"/>
        </w:rPr>
      </w:pPr>
      <w:r>
        <w:rPr>
          <w:rFonts w:hint="eastAsia"/>
        </w:rPr>
        <w:t>4.作业现场双管控</w:t>
      </w:r>
    </w:p>
    <w:p w14:paraId="07213334">
      <w:pPr>
        <w:ind w:firstLine="640"/>
        <w:rPr>
          <w:rFonts w:hint="eastAsia"/>
        </w:rPr>
      </w:pPr>
      <w:r>
        <w:rPr>
          <w:rFonts w:hint="eastAsia"/>
        </w:rPr>
        <w:t>企业应当安排监护人对检维修作业和特殊作业进行全程监护；对其他作业，根据作业危险程度进行全程监护或者重要时段、关键环节监护。企业在作业现场原则上实行封闭管理，人员和车辆进出现场必须持有效证件；无法做到封闭化管理的，应设置警示带，划定警戒区，安排专人现场管理，禁止无关人员和车辆随意进出。要求承包商作业人员进入生产区施工作业，只能在规定的作业区域进行作业活动，未经许可不得擅自进入其他区域和场所，不得擅动与作业活动无关的设备设施。推广应用人员智能定位、视频监控、人脸识别等智能化管控技术，对作业人员进行有效管控。企业现场管理人员要定期进行安全检查，发现安全隐患问题的，要及时督促整改。危及人员生命安全的，在隐患整改到位前不得施工。企业发现承包商作业人员不满足安全要求时，应立即中止作业，采取更换人员或再培训等措施。作业过程中监护人不得离开作业现场，确需离开作业现场时，应收回安全作业票，中止作业。承包商作业活动内容、地点等发生变化时，应履行企业变更管理程序，修改安全生产管理协议和施工方案，经企业审核批准后方可实施。</w:t>
      </w:r>
    </w:p>
    <w:p w14:paraId="15EA6CE3">
      <w:pPr>
        <w:ind w:firstLine="640"/>
        <w:rPr>
          <w:rFonts w:hint="eastAsia"/>
        </w:rPr>
      </w:pPr>
      <w:r>
        <w:rPr>
          <w:rFonts w:hint="eastAsia"/>
        </w:rPr>
        <w:t>承包商应服从企业的安全监管，加强对自身从业人员的管控，指定专职安全生产管理人员开展安全检查，协调相关工作，安排监护人与企业监护人共同监护。明确现场负责人，安排安全管理人员现场指导施工，督促施工人员按规定穿戴劳动防护用品，正确使用工器具，遵守操作规程，并按施工方案施工。在施工作业过程中，承包商要结合各个环节的风险和危害识别情况，并采取安全控制措施，确保施工安全。</w:t>
      </w:r>
    </w:p>
    <w:p w14:paraId="520EB9A2">
      <w:pPr>
        <w:ind w:firstLine="640"/>
        <w:rPr>
          <w:rFonts w:hint="eastAsia"/>
        </w:rPr>
      </w:pPr>
      <w:r>
        <w:rPr>
          <w:rFonts w:hint="eastAsia"/>
        </w:rPr>
        <w:t>5.隐患排查双开展</w:t>
      </w:r>
    </w:p>
    <w:p w14:paraId="34B4C68F">
      <w:pPr>
        <w:ind w:firstLine="640"/>
        <w:rPr>
          <w:rFonts w:hint="eastAsia"/>
        </w:rPr>
      </w:pPr>
      <w:r>
        <w:rPr>
          <w:rFonts w:hint="eastAsia"/>
        </w:rPr>
        <w:t>施工作业前，企业应核查承包商主要负责人、项目负责人、安全管理人员、现场作业人员等是否与审查通过的人员相一致。企业现场安全生产管理人员不定期开展安全隐患大排查，企业要将外包作业现场列入周、月安全隐患排查对象，负责人要亲自带队进行安全检查，对排查出来的事故隐患和安全问题，督促承包单位立即进行整改，及时消除安全隐患，防止外包施工项目人员伤亡事故发生。</w:t>
      </w:r>
    </w:p>
    <w:p w14:paraId="6C6672F6">
      <w:pPr>
        <w:ind w:firstLine="640"/>
        <w:rPr>
          <w:rFonts w:hint="eastAsia"/>
        </w:rPr>
      </w:pPr>
      <w:r>
        <w:rPr>
          <w:rFonts w:hint="eastAsia"/>
        </w:rPr>
        <w:t>承包商安全管理人员要在作业现场认真开展安全检查，重点检查现场入口处、起重机械、临时用电设施、脚手架、出入通道口、楼梯口、基坑边沿等危险部位，爆破物、有毒有害气体和液体储存等场所是否存在安全隐患，检查安全警示标志是否设置到位、劳动防护用品是否正确穿戴、是否按照操作规程进行操作，杜绝“三违”行为发生。在发现事故隐患后应当立即整改，不能立即整改的应当采取必要的安全防范措施，并及时书面报告企业协商解决，共同消除事故隐患。</w:t>
      </w:r>
    </w:p>
    <w:p w14:paraId="789C1AE5">
      <w:pPr>
        <w:pStyle w:val="4"/>
        <w:ind w:firstLine="643"/>
        <w:rPr>
          <w:rFonts w:hint="eastAsia"/>
        </w:rPr>
      </w:pPr>
      <w:r>
        <w:rPr>
          <w:rFonts w:hint="eastAsia"/>
        </w:rPr>
        <w:t>（二）五到位主要内容</w:t>
      </w:r>
    </w:p>
    <w:p w14:paraId="6AEA1EB8">
      <w:pPr>
        <w:ind w:firstLine="640"/>
        <w:rPr>
          <w:rFonts w:hint="eastAsia"/>
        </w:rPr>
      </w:pPr>
      <w:r>
        <w:rPr>
          <w:rFonts w:hint="eastAsia"/>
        </w:rPr>
        <w:t>1.安全生产管理协议签订到位</w:t>
      </w:r>
    </w:p>
    <w:p w14:paraId="218BCF01">
      <w:pPr>
        <w:ind w:firstLine="640"/>
        <w:rPr>
          <w:rFonts w:hint="eastAsia"/>
        </w:rPr>
      </w:pPr>
      <w:r>
        <w:rPr>
          <w:rFonts w:hint="eastAsia"/>
        </w:rPr>
        <w:t>企业与承包单位在签订项目承包合同时，应同时签订安全生产管理协议，明确双方安全管理范围与责任。安全生产管理协议的内容至少包括：企业安全规章制度告知、双方的工作范围、安全责任划分、安全管理规定、安全措施要求、安全教育培训、应急处置、安全生产检查、终止施工特殊条款、考核规定等。</w:t>
      </w:r>
    </w:p>
    <w:p w14:paraId="658F5F72">
      <w:pPr>
        <w:ind w:firstLine="640"/>
        <w:rPr>
          <w:rFonts w:hint="eastAsia"/>
        </w:rPr>
      </w:pPr>
      <w:r>
        <w:rPr>
          <w:rFonts w:hint="eastAsia"/>
        </w:rPr>
        <w:t>同一作业区域有两个或两个以上承包商进行作业活动的，企业应负责组织承包商之间签订安全生产管理协议，明确各自的安全职责和应采取的安全措施，各承包商应指定专职安全生产管理人员开展安全检查，协调相关工作。</w:t>
      </w:r>
    </w:p>
    <w:p w14:paraId="25980E64">
      <w:pPr>
        <w:ind w:firstLine="640"/>
        <w:rPr>
          <w:rFonts w:hint="eastAsia"/>
        </w:rPr>
      </w:pPr>
      <w:r>
        <w:rPr>
          <w:rFonts w:hint="eastAsia"/>
        </w:rPr>
        <w:t>2.施工方案作业规程编制到位</w:t>
      </w:r>
    </w:p>
    <w:p w14:paraId="3C6AA354">
      <w:pPr>
        <w:ind w:firstLine="640"/>
        <w:rPr>
          <w:rFonts w:hint="eastAsia"/>
        </w:rPr>
      </w:pPr>
      <w:r>
        <w:rPr>
          <w:rFonts w:hint="eastAsia"/>
        </w:rPr>
        <w:t>承包商应编制安全作业规程、施工方案，要明确具体作业组织、方案、安全风险和应急措施等。企业应组织工程、技术、安全等专业技术人员，对承包商制定的安全作业规程、施工方案进行审查。审查合格后方可进场施工。企业无技术力量进行审查的，可以聘请相关专家或委托第三方专业机构进行审查。</w:t>
      </w:r>
    </w:p>
    <w:p w14:paraId="7FD5993C">
      <w:pPr>
        <w:ind w:firstLine="640"/>
        <w:rPr>
          <w:rFonts w:hint="eastAsia"/>
        </w:rPr>
      </w:pPr>
      <w:r>
        <w:rPr>
          <w:rFonts w:hint="eastAsia"/>
        </w:rPr>
        <w:t>3.风险分析技术措施交底到位</w:t>
      </w:r>
    </w:p>
    <w:p w14:paraId="43CE9DBF">
      <w:pPr>
        <w:ind w:firstLine="640"/>
        <w:rPr>
          <w:rFonts w:hint="eastAsia"/>
        </w:rPr>
      </w:pPr>
      <w:r>
        <w:rPr>
          <w:rFonts w:hint="eastAsia"/>
        </w:rPr>
        <w:t>企业应当组织承包商，根据作业活动情况选择适用的辨识分析方法，对作业现场和作业过程中可能存在的危险有害因素进行辨识，认真开展作业前的危害分析。作业现场和作业过程中可能存在的危险有害因素包括：人的因素、物的因素、环境因素、管理因素，参照《生产过程危险和有害因素分类与代码》（GB/T13861）进行辨识。作业活动的风险分析内容包括作业所涉及的危险物质及能量、作业环境、作业范围、作业方式、作业工器具、作业人员等方面。当工艺条件、作业条件、作业方式或作业环境等发生改变时，应重新进行风险分析。</w:t>
      </w:r>
    </w:p>
    <w:p w14:paraId="448896CD">
      <w:pPr>
        <w:ind w:firstLine="640"/>
        <w:rPr>
          <w:rFonts w:hint="eastAsia"/>
        </w:rPr>
      </w:pPr>
      <w:r>
        <w:rPr>
          <w:rFonts w:hint="eastAsia"/>
        </w:rPr>
        <w:t>危险化学品企业的承包商作业，大多涉及动火、受限空间、临时用电、吊装、高处、盲板抽堵等危险作业，容易引发物体打击、机械伤害、起重伤害、触电、淹溺、灼烫、高处坠落、坍塌、火灾、爆炸、中毒和窒息等事故，必须全面准确辨识分析，不得遗漏、误判和有偏差。</w:t>
      </w:r>
    </w:p>
    <w:p w14:paraId="538055BF">
      <w:pPr>
        <w:ind w:firstLine="640"/>
        <w:rPr>
          <w:rFonts w:hint="eastAsia"/>
        </w:rPr>
      </w:pPr>
      <w:r>
        <w:rPr>
          <w:rFonts w:hint="eastAsia"/>
        </w:rPr>
        <w:t>企业应对承包商现场作业人员进行安全措施交底，内容至少包括：作业过程中可能存在的泄漏、火灾、爆炸、中毒窒息、触电、坠落、物体打击和机械伤害等方面的危险有害因素、安全措施与应急措施；作业过程中可能出现影响人身、环境安全的异常工况等场景时，及时终止作业、撤离人员的要求；作业票证管理、临时用电、厂内机动车管理等特殊要求；涉及断路、动土作业时，应对作业现场的地下隐蔽工程进行交底；装置退料、吹扫、能量隔离措施等；组织作业人员了解和熟悉现场环境，核实安全措施的可靠性，熟悉应急救援器材的位置及分布。</w:t>
      </w:r>
    </w:p>
    <w:p w14:paraId="3EB723CA">
      <w:pPr>
        <w:ind w:firstLine="640"/>
        <w:rPr>
          <w:rFonts w:hint="eastAsia"/>
        </w:rPr>
      </w:pPr>
      <w:r>
        <w:rPr>
          <w:rFonts w:hint="eastAsia"/>
        </w:rPr>
        <w:t>4.危险作业安全许可审批到位</w:t>
      </w:r>
    </w:p>
    <w:p w14:paraId="7A102CFB">
      <w:pPr>
        <w:ind w:firstLine="640"/>
        <w:rPr>
          <w:rFonts w:hint="eastAsia"/>
        </w:rPr>
      </w:pPr>
      <w:r>
        <w:rPr>
          <w:rFonts w:hint="eastAsia"/>
        </w:rPr>
        <w:t>企业要严格执行特殊作业审批制度，尤其是动火、受限空间、临时用电和高处作业等特殊作业，必须按照国家规定进行分级管理、分级审批。凡在涉及使用、储存或可能产生易燃易爆危险化学品装置设施、区域场所内的动火等特殊作业，要组织专题研究安全防范措施，并按规定全部升级管理。作业前，要根据工艺技术、生产操作、设施设备和物料介质特点，全面开展危险有害因素识别和风险分析，严格落实管控措施。在极端高温、雷雨、冰雪天气条件下，原则上不安排动火、吊装等特殊作业。</w:t>
      </w:r>
    </w:p>
    <w:p w14:paraId="5C4013F7">
      <w:pPr>
        <w:ind w:firstLine="640"/>
        <w:rPr>
          <w:rFonts w:hint="eastAsia"/>
        </w:rPr>
      </w:pPr>
      <w:r>
        <w:rPr>
          <w:rFonts w:hint="eastAsia"/>
        </w:rPr>
        <w:t>承包商应严格执行企业作业许可管理，涉及动火、受限空间作业等特殊作业的，应满足《危险化学品企业特殊作业安全规范》（GB30871）有关规定，提前向企业提出书面申请，未经企业审批严禁特殊作业。特殊作业期间视频监控应实现全过程覆盖。</w:t>
      </w:r>
    </w:p>
    <w:p w14:paraId="6327BDB7">
      <w:pPr>
        <w:ind w:firstLine="640"/>
        <w:rPr>
          <w:rFonts w:hint="eastAsia"/>
        </w:rPr>
      </w:pPr>
      <w:r>
        <w:rPr>
          <w:rFonts w:hint="eastAsia"/>
        </w:rPr>
        <w:t>5.处置方案设备器材准备到位</w:t>
      </w:r>
    </w:p>
    <w:p w14:paraId="54FEE325">
      <w:pPr>
        <w:ind w:firstLine="640"/>
        <w:rPr>
          <w:rFonts w:hint="eastAsia"/>
        </w:rPr>
      </w:pPr>
      <w:r>
        <w:rPr>
          <w:rFonts w:hint="eastAsia"/>
        </w:rPr>
        <w:t>企业要与承包商共同制定相应的应急预案或现场应急处置方案，当发生突发事件时能够及时应急处理，尽快控制事态，保证人身安全，减少损失，恢复正常施工秩序。要严格控制检维修作业现场的人员数量，禁止无关人员进入检维修区域，不得随意变更作业地点或进入危险场所休息。作业现场要配齐配足应急救援器材和相关设备工具，确保通信和照明设施、劳动防护用品、应急救援器材满足安全要求，确保配备的设备、仪器和工具符合国家标准规定。</w:t>
      </w:r>
    </w:p>
    <w:p w14:paraId="435682B6">
      <w:pPr>
        <w:ind w:firstLine="723"/>
        <w:rPr>
          <w:rFonts w:ascii="Times New Roman" w:hAnsi="Times New Roman" w:eastAsia="黑体"/>
          <w:b/>
          <w:sz w:val="36"/>
          <w:szCs w:val="36"/>
        </w:rPr>
        <w:sectPr>
          <w:pgSz w:w="11906" w:h="16838"/>
          <w:pgMar w:top="2098" w:right="1531" w:bottom="1984" w:left="1531" w:header="851" w:footer="1417" w:gutter="0"/>
          <w:cols w:space="720" w:num="1"/>
          <w:docGrid w:type="lines" w:linePitch="439" w:charSpace="0"/>
        </w:sectPr>
      </w:pPr>
    </w:p>
    <w:p w14:paraId="4C5521E2">
      <w:pPr>
        <w:pStyle w:val="2"/>
        <w:rPr>
          <w:rFonts w:ascii="Times New Roman" w:hAnsi="Times New Roman"/>
        </w:rPr>
      </w:pPr>
      <w:bookmarkStart w:id="57" w:name="_Toc1956"/>
      <w:r>
        <w:rPr>
          <w:rFonts w:ascii="Times New Roman" w:hAnsi="Times New Roman"/>
        </w:rPr>
        <w:t>第十</w:t>
      </w:r>
      <w:r>
        <w:rPr>
          <w:rFonts w:hint="eastAsia" w:ascii="Times New Roman" w:hAnsi="Times New Roman"/>
        </w:rPr>
        <w:t>一</w:t>
      </w:r>
      <w:r>
        <w:rPr>
          <w:rFonts w:ascii="Times New Roman" w:hAnsi="Times New Roman"/>
        </w:rPr>
        <w:t>章</w:t>
      </w:r>
      <w:r>
        <w:rPr>
          <w:rFonts w:hint="eastAsia" w:ascii="Times New Roman" w:hAnsi="Times New Roman"/>
          <w:lang w:val="en-US" w:eastAsia="zh-CN"/>
        </w:rPr>
        <w:t xml:space="preserve"> </w:t>
      </w:r>
      <w:r>
        <w:rPr>
          <w:rFonts w:ascii="Times New Roman" w:hAnsi="Times New Roman"/>
        </w:rPr>
        <w:t xml:space="preserve"> 承包商准入</w:t>
      </w:r>
      <w:r>
        <w:rPr>
          <w:rFonts w:hint="eastAsia" w:ascii="Times New Roman" w:hAnsi="Times New Roman"/>
        </w:rPr>
        <w:t>、退出</w:t>
      </w:r>
      <w:r>
        <w:rPr>
          <w:rFonts w:ascii="Times New Roman" w:hAnsi="Times New Roman"/>
        </w:rPr>
        <w:t>和黑名单管理</w:t>
      </w:r>
      <w:bookmarkEnd w:id="53"/>
      <w:bookmarkEnd w:id="57"/>
    </w:p>
    <w:p w14:paraId="573956A1">
      <w:pPr>
        <w:ind w:firstLine="640"/>
        <w:rPr>
          <w:rFonts w:ascii="Times New Roman" w:hAnsi="Times New Roman"/>
        </w:rPr>
      </w:pPr>
    </w:p>
    <w:p w14:paraId="641CDA65">
      <w:pPr>
        <w:pStyle w:val="3"/>
        <w:ind w:firstLine="640"/>
        <w:jc w:val="left"/>
        <w:rPr>
          <w:rFonts w:ascii="黑体" w:hAnsi="黑体" w:eastAsia="黑体"/>
          <w:b w:val="0"/>
          <w:bCs/>
          <w:sz w:val="32"/>
          <w:szCs w:val="21"/>
        </w:rPr>
      </w:pPr>
      <w:bookmarkStart w:id="58" w:name="_Toc10207"/>
      <w:bookmarkStart w:id="59" w:name="_Toc2897"/>
      <w:r>
        <w:rPr>
          <w:rFonts w:hint="eastAsia" w:ascii="黑体" w:hAnsi="黑体" w:eastAsia="黑体"/>
          <w:b w:val="0"/>
          <w:bCs/>
          <w:sz w:val="32"/>
          <w:szCs w:val="21"/>
        </w:rPr>
        <w:t>二十</w:t>
      </w:r>
      <w:r>
        <w:rPr>
          <w:rFonts w:hint="eastAsia" w:ascii="黑体" w:hAnsi="黑体" w:eastAsia="黑体"/>
          <w:b w:val="0"/>
          <w:bCs/>
          <w:sz w:val="32"/>
          <w:szCs w:val="21"/>
          <w:lang w:val="en-US" w:eastAsia="zh-CN"/>
        </w:rPr>
        <w:t>八</w:t>
      </w:r>
      <w:r>
        <w:rPr>
          <w:rFonts w:ascii="黑体" w:hAnsi="黑体" w:eastAsia="黑体"/>
          <w:b w:val="0"/>
          <w:bCs/>
          <w:sz w:val="32"/>
          <w:szCs w:val="21"/>
        </w:rPr>
        <w:t>、</w:t>
      </w:r>
      <w:bookmarkEnd w:id="58"/>
      <w:r>
        <w:rPr>
          <w:rFonts w:hint="eastAsia" w:ascii="黑体" w:hAnsi="黑体" w:eastAsia="黑体"/>
          <w:b w:val="0"/>
          <w:bCs/>
          <w:sz w:val="32"/>
          <w:szCs w:val="21"/>
        </w:rPr>
        <w:t>承包商准入和退出管理制度</w:t>
      </w:r>
      <w:bookmarkEnd w:id="59"/>
    </w:p>
    <w:p w14:paraId="226C17F1">
      <w:pPr>
        <w:ind w:firstLine="640"/>
        <w:rPr>
          <w:rFonts w:ascii="Times New Roman" w:hAnsi="Times New Roman"/>
        </w:rPr>
      </w:pPr>
      <w:r>
        <w:rPr>
          <w:rFonts w:hint="eastAsia"/>
        </w:rPr>
        <w:t>为深入贯彻落实中办、国办《关于全面加强危险化学品安全生产工作的意见》和国务院安委会《全国安全生产专项整治三年行动计划》等文件要求，为规范</w:t>
      </w:r>
      <w:r>
        <w:rPr>
          <w:rFonts w:hint="eastAsia"/>
          <w:lang w:val="en-US" w:eastAsia="zh-CN"/>
        </w:rPr>
        <w:t>随州市青春</w:t>
      </w:r>
      <w:r>
        <w:rPr>
          <w:rFonts w:hint="eastAsia"/>
        </w:rPr>
        <w:t>化工园区（以下简称园区）承包商的准入和退出流程，防止和减少安全生产事故，依据《中华人民共和国安全生产法》《湖北省安全生产条例》《企业信息公示暂行条例》等法律法规，结合园区实际，特制定本制度。</w:t>
      </w:r>
    </w:p>
    <w:p w14:paraId="6CB47CC3">
      <w:pPr>
        <w:pStyle w:val="4"/>
        <w:ind w:firstLine="643"/>
      </w:pPr>
      <w:r>
        <w:rPr>
          <w:rFonts w:hint="eastAsia"/>
        </w:rPr>
        <w:t>（一）目的</w:t>
      </w:r>
    </w:p>
    <w:p w14:paraId="594BF89F">
      <w:pPr>
        <w:ind w:firstLine="640"/>
      </w:pPr>
      <w:r>
        <w:rPr>
          <w:rFonts w:hint="eastAsia"/>
        </w:rPr>
        <w:t>为规范青春化工园区（以下简称园区）承包商的准入、退出管理，保障化工园区安全发展，特制定本制度。</w:t>
      </w:r>
    </w:p>
    <w:p w14:paraId="3FB8B963">
      <w:pPr>
        <w:pStyle w:val="4"/>
        <w:ind w:firstLine="643"/>
      </w:pPr>
      <w:r>
        <w:rPr>
          <w:rFonts w:hint="eastAsia"/>
        </w:rPr>
        <w:t>（二）范围</w:t>
      </w:r>
    </w:p>
    <w:p w14:paraId="604895C6">
      <w:pPr>
        <w:ind w:firstLine="640"/>
        <w:rPr>
          <w:rFonts w:hint="eastAsia"/>
        </w:rPr>
      </w:pPr>
      <w:r>
        <w:rPr>
          <w:rFonts w:hint="eastAsia"/>
        </w:rPr>
        <w:t>本规定适用于与园区存在承包关系的管理全过程，企业与其承包商的管理按企业内部管理制度执行，但应接受园区相关部门的监督检查。本制度所称承包商是指涉及外来人员在园区范围内实施施工作业的单位、第三方技术服务机构等。</w:t>
      </w:r>
    </w:p>
    <w:p w14:paraId="73AF4B9E">
      <w:pPr>
        <w:pStyle w:val="4"/>
        <w:ind w:firstLine="643"/>
      </w:pPr>
      <w:r>
        <w:rPr>
          <w:rFonts w:hint="eastAsia"/>
        </w:rPr>
        <w:t>（三）管理责任</w:t>
      </w:r>
    </w:p>
    <w:p w14:paraId="3F39C4BB">
      <w:pPr>
        <w:ind w:firstLine="640"/>
        <w:rPr>
          <w:rFonts w:hint="eastAsia"/>
        </w:rPr>
      </w:pPr>
      <w:r>
        <w:rPr>
          <w:rFonts w:hint="eastAsia"/>
        </w:rPr>
        <w:t>1.青春化工园区办是本制度的监管部门，负责组织本制度的编制与修订，并对本制度的执行提供辅导和审核。</w:t>
      </w:r>
    </w:p>
    <w:p w14:paraId="46714E42">
      <w:pPr>
        <w:ind w:firstLine="640"/>
      </w:pPr>
      <w:r>
        <w:rPr>
          <w:rFonts w:hint="eastAsia"/>
        </w:rPr>
        <w:t>2.承包商使用单位负责对承包商进行资质审查，对承包商的合法性、</w:t>
      </w:r>
      <w:r>
        <w:t>适应性、可靠性、技术资质水平和安全保证条件进行审查和确认，必要时可进行施工现场实地考察和业绩调查，收集承包商的安全生产相关文件、资质证明、营业执照、人力技术物资保障和业绩等，并组织审核。负责编制招标所需相关文件。</w:t>
      </w:r>
    </w:p>
    <w:p w14:paraId="38112058">
      <w:pPr>
        <w:ind w:firstLine="640"/>
      </w:pPr>
      <w:r>
        <w:rPr>
          <w:rFonts w:hint="eastAsia"/>
        </w:rPr>
        <w:t>3.承包商使用单位对承包商劳动防护用品配备、公司资质、人员资质、培训及保险等情况进行审查。</w:t>
      </w:r>
    </w:p>
    <w:p w14:paraId="5A28E98A">
      <w:pPr>
        <w:ind w:firstLine="640"/>
      </w:pPr>
      <w:r>
        <w:rPr>
          <w:rFonts w:hint="eastAsia"/>
        </w:rPr>
        <w:t>4.承包商使用单位应对各自管辖范围内的承包商进行考核，并及时将考核结果报送安全环保中心。</w:t>
      </w:r>
    </w:p>
    <w:p w14:paraId="169FE275">
      <w:pPr>
        <w:ind w:firstLine="640"/>
      </w:pPr>
      <w:r>
        <w:rPr>
          <w:rFonts w:hint="eastAsia"/>
        </w:rPr>
        <w:t>5.入园承包商考核周期原则上为一年至少一次，服务周期不足一年的，在项目完成后、结算前给予评估。。</w:t>
      </w:r>
    </w:p>
    <w:p w14:paraId="0F74D1CD">
      <w:pPr>
        <w:ind w:firstLine="640"/>
      </w:pPr>
      <w:r>
        <w:rPr>
          <w:rFonts w:hint="eastAsia"/>
        </w:rPr>
        <w:t>6.化工园区办负责建立承包商台账并及时更新。</w:t>
      </w:r>
    </w:p>
    <w:p w14:paraId="5EBCFE77">
      <w:pPr>
        <w:pStyle w:val="4"/>
        <w:ind w:firstLine="643"/>
        <w:rPr>
          <w:rFonts w:hAnsi="Times New Roman"/>
          <w:szCs w:val="32"/>
        </w:rPr>
      </w:pPr>
      <w:r>
        <w:rPr>
          <w:rFonts w:hint="eastAsia"/>
        </w:rPr>
        <w:t>（四）承包商的准入</w:t>
      </w:r>
    </w:p>
    <w:p w14:paraId="1FCBCA77">
      <w:pPr>
        <w:ind w:firstLine="640"/>
        <w:rPr>
          <w:rFonts w:hint="eastAsia" w:ascii="Times New Roman"/>
        </w:rPr>
      </w:pPr>
      <w:r>
        <w:rPr>
          <w:rFonts w:hint="eastAsia"/>
        </w:rPr>
        <w:t>1</w:t>
      </w:r>
      <w:r>
        <w:t>.</w:t>
      </w:r>
      <w:r>
        <w:rPr>
          <w:rFonts w:hint="eastAsia"/>
        </w:rPr>
        <w:t>承包商使用单位通过公开招标方式遴选合格承包商和供应商，</w:t>
      </w:r>
      <w:r>
        <w:t>被各级行业主管部门和园区列入</w:t>
      </w:r>
      <w:r>
        <w:rPr>
          <w:rFonts w:hint="eastAsia"/>
        </w:rPr>
        <w:t>“</w:t>
      </w:r>
      <w:r>
        <w:t>黑名单</w:t>
      </w:r>
      <w:r>
        <w:rPr>
          <w:rFonts w:hint="eastAsia"/>
        </w:rPr>
        <w:t>”</w:t>
      </w:r>
      <w:r>
        <w:t>的承包商严禁选择，以保证提供服务的安全和质量。</w:t>
      </w:r>
    </w:p>
    <w:p w14:paraId="4B6455B9">
      <w:pPr>
        <w:ind w:firstLine="640"/>
      </w:pPr>
      <w:r>
        <w:rPr>
          <w:rFonts w:hint="eastAsia"/>
        </w:rPr>
        <w:t>2</w:t>
      </w:r>
      <w:r>
        <w:t>.在选择承包商之前，下列因素应被考虑：</w:t>
      </w:r>
    </w:p>
    <w:p w14:paraId="4D1DD440">
      <w:pPr>
        <w:ind w:firstLine="640"/>
      </w:pPr>
      <w:r>
        <w:rPr>
          <w:rFonts w:hint="eastAsia"/>
        </w:rPr>
        <w:t>（</w:t>
      </w:r>
      <w:r>
        <w:t>1</w:t>
      </w:r>
      <w:r>
        <w:rPr>
          <w:rFonts w:hint="eastAsia"/>
        </w:rPr>
        <w:t>）</w:t>
      </w:r>
      <w:r>
        <w:t>安全生产管理程序；</w:t>
      </w:r>
    </w:p>
    <w:p w14:paraId="285536E2">
      <w:pPr>
        <w:ind w:firstLine="640"/>
      </w:pPr>
      <w:r>
        <w:rPr>
          <w:rFonts w:hint="eastAsia"/>
        </w:rPr>
        <w:t>（2）</w:t>
      </w:r>
      <w:r>
        <w:t>与安全生产有关的引用和诉讼，劳动纠纷；</w:t>
      </w:r>
    </w:p>
    <w:p w14:paraId="2AF1147B">
      <w:pPr>
        <w:ind w:firstLine="640"/>
      </w:pPr>
      <w:r>
        <w:rPr>
          <w:rFonts w:hint="eastAsia"/>
        </w:rPr>
        <w:t>（3）</w:t>
      </w:r>
      <w:r>
        <w:t>承包商的投标能否满足招标书的强制性要求；</w:t>
      </w:r>
    </w:p>
    <w:p w14:paraId="517D475B">
      <w:pPr>
        <w:ind w:firstLine="640"/>
      </w:pPr>
      <w:r>
        <w:rPr>
          <w:rFonts w:hint="eastAsia"/>
        </w:rPr>
        <w:t>（4）</w:t>
      </w:r>
      <w:r>
        <w:t>承包商资质、能力和工机具保障。</w:t>
      </w:r>
    </w:p>
    <w:p w14:paraId="5432E690">
      <w:pPr>
        <w:ind w:firstLine="640"/>
      </w:pPr>
      <w:r>
        <w:rPr>
          <w:rFonts w:hint="eastAsia"/>
        </w:rPr>
        <w:t>3</w:t>
      </w:r>
      <w:r>
        <w:t>.承包商</w:t>
      </w:r>
      <w:r>
        <w:rPr>
          <w:rFonts w:hint="eastAsia"/>
        </w:rPr>
        <w:t>使用单位</w:t>
      </w:r>
      <w:r>
        <w:t>对承包商资质和安全生产管理状况进行</w:t>
      </w:r>
      <w:r>
        <w:rPr>
          <w:rFonts w:hint="eastAsia"/>
        </w:rPr>
        <w:t>审查</w:t>
      </w:r>
      <w:r>
        <w:t>，承包商</w:t>
      </w:r>
      <w:r>
        <w:rPr>
          <w:rFonts w:hint="eastAsia"/>
        </w:rPr>
        <w:t>（施工单位）</w:t>
      </w:r>
      <w:r>
        <w:t>资质审查的材料和证件有：</w:t>
      </w:r>
    </w:p>
    <w:p w14:paraId="39A67719">
      <w:pPr>
        <w:ind w:firstLine="640"/>
      </w:pPr>
      <w:r>
        <w:rPr>
          <w:rFonts w:hint="eastAsia"/>
        </w:rPr>
        <w:t>（</w:t>
      </w:r>
      <w:r>
        <w:t>1</w:t>
      </w:r>
      <w:r>
        <w:rPr>
          <w:rFonts w:hint="eastAsia"/>
        </w:rPr>
        <w:t>）</w:t>
      </w:r>
      <w:r>
        <w:t>营业执照；</w:t>
      </w:r>
    </w:p>
    <w:p w14:paraId="7201D5E4">
      <w:pPr>
        <w:ind w:firstLine="640"/>
      </w:pPr>
      <w:r>
        <w:rPr>
          <w:rFonts w:hint="eastAsia"/>
        </w:rPr>
        <w:t>（</w:t>
      </w:r>
      <w:r>
        <w:t>2</w:t>
      </w:r>
      <w:r>
        <w:rPr>
          <w:rFonts w:hint="eastAsia"/>
        </w:rPr>
        <w:t>）</w:t>
      </w:r>
      <w:r>
        <w:t>安全生产许可证；</w:t>
      </w:r>
    </w:p>
    <w:p w14:paraId="118E258F">
      <w:pPr>
        <w:ind w:firstLine="640"/>
      </w:pPr>
      <w:r>
        <w:rPr>
          <w:rFonts w:hint="eastAsia"/>
        </w:rPr>
        <w:t>（</w:t>
      </w:r>
      <w:r>
        <w:t>3</w:t>
      </w:r>
      <w:r>
        <w:rPr>
          <w:rFonts w:hint="eastAsia"/>
        </w:rPr>
        <w:t>）</w:t>
      </w:r>
      <w:r>
        <w:t>承包商资质等级证书；</w:t>
      </w:r>
    </w:p>
    <w:p w14:paraId="5A1D062A">
      <w:pPr>
        <w:ind w:firstLine="640"/>
      </w:pPr>
      <w:r>
        <w:rPr>
          <w:rFonts w:hint="eastAsia"/>
        </w:rPr>
        <w:t>（</w:t>
      </w:r>
      <w:r>
        <w:t>4</w:t>
      </w:r>
      <w:r>
        <w:rPr>
          <w:rFonts w:hint="eastAsia"/>
        </w:rPr>
        <w:t>）</w:t>
      </w:r>
      <w:r>
        <w:t>个人意外保险证明；</w:t>
      </w:r>
    </w:p>
    <w:p w14:paraId="7380177D">
      <w:pPr>
        <w:ind w:firstLine="640"/>
      </w:pPr>
      <w:r>
        <w:rPr>
          <w:rFonts w:hint="eastAsia"/>
        </w:rPr>
        <w:t>（</w:t>
      </w:r>
      <w:r>
        <w:t>5</w:t>
      </w:r>
      <w:r>
        <w:rPr>
          <w:rFonts w:hint="eastAsia"/>
        </w:rPr>
        <w:t>）</w:t>
      </w:r>
      <w:r>
        <w:t>承包商内部培训证明；</w:t>
      </w:r>
    </w:p>
    <w:p w14:paraId="58B9BB83">
      <w:pPr>
        <w:ind w:firstLine="640"/>
      </w:pPr>
      <w:r>
        <w:rPr>
          <w:rFonts w:hint="eastAsia"/>
        </w:rPr>
        <w:t>（</w:t>
      </w:r>
      <w:r>
        <w:t>6</w:t>
      </w:r>
      <w:r>
        <w:rPr>
          <w:rFonts w:hint="eastAsia"/>
        </w:rPr>
        <w:t>）</w:t>
      </w:r>
      <w:r>
        <w:t>特种作业证（电工证、焊工证、架子工证、仪表工证、起重工证等）；</w:t>
      </w:r>
    </w:p>
    <w:p w14:paraId="389070E3">
      <w:pPr>
        <w:ind w:firstLine="640"/>
      </w:pPr>
      <w:r>
        <w:rPr>
          <w:rFonts w:hint="eastAsia"/>
        </w:rPr>
        <w:t>（</w:t>
      </w:r>
      <w:r>
        <w:t>7</w:t>
      </w:r>
      <w:r>
        <w:rPr>
          <w:rFonts w:hint="eastAsia"/>
        </w:rPr>
        <w:t>）</w:t>
      </w:r>
      <w:r>
        <w:t>近三年内良好的安全业绩证明；</w:t>
      </w:r>
    </w:p>
    <w:p w14:paraId="456CFF3A">
      <w:pPr>
        <w:ind w:firstLine="640"/>
      </w:pPr>
      <w:r>
        <w:rPr>
          <w:rFonts w:hint="eastAsia"/>
        </w:rPr>
        <w:t>（</w:t>
      </w:r>
      <w:r>
        <w:t>8</w:t>
      </w:r>
      <w:r>
        <w:rPr>
          <w:rFonts w:hint="eastAsia"/>
        </w:rPr>
        <w:t>）</w:t>
      </w:r>
      <w:r>
        <w:t>特种设备设施具有合格证书；</w:t>
      </w:r>
    </w:p>
    <w:p w14:paraId="5E6D6B7B">
      <w:pPr>
        <w:ind w:firstLine="640"/>
      </w:pPr>
      <w:r>
        <w:rPr>
          <w:rFonts w:hint="eastAsia"/>
        </w:rPr>
        <w:t>（</w:t>
      </w:r>
      <w:r>
        <w:t>9</w:t>
      </w:r>
      <w:r>
        <w:rPr>
          <w:rFonts w:hint="eastAsia"/>
        </w:rPr>
        <w:t>）</w:t>
      </w:r>
      <w:r>
        <w:t>人员配置：项目经理、安全员、技术员（具有符合法规的从业资格证书及相应的安全资格证书）。</w:t>
      </w:r>
    </w:p>
    <w:p w14:paraId="606705C4">
      <w:pPr>
        <w:ind w:firstLine="640"/>
      </w:pPr>
      <w:r>
        <w:t>4</w:t>
      </w:r>
      <w:r>
        <w:rPr>
          <w:rFonts w:hint="eastAsia"/>
        </w:rPr>
        <w:t>.第三方</w:t>
      </w:r>
      <w:r>
        <w:t>技术服务机构</w:t>
      </w:r>
      <w:r>
        <w:rPr>
          <w:rFonts w:hint="eastAsia"/>
        </w:rPr>
        <w:t>使用单位</w:t>
      </w:r>
      <w:r>
        <w:t>对</w:t>
      </w:r>
      <w:r>
        <w:rPr>
          <w:rFonts w:hint="eastAsia"/>
        </w:rPr>
        <w:t>其</w:t>
      </w:r>
      <w:r>
        <w:t>资质和</w:t>
      </w:r>
      <w:r>
        <w:rPr>
          <w:rFonts w:hint="eastAsia"/>
        </w:rPr>
        <w:t>人员</w:t>
      </w:r>
      <w:r>
        <w:t>进行</w:t>
      </w:r>
      <w:r>
        <w:rPr>
          <w:rFonts w:hint="eastAsia"/>
        </w:rPr>
        <w:t>审查</w:t>
      </w:r>
      <w:r>
        <w:t>，</w:t>
      </w:r>
      <w:r>
        <w:rPr>
          <w:rFonts w:hint="eastAsia"/>
        </w:rPr>
        <w:t>第三方</w:t>
      </w:r>
      <w:r>
        <w:t>技术服务机构资质审查的材料和证件有：</w:t>
      </w:r>
    </w:p>
    <w:p w14:paraId="056FC300">
      <w:pPr>
        <w:ind w:firstLine="640"/>
      </w:pPr>
      <w:r>
        <w:rPr>
          <w:rFonts w:hint="eastAsia"/>
        </w:rPr>
        <w:t>（1）营业执照；</w:t>
      </w:r>
    </w:p>
    <w:p w14:paraId="6CD76C40">
      <w:pPr>
        <w:ind w:firstLine="640"/>
      </w:pPr>
      <w:r>
        <w:rPr>
          <w:rFonts w:hint="eastAsia"/>
        </w:rPr>
        <w:t>（2）资质证书；</w:t>
      </w:r>
    </w:p>
    <w:p w14:paraId="68527AE4">
      <w:pPr>
        <w:ind w:firstLine="640"/>
      </w:pPr>
      <w:r>
        <w:rPr>
          <w:rFonts w:hint="eastAsia"/>
        </w:rPr>
        <w:t>（</w:t>
      </w:r>
      <w:r>
        <w:t>3</w:t>
      </w:r>
      <w:r>
        <w:rPr>
          <w:rFonts w:hint="eastAsia"/>
        </w:rPr>
        <w:t>）其他需要提供的资料。</w:t>
      </w:r>
    </w:p>
    <w:p w14:paraId="168701AB">
      <w:pPr>
        <w:ind w:firstLine="640"/>
        <w:rPr>
          <w:rFonts w:hint="eastAsia" w:ascii="Times New Roman"/>
        </w:rPr>
      </w:pPr>
      <w:r>
        <w:t>5.承包商</w:t>
      </w:r>
      <w:r>
        <w:rPr>
          <w:rFonts w:hint="eastAsia"/>
        </w:rPr>
        <w:t>使用单位</w:t>
      </w:r>
      <w:r>
        <w:t>准备的招标文件应当包括必须达到的工作标准及安全标准。安全生产专业人员应参与到承包招标文件的准备工作，帮助确定任务相关安全要求。</w:t>
      </w:r>
    </w:p>
    <w:p w14:paraId="74D5A38D">
      <w:pPr>
        <w:ind w:firstLine="640"/>
      </w:pPr>
      <w:r>
        <w:t>6.承包商</w:t>
      </w:r>
      <w:r>
        <w:rPr>
          <w:rFonts w:hint="eastAsia"/>
        </w:rPr>
        <w:t>使用单位</w:t>
      </w:r>
      <w:r>
        <w:t>根据招标文件及投标评审结果与承包单位签订专门的安全生产管理协议，或者在承包合同、租赁合同中约定各自的安全生产管理职责。</w:t>
      </w:r>
    </w:p>
    <w:p w14:paraId="1EAC0010">
      <w:pPr>
        <w:pStyle w:val="4"/>
        <w:ind w:firstLine="643"/>
        <w:rPr>
          <w:rFonts w:hAnsi="Times New Roman"/>
          <w:szCs w:val="32"/>
        </w:rPr>
      </w:pPr>
      <w:r>
        <w:rPr>
          <w:rFonts w:hint="eastAsia"/>
        </w:rPr>
        <w:t>（五）承包商退出</w:t>
      </w:r>
    </w:p>
    <w:p w14:paraId="25202F06">
      <w:pPr>
        <w:ind w:firstLine="640"/>
        <w:rPr>
          <w:rFonts w:hint="eastAsia" w:ascii="Times New Roman"/>
        </w:rPr>
      </w:pPr>
      <w:r>
        <w:t>发生下述情况的施工企业将直接退出</w:t>
      </w:r>
      <w:r>
        <w:rPr>
          <w:rFonts w:hint="eastAsia"/>
        </w:rPr>
        <w:t>：</w:t>
      </w:r>
    </w:p>
    <w:p w14:paraId="13B2B7C4">
      <w:pPr>
        <w:ind w:firstLine="640"/>
      </w:pPr>
      <w:r>
        <w:rPr>
          <w:rFonts w:hint="eastAsia"/>
        </w:rPr>
        <w:t>1.与建设单位或企业相互串标、围标，或者以行贿等不正当手段谋取中标的；</w:t>
      </w:r>
    </w:p>
    <w:p w14:paraId="30CAAFF8">
      <w:pPr>
        <w:ind w:firstLine="640"/>
        <w:rPr>
          <w:rFonts w:hint="eastAsia"/>
        </w:rPr>
      </w:pPr>
      <w:r>
        <w:t>2</w:t>
      </w:r>
      <w:r>
        <w:rPr>
          <w:rFonts w:hint="eastAsia"/>
        </w:rPr>
        <w:t>.超越核定的企业资质等级承接业务的；</w:t>
      </w:r>
    </w:p>
    <w:p w14:paraId="095A5714">
      <w:pPr>
        <w:ind w:firstLine="640"/>
        <w:rPr>
          <w:rFonts w:hint="eastAsia"/>
        </w:rPr>
      </w:pPr>
      <w:r>
        <w:rPr>
          <w:rFonts w:hint="eastAsia"/>
        </w:rPr>
        <w:t>3.严重违反国家工程建设性标准且拒不整改的；</w:t>
      </w:r>
    </w:p>
    <w:p w14:paraId="4C27F0DA">
      <w:pPr>
        <w:ind w:firstLine="640"/>
        <w:rPr>
          <w:rFonts w:hint="eastAsia"/>
        </w:rPr>
      </w:pPr>
      <w:r>
        <w:rPr>
          <w:rFonts w:hint="eastAsia"/>
        </w:rPr>
        <w:t>4.施工过程中发生质量、施工安全事故对社会造成恶劣影响的；</w:t>
      </w:r>
    </w:p>
    <w:p w14:paraId="41BFAFE6">
      <w:pPr>
        <w:ind w:firstLine="640"/>
        <w:rPr>
          <w:rFonts w:hint="eastAsia"/>
        </w:rPr>
      </w:pPr>
      <w:r>
        <w:rPr>
          <w:rFonts w:hint="eastAsia"/>
        </w:rPr>
        <w:t>5.隐瞒、不报、谎报工程安全事故并破坏事故现场阻碍对事故调查的；</w:t>
      </w:r>
    </w:p>
    <w:p w14:paraId="59F05E65">
      <w:pPr>
        <w:ind w:firstLine="640"/>
        <w:rPr>
          <w:rFonts w:hint="eastAsia"/>
        </w:rPr>
      </w:pPr>
      <w:r>
        <w:rPr>
          <w:rFonts w:hint="eastAsia"/>
        </w:rPr>
        <w:t>6.按照国家规定需要持证上岗的作业人员未经培训考核，未取得证书上岗且拒不整改的；</w:t>
      </w:r>
    </w:p>
    <w:p w14:paraId="374C5167">
      <w:pPr>
        <w:ind w:firstLine="640"/>
        <w:rPr>
          <w:rFonts w:hint="eastAsia"/>
        </w:rPr>
      </w:pPr>
      <w:r>
        <w:rPr>
          <w:rFonts w:hint="eastAsia"/>
        </w:rPr>
        <w:t>7.阻挠、拒绝建设行政主管部门对工程进行检查的；</w:t>
      </w:r>
    </w:p>
    <w:p w14:paraId="5DEAC0F0">
      <w:pPr>
        <w:ind w:firstLine="640"/>
        <w:rPr>
          <w:rFonts w:hint="eastAsia"/>
        </w:rPr>
      </w:pPr>
      <w:r>
        <w:rPr>
          <w:rFonts w:hint="eastAsia"/>
        </w:rPr>
        <w:t>8.对工程不派驻项目经理，不进行质量、安全、进度管理且拒不整改的；</w:t>
      </w:r>
    </w:p>
    <w:p w14:paraId="1ACA1A59">
      <w:pPr>
        <w:ind w:firstLine="640"/>
        <w:rPr>
          <w:rFonts w:hint="eastAsia"/>
        </w:rPr>
      </w:pPr>
      <w:r>
        <w:rPr>
          <w:rFonts w:hint="eastAsia"/>
        </w:rPr>
        <w:t>9.未按相关要求制定作业施工方案、安全管理方案及应急预案且拒不整改的；</w:t>
      </w:r>
    </w:p>
    <w:p w14:paraId="1AFADB80">
      <w:pPr>
        <w:ind w:firstLine="640"/>
        <w:rPr>
          <w:rFonts w:hint="eastAsia"/>
        </w:rPr>
      </w:pPr>
      <w:r>
        <w:t>1</w:t>
      </w:r>
      <w:r>
        <w:rPr>
          <w:rFonts w:hint="eastAsia"/>
        </w:rPr>
        <w:t>0.未按要求设置专职安全管理人员的；</w:t>
      </w:r>
    </w:p>
    <w:p w14:paraId="7BD49685">
      <w:pPr>
        <w:ind w:firstLine="640"/>
        <w:rPr>
          <w:rFonts w:hint="eastAsia" w:ascii="Times New Roman"/>
        </w:rPr>
      </w:pPr>
      <w:r>
        <w:t>1</w:t>
      </w:r>
      <w:r>
        <w:rPr>
          <w:rFonts w:hint="eastAsia"/>
        </w:rPr>
        <w:t>1.未按规定为施工、作业人员配备劳动防护用品且拒不整改的；</w:t>
      </w:r>
    </w:p>
    <w:p w14:paraId="1D7F7E77">
      <w:pPr>
        <w:ind w:firstLine="640"/>
      </w:pPr>
      <w:r>
        <w:rPr>
          <w:rFonts w:hint="eastAsia"/>
        </w:rPr>
        <w:t>12.未</w:t>
      </w:r>
      <w:r>
        <w:t>兑现农民工工资的；</w:t>
      </w:r>
    </w:p>
    <w:p w14:paraId="7189D905">
      <w:pPr>
        <w:ind w:firstLine="640"/>
        <w:rPr>
          <w:rFonts w:hint="eastAsia" w:ascii="Times New Roman"/>
        </w:rPr>
      </w:pPr>
      <w:r>
        <w:t>1</w:t>
      </w:r>
      <w:r>
        <w:rPr>
          <w:rFonts w:hint="eastAsia"/>
        </w:rPr>
        <w:t>3.其他违反法律法规的行为。</w:t>
      </w:r>
    </w:p>
    <w:p w14:paraId="1BC99744">
      <w:pPr>
        <w:ind w:firstLine="640"/>
      </w:pPr>
      <w:r>
        <w:t>违反下述情况的</w:t>
      </w:r>
      <w:r>
        <w:rPr>
          <w:rFonts w:hint="eastAsia"/>
        </w:rPr>
        <w:t>第三方</w:t>
      </w:r>
      <w:r>
        <w:t>技术服务机构将直接退出</w:t>
      </w:r>
      <w:r>
        <w:rPr>
          <w:rFonts w:hint="eastAsia"/>
        </w:rPr>
        <w:t>：</w:t>
      </w:r>
    </w:p>
    <w:p w14:paraId="71719D86">
      <w:pPr>
        <w:spacing w:line="590" w:lineRule="exact"/>
        <w:ind w:firstLine="643"/>
        <w:rPr>
          <w:b/>
          <w:bCs/>
        </w:rPr>
      </w:pPr>
      <w:r>
        <w:rPr>
          <w:rFonts w:hint="eastAsia"/>
          <w:b/>
          <w:bCs/>
        </w:rPr>
        <w:t>1.人员配备</w:t>
      </w:r>
    </w:p>
    <w:p w14:paraId="6E06AB1D">
      <w:pPr>
        <w:ind w:firstLine="640"/>
        <w:rPr>
          <w:rFonts w:hint="eastAsia"/>
        </w:rPr>
      </w:pPr>
      <w:r>
        <w:rPr>
          <w:rFonts w:hint="eastAsia"/>
        </w:rPr>
        <w:t>（1）人员配备数量：项目组人员数量满足合同规定要求；</w:t>
      </w:r>
    </w:p>
    <w:p w14:paraId="0C0F4988">
      <w:pPr>
        <w:ind w:firstLine="640"/>
        <w:rPr>
          <w:rFonts w:hint="eastAsia"/>
        </w:rPr>
      </w:pPr>
      <w:r>
        <w:rPr>
          <w:rFonts w:hint="eastAsia"/>
        </w:rPr>
        <w:t>（2）人员能力：项目组人员专业结构 、业务能力符合项目要求；</w:t>
      </w:r>
    </w:p>
    <w:p w14:paraId="2122E416">
      <w:pPr>
        <w:spacing w:line="590" w:lineRule="exact"/>
        <w:ind w:firstLine="643"/>
        <w:rPr>
          <w:rFonts w:hint="eastAsia"/>
          <w:b/>
          <w:bCs/>
        </w:rPr>
      </w:pPr>
      <w:r>
        <w:rPr>
          <w:rFonts w:hint="eastAsia"/>
          <w:b/>
          <w:bCs/>
        </w:rPr>
        <w:t>2.项目规范管理</w:t>
      </w:r>
    </w:p>
    <w:p w14:paraId="15D521FE">
      <w:pPr>
        <w:ind w:firstLine="640"/>
        <w:rPr>
          <w:rFonts w:hint="eastAsia"/>
        </w:rPr>
      </w:pPr>
      <w:r>
        <w:rPr>
          <w:rFonts w:hint="eastAsia"/>
        </w:rPr>
        <w:t>（1）管理能力：项目组人员工作时间、工作流程安排合理；</w:t>
      </w:r>
    </w:p>
    <w:p w14:paraId="12051F9B">
      <w:pPr>
        <w:ind w:firstLine="640"/>
        <w:rPr>
          <w:rFonts w:hint="eastAsia"/>
        </w:rPr>
      </w:pPr>
      <w:r>
        <w:rPr>
          <w:rFonts w:hint="eastAsia"/>
        </w:rPr>
        <w:t>（2）响应能力：能及时响应服务对象的需求；</w:t>
      </w:r>
    </w:p>
    <w:p w14:paraId="748B43B0">
      <w:pPr>
        <w:ind w:firstLine="640"/>
        <w:rPr>
          <w:rFonts w:hint="eastAsia"/>
        </w:rPr>
      </w:pPr>
      <w:r>
        <w:rPr>
          <w:rFonts w:hint="eastAsia"/>
        </w:rPr>
        <w:t>（3）保密义务：有保密要求的项目能履行保密义务；</w:t>
      </w:r>
    </w:p>
    <w:p w14:paraId="01793F81">
      <w:pPr>
        <w:ind w:firstLine="640"/>
        <w:rPr>
          <w:rFonts w:hint="eastAsia"/>
        </w:rPr>
      </w:pPr>
      <w:r>
        <w:rPr>
          <w:rFonts w:hint="eastAsia"/>
        </w:rPr>
        <w:t>（4）廉洁：未接受服务对象宴请、专家费等；未向服务对象赠送礼品、土特产及现金等；</w:t>
      </w:r>
    </w:p>
    <w:p w14:paraId="793ABDE2">
      <w:pPr>
        <w:spacing w:line="590" w:lineRule="exact"/>
        <w:ind w:firstLine="643"/>
        <w:rPr>
          <w:rFonts w:hint="eastAsia"/>
          <w:b/>
          <w:bCs/>
        </w:rPr>
      </w:pPr>
      <w:r>
        <w:rPr>
          <w:rFonts w:hint="eastAsia"/>
          <w:b/>
          <w:bCs/>
        </w:rPr>
        <w:t>3.服务质量</w:t>
      </w:r>
    </w:p>
    <w:p w14:paraId="40B87070">
      <w:pPr>
        <w:ind w:firstLine="640"/>
        <w:rPr>
          <w:rFonts w:hint="eastAsia" w:ascii="Times New Roman"/>
        </w:rPr>
      </w:pPr>
      <w:r>
        <w:rPr>
          <w:rFonts w:hint="eastAsia"/>
        </w:rPr>
        <w:t>（1）第三方机构有质量审核程序；</w:t>
      </w:r>
    </w:p>
    <w:p w14:paraId="0B33A2CF">
      <w:pPr>
        <w:ind w:firstLine="640"/>
        <w:rPr>
          <w:rFonts w:hint="eastAsia"/>
        </w:rPr>
      </w:pPr>
      <w:r>
        <w:rPr>
          <w:rFonts w:hint="eastAsia"/>
        </w:rPr>
        <w:t>（2）第三方机构交付的文件、资料满足服务对象的要求；</w:t>
      </w:r>
    </w:p>
    <w:p w14:paraId="73B0F28E">
      <w:pPr>
        <w:ind w:firstLine="640"/>
        <w:rPr>
          <w:rFonts w:hint="eastAsia"/>
        </w:rPr>
      </w:pPr>
      <w:r>
        <w:rPr>
          <w:rFonts w:hint="eastAsia"/>
        </w:rPr>
        <w:t>（3）第三方机构提交的文件、报告等顺利通过专家审核；</w:t>
      </w:r>
    </w:p>
    <w:p w14:paraId="435C41DC">
      <w:pPr>
        <w:spacing w:line="590" w:lineRule="exact"/>
        <w:ind w:firstLine="643"/>
        <w:rPr>
          <w:rFonts w:hint="eastAsia"/>
          <w:b/>
          <w:bCs/>
        </w:rPr>
      </w:pPr>
      <w:r>
        <w:rPr>
          <w:rFonts w:hint="eastAsia"/>
          <w:b/>
          <w:bCs/>
        </w:rPr>
        <w:t>4.服务进度</w:t>
      </w:r>
    </w:p>
    <w:p w14:paraId="594176CA">
      <w:pPr>
        <w:ind w:firstLine="640"/>
        <w:rPr>
          <w:rFonts w:hint="eastAsia"/>
        </w:rPr>
      </w:pPr>
      <w:r>
        <w:rPr>
          <w:rFonts w:hint="eastAsia"/>
        </w:rPr>
        <w:t>项目方能否按照合同规定的时间要求完成任务。</w:t>
      </w:r>
    </w:p>
    <w:p w14:paraId="28245B52">
      <w:pPr>
        <w:ind w:firstLine="640"/>
        <w:rPr>
          <w:rFonts w:hint="eastAsia" w:ascii="楷体_GB2312" w:eastAsia="楷体_GB2312"/>
        </w:rPr>
      </w:pPr>
      <w:r>
        <w:rPr>
          <w:rFonts w:hint="eastAsia" w:ascii="楷体_GB2312" w:eastAsia="楷体_GB2312"/>
        </w:rPr>
        <w:t>（六）本制度于发布之日起开始实行。</w:t>
      </w:r>
    </w:p>
    <w:p w14:paraId="5E37255E">
      <w:pPr>
        <w:ind w:firstLine="640"/>
        <w:rPr>
          <w:rFonts w:hint="eastAsia" w:ascii="楷体_GB2312" w:eastAsia="楷体_GB2312"/>
        </w:rPr>
      </w:pPr>
    </w:p>
    <w:p w14:paraId="6108FEB4">
      <w:pPr>
        <w:pStyle w:val="3"/>
        <w:bidi w:val="0"/>
        <w:jc w:val="left"/>
        <w:rPr>
          <w:rFonts w:hint="eastAsia" w:ascii="黑体" w:hAnsi="黑体" w:eastAsia="黑体" w:cs="黑体"/>
          <w:b w:val="0"/>
          <w:bCs/>
          <w:sz w:val="32"/>
          <w:szCs w:val="21"/>
          <w:lang w:val="en-US" w:eastAsia="zh-CN"/>
        </w:rPr>
      </w:pPr>
      <w:bookmarkStart w:id="60" w:name="_Toc10937"/>
      <w:r>
        <w:rPr>
          <w:rFonts w:hint="eastAsia" w:ascii="黑体" w:hAnsi="黑体" w:eastAsia="黑体" w:cs="黑体"/>
          <w:b w:val="0"/>
          <w:bCs/>
          <w:sz w:val="32"/>
          <w:szCs w:val="21"/>
          <w:lang w:val="en-US" w:eastAsia="zh-CN"/>
        </w:rPr>
        <w:t>二十九、承包商黑名单管理制度</w:t>
      </w:r>
      <w:bookmarkEnd w:id="60"/>
    </w:p>
    <w:p w14:paraId="538F1061">
      <w:pPr>
        <w:bidi w:val="0"/>
        <w:rPr>
          <w:rFonts w:hint="eastAsia" w:ascii="楷体_GB2312" w:hAnsi="楷体_GB2312" w:eastAsia="楷体_GB2312" w:cs="楷体_GB2312"/>
          <w:lang w:eastAsia="zh-CN"/>
        </w:rPr>
      </w:pPr>
      <w:r>
        <w:rPr>
          <w:rFonts w:hint="eastAsia" w:ascii="楷体_GB2312" w:hAnsi="楷体_GB2312" w:eastAsia="楷体_GB2312" w:cs="楷体_GB2312"/>
          <w:lang w:eastAsia="zh-CN"/>
        </w:rPr>
        <w:t>（一）总则</w:t>
      </w:r>
    </w:p>
    <w:p w14:paraId="163D6710">
      <w:pPr>
        <w:keepNext w:val="0"/>
        <w:keepLines w:val="0"/>
        <w:widowControl/>
        <w:suppressLineNumbers w:val="0"/>
        <w:jc w:val="left"/>
      </w:pPr>
      <w:r>
        <w:t>为加强园区承包商管理工作，促进承包商单位遵守相关法律法规、落实安全生产主体责任，防止和减少安全事故、职业病危害，根据《中华人民共和国安全生产法》《湖北省安全生产条例</w:t>
      </w:r>
      <w:r>
        <w:rPr>
          <w:rFonts w:ascii="Times New Roman" w:hAnsi="Times New Roman" w:cs="Times New Roman"/>
        </w:rPr>
        <w:t>》</w:t>
      </w:r>
      <w:r>
        <w:rPr>
          <w:rFonts w:ascii="Times New Roman" w:hAnsi="Times New Roman" w:cs="Times New Roman"/>
          <w:lang w:val="en-US" w:eastAsia="zh-CN"/>
        </w:rPr>
        <w:t>《国务院安全生产委员会关于加强企业安全生产诚信体系建设的指导意见》</w:t>
      </w:r>
      <w:r>
        <w:rPr>
          <w:rFonts w:ascii="Times New Roman" w:hAnsi="Times New Roman" w:cs="Times New Roman"/>
        </w:rPr>
        <w:t>等有关法律法规的规定，</w:t>
      </w:r>
      <w:r>
        <w:rPr>
          <w:rFonts w:hint="eastAsia" w:ascii="Times New Roman" w:hAnsi="Times New Roman" w:cs="Times New Roman"/>
          <w:lang w:eastAsia="zh-CN"/>
        </w:rPr>
        <w:t>结合园区实际，</w:t>
      </w:r>
      <w:r>
        <w:rPr>
          <w:rFonts w:ascii="Times New Roman" w:hAnsi="Times New Roman" w:cs="Times New Roman"/>
        </w:rPr>
        <w:t>特制定本制度。</w:t>
      </w:r>
    </w:p>
    <w:p w14:paraId="0064D5D6">
      <w:pPr>
        <w:bidi w:val="0"/>
        <w:rPr>
          <w:rFonts w:hint="eastAsia" w:ascii="楷体_GB2312" w:hAnsi="楷体_GB2312" w:eastAsia="楷体_GB2312" w:cs="楷体_GB2312"/>
          <w:lang w:eastAsia="zh-CN"/>
        </w:rPr>
      </w:pPr>
      <w:r>
        <w:rPr>
          <w:rFonts w:hint="eastAsia" w:ascii="楷体_GB2312" w:hAnsi="楷体_GB2312" w:eastAsia="楷体_GB2312" w:cs="楷体_GB2312"/>
          <w:lang w:eastAsia="zh-CN"/>
        </w:rPr>
        <w:t>（二）定义</w:t>
      </w:r>
    </w:p>
    <w:p w14:paraId="6CFE402B">
      <w:pPr>
        <w:adjustRightInd w:val="0"/>
        <w:snapToGrid w:val="0"/>
        <w:ind w:firstLine="640"/>
        <w:rPr>
          <w:highlight w:val="none"/>
        </w:rPr>
      </w:pPr>
      <w:r>
        <w:rPr>
          <w:rFonts w:hint="eastAsia" w:cs="仿宋"/>
          <w:highlight w:val="none"/>
        </w:rPr>
        <w:t>承包商</w:t>
      </w:r>
      <w:r>
        <w:rPr>
          <w:rFonts w:hint="eastAsia" w:cs="仿宋"/>
          <w:highlight w:val="none"/>
          <w:lang w:eastAsia="zh-CN"/>
        </w:rPr>
        <w:t>“</w:t>
      </w:r>
      <w:r>
        <w:rPr>
          <w:rFonts w:cs="仿宋"/>
          <w:highlight w:val="none"/>
        </w:rPr>
        <w:t>黑名单</w:t>
      </w:r>
      <w:r>
        <w:rPr>
          <w:rFonts w:hint="eastAsia" w:cs="仿宋"/>
          <w:highlight w:val="none"/>
          <w:lang w:eastAsia="zh-CN"/>
        </w:rPr>
        <w:t>”</w:t>
      </w:r>
      <w:r>
        <w:rPr>
          <w:rFonts w:hint="eastAsia" w:cs="仿宋"/>
          <w:highlight w:val="none"/>
        </w:rPr>
        <w:t>（</w:t>
      </w:r>
      <w:r>
        <w:rPr>
          <w:rFonts w:cs="仿宋"/>
          <w:highlight w:val="none"/>
        </w:rPr>
        <w:t>以下简称</w:t>
      </w:r>
      <w:r>
        <w:rPr>
          <w:rFonts w:hint="eastAsia" w:cs="仿宋"/>
          <w:highlight w:val="none"/>
          <w:lang w:eastAsia="zh-CN"/>
        </w:rPr>
        <w:t>“</w:t>
      </w:r>
      <w:r>
        <w:rPr>
          <w:rFonts w:cs="仿宋"/>
          <w:highlight w:val="none"/>
        </w:rPr>
        <w:t>黑名单</w:t>
      </w:r>
      <w:r>
        <w:rPr>
          <w:rFonts w:hint="eastAsia" w:cs="仿宋"/>
          <w:highlight w:val="none"/>
          <w:lang w:eastAsia="zh-CN"/>
        </w:rPr>
        <w:t>”</w:t>
      </w:r>
      <w:r>
        <w:rPr>
          <w:rFonts w:hint="eastAsia" w:cs="仿宋"/>
          <w:highlight w:val="none"/>
        </w:rPr>
        <w:t>）</w:t>
      </w:r>
      <w:r>
        <w:rPr>
          <w:rFonts w:cs="仿宋"/>
          <w:highlight w:val="none"/>
        </w:rPr>
        <w:t>是指承包商单位在履行安全生产法定责任管理过程中存在严重违法行为</w:t>
      </w:r>
      <w:r>
        <w:rPr>
          <w:rFonts w:hint="eastAsia" w:cs="仿宋"/>
          <w:highlight w:val="none"/>
        </w:rPr>
        <w:t>，</w:t>
      </w:r>
      <w:r>
        <w:t>或考核评价为不合格</w:t>
      </w:r>
      <w:r>
        <w:rPr>
          <w:rFonts w:hint="eastAsia"/>
          <w:lang w:eastAsia="zh-CN"/>
        </w:rPr>
        <w:t>，</w:t>
      </w:r>
      <w:r>
        <w:rPr>
          <w:rFonts w:cs="仿宋"/>
          <w:highlight w:val="none"/>
        </w:rPr>
        <w:t>将其列入</w:t>
      </w:r>
      <w:r>
        <w:rPr>
          <w:rFonts w:hint="eastAsia" w:cs="仿宋"/>
          <w:highlight w:val="none"/>
          <w:lang w:eastAsia="zh-CN"/>
        </w:rPr>
        <w:t>“</w:t>
      </w:r>
      <w:r>
        <w:rPr>
          <w:rFonts w:cs="仿宋"/>
          <w:highlight w:val="none"/>
        </w:rPr>
        <w:t>黑名单</w:t>
      </w:r>
      <w:r>
        <w:rPr>
          <w:rFonts w:hint="eastAsia" w:cs="仿宋"/>
          <w:highlight w:val="none"/>
          <w:lang w:eastAsia="zh-CN"/>
        </w:rPr>
        <w:t>”管理</w:t>
      </w:r>
      <w:r>
        <w:rPr>
          <w:rFonts w:cs="仿宋"/>
          <w:highlight w:val="none"/>
        </w:rPr>
        <w:t>，</w:t>
      </w:r>
      <w:r>
        <w:rPr>
          <w:rFonts w:hint="eastAsia" w:cs="仿宋"/>
          <w:highlight w:val="none"/>
        </w:rPr>
        <w:t>严禁</w:t>
      </w:r>
      <w:r>
        <w:rPr>
          <w:rFonts w:cs="仿宋"/>
          <w:highlight w:val="none"/>
        </w:rPr>
        <w:t>其在</w:t>
      </w:r>
      <w:r>
        <w:rPr>
          <w:rFonts w:hint="eastAsia" w:cs="仿宋"/>
          <w:highlight w:val="none"/>
          <w:lang w:val="en-US" w:eastAsia="zh-CN"/>
        </w:rPr>
        <w:t>青春</w:t>
      </w:r>
      <w:r>
        <w:rPr>
          <w:rFonts w:hint="eastAsia" w:cs="仿宋"/>
          <w:highlight w:val="none"/>
        </w:rPr>
        <w:t>化工</w:t>
      </w:r>
      <w:r>
        <w:rPr>
          <w:rFonts w:cs="仿宋"/>
          <w:highlight w:val="none"/>
        </w:rPr>
        <w:t>园</w:t>
      </w:r>
      <w:r>
        <w:rPr>
          <w:rFonts w:hint="eastAsia" w:cs="仿宋"/>
          <w:highlight w:val="none"/>
        </w:rPr>
        <w:t>区</w:t>
      </w:r>
      <w:r>
        <w:rPr>
          <w:rFonts w:cs="仿宋"/>
          <w:highlight w:val="none"/>
        </w:rPr>
        <w:t>内开展业务。</w:t>
      </w:r>
    </w:p>
    <w:p w14:paraId="17352F4F">
      <w:pPr>
        <w:bidi w:val="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（三）实施范围</w:t>
      </w:r>
    </w:p>
    <w:p w14:paraId="137234B6">
      <w:pPr>
        <w:bidi w:val="0"/>
      </w:pPr>
      <w:r>
        <w:rPr>
          <w:rFonts w:hint="eastAsia"/>
        </w:rPr>
        <w:t>施工单位如</w:t>
      </w:r>
      <w:r>
        <w:t>违反</w:t>
      </w:r>
      <w:r>
        <w:rPr>
          <w:rFonts w:hint="eastAsia"/>
          <w:lang w:eastAsia="zh-CN"/>
        </w:rPr>
        <w:t>《承包商准入和退出管理制度》</w:t>
      </w:r>
      <w:r>
        <w:rPr>
          <w:rFonts w:hint="eastAsia"/>
        </w:rPr>
        <w:t>第</w:t>
      </w:r>
      <w:r>
        <w:t>（</w:t>
      </w:r>
      <w:r>
        <w:rPr>
          <w:rFonts w:hint="eastAsia"/>
        </w:rPr>
        <w:t>五</w:t>
      </w:r>
      <w:r>
        <w:t>）</w:t>
      </w:r>
      <w:r>
        <w:rPr>
          <w:rFonts w:hint="eastAsia"/>
        </w:rPr>
        <w:t>款承包商（施工单位）退出</w:t>
      </w:r>
      <w:r>
        <w:t>第</w:t>
      </w:r>
      <w:r>
        <w:rPr>
          <w:rFonts w:hint="eastAsia"/>
        </w:rPr>
        <w:t>1</w:t>
      </w:r>
      <w:r>
        <w:t>、</w:t>
      </w:r>
      <w:r>
        <w:rPr>
          <w:rFonts w:hint="eastAsia"/>
          <w:lang w:val="en-US" w:eastAsia="zh-CN"/>
        </w:rPr>
        <w:t>2、3</w:t>
      </w:r>
      <w:r>
        <w:rPr>
          <w:rFonts w:hint="eastAsia"/>
          <w:lang w:eastAsia="zh-CN"/>
        </w:rPr>
        <w:t>、</w:t>
      </w:r>
      <w:r>
        <w:rPr>
          <w:rFonts w:hint="eastAsia"/>
          <w:lang w:val="en-US" w:eastAsia="zh-CN"/>
        </w:rPr>
        <w:t>4</w:t>
      </w:r>
      <w:r>
        <w:rPr>
          <w:rFonts w:hint="eastAsia"/>
          <w:lang w:eastAsia="zh-CN"/>
        </w:rPr>
        <w:t>、</w:t>
      </w:r>
      <w:r>
        <w:rPr>
          <w:rFonts w:hint="eastAsia"/>
          <w:lang w:val="en-US" w:eastAsia="zh-CN"/>
        </w:rPr>
        <w:t>5</w:t>
      </w:r>
      <w:r>
        <w:rPr>
          <w:rFonts w:hint="eastAsia"/>
          <w:lang w:eastAsia="zh-CN"/>
        </w:rPr>
        <w:t>、</w:t>
      </w:r>
      <w:r>
        <w:rPr>
          <w:rFonts w:hint="eastAsia"/>
          <w:lang w:val="en-US" w:eastAsia="zh-CN"/>
        </w:rPr>
        <w:t>7</w:t>
      </w:r>
      <w:r>
        <w:rPr>
          <w:rFonts w:hint="eastAsia"/>
          <w:lang w:eastAsia="zh-CN"/>
        </w:rPr>
        <w:t>、</w:t>
      </w:r>
      <w:r>
        <w:rPr>
          <w:rFonts w:hint="eastAsia"/>
        </w:rPr>
        <w:t>1</w:t>
      </w:r>
      <w:r>
        <w:rPr>
          <w:rFonts w:hint="eastAsia"/>
          <w:lang w:val="en-US" w:eastAsia="zh-CN"/>
        </w:rPr>
        <w:t>2</w:t>
      </w:r>
      <w:r>
        <w:rPr>
          <w:rFonts w:hint="eastAsia"/>
        </w:rPr>
        <w:t>条的</w:t>
      </w:r>
      <w:r>
        <w:t>承包商纳入园区黑名单</w:t>
      </w:r>
      <w:r>
        <w:rPr>
          <w:rFonts w:hint="eastAsia"/>
          <w:lang w:eastAsia="zh-CN"/>
        </w:rPr>
        <w:t>管理</w:t>
      </w:r>
      <w:r>
        <w:rPr>
          <w:rFonts w:hint="eastAsia"/>
        </w:rPr>
        <w:t>，</w:t>
      </w:r>
      <w:r>
        <w:t>并向</w:t>
      </w:r>
      <w:r>
        <w:rPr>
          <w:rFonts w:hint="eastAsia"/>
        </w:rPr>
        <w:t>相关</w:t>
      </w:r>
      <w:r>
        <w:t>部门通报。</w:t>
      </w:r>
    </w:p>
    <w:p w14:paraId="0FCE9171">
      <w:pPr>
        <w:bidi w:val="0"/>
      </w:pPr>
      <w:r>
        <w:rPr>
          <w:rFonts w:hint="eastAsia"/>
        </w:rPr>
        <w:t>第三方技术服务单位如违反第（五）款第三方技术服务单位退出中保密及廉洁要求的纳入园区黑名单</w:t>
      </w:r>
      <w:r>
        <w:rPr>
          <w:rFonts w:hint="eastAsia"/>
          <w:lang w:eastAsia="zh-CN"/>
        </w:rPr>
        <w:t>管理</w:t>
      </w:r>
      <w:r>
        <w:rPr>
          <w:rFonts w:hint="eastAsia"/>
        </w:rPr>
        <w:t>，</w:t>
      </w:r>
      <w:r>
        <w:t>并向</w:t>
      </w:r>
      <w:r>
        <w:rPr>
          <w:rFonts w:hint="eastAsia"/>
        </w:rPr>
        <w:t>相关</w:t>
      </w:r>
      <w:r>
        <w:t>部门通报。</w:t>
      </w:r>
    </w:p>
    <w:p w14:paraId="6ECCE3F3">
      <w:pPr>
        <w:rPr>
          <w:rFonts w:hint="eastAsia"/>
          <w:lang w:val="en-US" w:eastAsia="zh-CN"/>
        </w:rPr>
      </w:pPr>
      <w:r>
        <w:rPr>
          <w:rFonts w:hint="eastAsia" w:ascii="楷体_GB2312" w:hAnsi="楷体_GB2312" w:eastAsia="楷体_GB2312" w:cs="楷体_GB2312"/>
        </w:rPr>
        <w:t>（</w:t>
      </w:r>
      <w:r>
        <w:rPr>
          <w:rFonts w:hint="eastAsia" w:ascii="楷体_GB2312" w:hAnsi="楷体_GB2312" w:eastAsia="楷体_GB2312" w:cs="楷体_GB2312"/>
          <w:lang w:eastAsia="zh-CN"/>
        </w:rPr>
        <w:t>四</w:t>
      </w:r>
      <w:r>
        <w:rPr>
          <w:rFonts w:hint="eastAsia" w:ascii="楷体_GB2312" w:hAnsi="楷体_GB2312" w:eastAsia="楷体_GB2312" w:cs="楷体_GB2312"/>
        </w:rPr>
        <w:t>）本制度于发布之日起开始实行。</w:t>
      </w:r>
    </w:p>
    <w:p w14:paraId="7B8FD1E5">
      <w:pPr>
        <w:ind w:firstLine="198" w:firstLineChars="62"/>
        <w:rPr>
          <w:rFonts w:ascii="Times New Roman" w:hAnsi="Times New Roman"/>
        </w:rPr>
      </w:pPr>
      <w:r>
        <w:rPr>
          <w:rFonts w:ascii="Times New Roman" w:hAnsi="Times New Roman"/>
        </w:rPr>
        <w:br w:type="page"/>
      </w:r>
    </w:p>
    <w:tbl>
      <w:tblPr>
        <w:tblStyle w:val="21"/>
        <w:tblW w:w="8862" w:type="dxa"/>
        <w:tblInd w:w="91" w:type="dxa"/>
        <w:tblLayout w:type="fixed"/>
        <w:tblCellMar>
          <w:top w:w="0" w:type="dxa"/>
          <w:left w:w="108" w:type="dxa"/>
          <w:bottom w:w="0" w:type="dxa"/>
          <w:right w:w="108" w:type="dxa"/>
        </w:tblCellMar>
      </w:tblPr>
      <w:tblGrid>
        <w:gridCol w:w="804"/>
        <w:gridCol w:w="712"/>
        <w:gridCol w:w="1128"/>
        <w:gridCol w:w="1768"/>
        <w:gridCol w:w="1893"/>
        <w:gridCol w:w="1261"/>
        <w:gridCol w:w="1296"/>
      </w:tblGrid>
      <w:tr w14:paraId="320771E7">
        <w:tblPrEx>
          <w:tblCellMar>
            <w:top w:w="0" w:type="dxa"/>
            <w:left w:w="108" w:type="dxa"/>
            <w:bottom w:w="0" w:type="dxa"/>
            <w:right w:w="108" w:type="dxa"/>
          </w:tblCellMar>
        </w:tblPrEx>
        <w:trPr>
          <w:cantSplit/>
          <w:trHeight w:val="460" w:hRule="atLeast"/>
        </w:trPr>
        <w:tc>
          <w:tcPr>
            <w:tcW w:w="8862" w:type="dxa"/>
            <w:gridSpan w:val="7"/>
            <w:tcBorders>
              <w:top w:val="nil"/>
              <w:left w:val="nil"/>
              <w:bottom w:val="nil"/>
              <w:right w:val="nil"/>
            </w:tcBorders>
            <w:noWrap/>
            <w:vAlign w:val="center"/>
          </w:tcPr>
          <w:p w14:paraId="42AEFBD3">
            <w:pPr>
              <w:ind w:firstLine="0" w:firstLineChars="0"/>
              <w:jc w:val="center"/>
              <w:rPr>
                <w:rFonts w:hint="eastAsia" w:ascii="方正小标宋简体" w:hAnsi="Times New Roman" w:eastAsia="方正小标宋简体"/>
                <w:b/>
                <w:bCs/>
              </w:rPr>
            </w:pPr>
            <w:r>
              <w:rPr>
                <w:rFonts w:hint="eastAsia" w:ascii="方正小标宋简体" w:hAnsi="Times New Roman" w:eastAsia="方正小标宋简体"/>
                <w:sz w:val="36"/>
                <w:szCs w:val="24"/>
              </w:rPr>
              <w:t>青春化工园区入园承包商（施工）考核表</w:t>
            </w:r>
          </w:p>
        </w:tc>
      </w:tr>
      <w:tr w14:paraId="54BDE231">
        <w:tblPrEx>
          <w:tblCellMar>
            <w:top w:w="0" w:type="dxa"/>
            <w:left w:w="108" w:type="dxa"/>
            <w:bottom w:w="0" w:type="dxa"/>
            <w:right w:w="108" w:type="dxa"/>
          </w:tblCellMar>
        </w:tblPrEx>
        <w:trPr>
          <w:cantSplit/>
          <w:trHeight w:val="420" w:hRule="atLeast"/>
        </w:trPr>
        <w:tc>
          <w:tcPr>
            <w:tcW w:w="804" w:type="dxa"/>
            <w:vMerge w:val="restart"/>
            <w:tcBorders>
              <w:top w:val="single" w:color="000000" w:sz="4" w:space="0"/>
              <w:left w:val="single" w:color="000000" w:sz="4" w:space="0"/>
              <w:bottom w:val="single" w:color="000000" w:sz="4" w:space="0"/>
              <w:right w:val="single" w:color="000000" w:sz="4" w:space="0"/>
            </w:tcBorders>
            <w:noWrap/>
            <w:vAlign w:val="center"/>
          </w:tcPr>
          <w:p w14:paraId="18CDB16A">
            <w:pPr>
              <w:spacing w:line="360" w:lineRule="exact"/>
              <w:ind w:firstLine="0" w:firstLineChars="0"/>
              <w:rPr>
                <w:rFonts w:hint="eastAsia" w:hAnsi="Times New Roman"/>
                <w:sz w:val="24"/>
                <w:szCs w:val="24"/>
              </w:rPr>
            </w:pPr>
            <w:r>
              <w:rPr>
                <w:rFonts w:hint="eastAsia" w:hAnsi="Times New Roman"/>
                <w:sz w:val="24"/>
                <w:szCs w:val="24"/>
              </w:rPr>
              <w:t>基本情况</w:t>
            </w:r>
          </w:p>
        </w:tc>
        <w:tc>
          <w:tcPr>
            <w:tcW w:w="1840" w:type="dxa"/>
            <w:gridSpan w:val="2"/>
            <w:tcBorders>
              <w:top w:val="single" w:color="000000" w:sz="4" w:space="0"/>
              <w:left w:val="nil"/>
              <w:bottom w:val="single" w:color="000000" w:sz="4" w:space="0"/>
              <w:right w:val="single" w:color="000000" w:sz="4" w:space="0"/>
            </w:tcBorders>
            <w:noWrap/>
            <w:vAlign w:val="center"/>
          </w:tcPr>
          <w:p w14:paraId="6BBB5C74">
            <w:pPr>
              <w:spacing w:line="360" w:lineRule="exact"/>
              <w:ind w:firstLine="0" w:firstLineChars="0"/>
              <w:rPr>
                <w:rFonts w:hint="eastAsia" w:hAnsi="Times New Roman"/>
                <w:sz w:val="24"/>
                <w:szCs w:val="24"/>
              </w:rPr>
            </w:pPr>
            <w:r>
              <w:rPr>
                <w:rFonts w:hint="eastAsia" w:hAnsi="Times New Roman"/>
                <w:sz w:val="24"/>
                <w:szCs w:val="24"/>
              </w:rPr>
              <w:t>承包商名称</w:t>
            </w:r>
          </w:p>
        </w:tc>
        <w:tc>
          <w:tcPr>
            <w:tcW w:w="6218" w:type="dxa"/>
            <w:gridSpan w:val="4"/>
            <w:tcBorders>
              <w:top w:val="single" w:color="000000" w:sz="4" w:space="0"/>
              <w:left w:val="nil"/>
              <w:bottom w:val="single" w:color="000000" w:sz="4" w:space="0"/>
              <w:right w:val="single" w:color="000000" w:sz="4" w:space="0"/>
            </w:tcBorders>
            <w:noWrap/>
            <w:vAlign w:val="center"/>
          </w:tcPr>
          <w:p w14:paraId="5B0F5EFF">
            <w:pPr>
              <w:spacing w:line="360" w:lineRule="exact"/>
              <w:ind w:firstLine="0" w:firstLineChars="0"/>
              <w:rPr>
                <w:rFonts w:hint="eastAsia" w:hAnsi="Times New Roman"/>
                <w:sz w:val="24"/>
                <w:szCs w:val="24"/>
              </w:rPr>
            </w:pPr>
          </w:p>
        </w:tc>
      </w:tr>
      <w:tr w14:paraId="157D9DD8">
        <w:tblPrEx>
          <w:tblCellMar>
            <w:top w:w="0" w:type="dxa"/>
            <w:left w:w="108" w:type="dxa"/>
            <w:bottom w:w="0" w:type="dxa"/>
            <w:right w:w="108" w:type="dxa"/>
          </w:tblCellMar>
        </w:tblPrEx>
        <w:trPr>
          <w:cantSplit/>
          <w:trHeight w:val="420" w:hRule="atLeast"/>
        </w:trPr>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11820382">
            <w:pPr>
              <w:spacing w:line="360" w:lineRule="exact"/>
              <w:ind w:firstLine="0" w:firstLineChars="0"/>
              <w:rPr>
                <w:rFonts w:hint="eastAsia" w:hAnsi="Times New Roman"/>
                <w:sz w:val="24"/>
                <w:szCs w:val="24"/>
              </w:rPr>
            </w:pPr>
          </w:p>
        </w:tc>
        <w:tc>
          <w:tcPr>
            <w:tcW w:w="1840" w:type="dxa"/>
            <w:gridSpan w:val="2"/>
            <w:tcBorders>
              <w:top w:val="single" w:color="000000" w:sz="4" w:space="0"/>
              <w:left w:val="nil"/>
              <w:bottom w:val="single" w:color="000000" w:sz="4" w:space="0"/>
              <w:right w:val="single" w:color="000000" w:sz="4" w:space="0"/>
            </w:tcBorders>
            <w:noWrap/>
            <w:vAlign w:val="center"/>
          </w:tcPr>
          <w:p w14:paraId="07A295D7">
            <w:pPr>
              <w:spacing w:line="360" w:lineRule="exact"/>
              <w:ind w:firstLine="0" w:firstLineChars="0"/>
              <w:rPr>
                <w:rFonts w:hint="eastAsia" w:hAnsi="Times New Roman"/>
                <w:sz w:val="24"/>
                <w:szCs w:val="24"/>
              </w:rPr>
            </w:pPr>
            <w:r>
              <w:rPr>
                <w:rFonts w:hint="eastAsia" w:hAnsi="Times New Roman"/>
                <w:sz w:val="24"/>
                <w:szCs w:val="24"/>
              </w:rPr>
              <w:t>（拟）入园时间</w:t>
            </w:r>
          </w:p>
        </w:tc>
        <w:tc>
          <w:tcPr>
            <w:tcW w:w="6218" w:type="dxa"/>
            <w:gridSpan w:val="4"/>
            <w:tcBorders>
              <w:top w:val="single" w:color="000000" w:sz="4" w:space="0"/>
              <w:left w:val="nil"/>
              <w:bottom w:val="single" w:color="000000" w:sz="4" w:space="0"/>
              <w:right w:val="single" w:color="000000" w:sz="4" w:space="0"/>
            </w:tcBorders>
            <w:noWrap/>
            <w:vAlign w:val="center"/>
          </w:tcPr>
          <w:p w14:paraId="4EEE4B1E">
            <w:pPr>
              <w:spacing w:line="360" w:lineRule="exact"/>
              <w:ind w:firstLine="0" w:firstLineChars="0"/>
              <w:rPr>
                <w:rFonts w:hint="eastAsia" w:hAnsi="Times New Roman"/>
                <w:sz w:val="24"/>
                <w:szCs w:val="24"/>
              </w:rPr>
            </w:pPr>
          </w:p>
        </w:tc>
      </w:tr>
      <w:tr w14:paraId="1E766D70">
        <w:tblPrEx>
          <w:tblCellMar>
            <w:top w:w="0" w:type="dxa"/>
            <w:left w:w="108" w:type="dxa"/>
            <w:bottom w:w="0" w:type="dxa"/>
            <w:right w:w="108" w:type="dxa"/>
          </w:tblCellMar>
        </w:tblPrEx>
        <w:trPr>
          <w:cantSplit/>
          <w:trHeight w:val="420" w:hRule="atLeast"/>
        </w:trPr>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62BF6A27">
            <w:pPr>
              <w:spacing w:line="360" w:lineRule="exact"/>
              <w:ind w:firstLine="0" w:firstLineChars="0"/>
              <w:rPr>
                <w:rFonts w:hint="eastAsia" w:hAnsi="Times New Roman"/>
                <w:sz w:val="24"/>
                <w:szCs w:val="24"/>
              </w:rPr>
            </w:pPr>
          </w:p>
        </w:tc>
        <w:tc>
          <w:tcPr>
            <w:tcW w:w="1840" w:type="dxa"/>
            <w:gridSpan w:val="2"/>
            <w:tcBorders>
              <w:top w:val="single" w:color="000000" w:sz="4" w:space="0"/>
              <w:left w:val="nil"/>
              <w:bottom w:val="single" w:color="000000" w:sz="4" w:space="0"/>
              <w:right w:val="single" w:color="000000" w:sz="4" w:space="0"/>
            </w:tcBorders>
            <w:noWrap/>
            <w:vAlign w:val="center"/>
          </w:tcPr>
          <w:p w14:paraId="229BEAAB">
            <w:pPr>
              <w:spacing w:line="360" w:lineRule="exact"/>
              <w:ind w:firstLine="0" w:firstLineChars="0"/>
              <w:rPr>
                <w:rFonts w:hint="eastAsia" w:hAnsi="Times New Roman"/>
                <w:sz w:val="24"/>
                <w:szCs w:val="24"/>
              </w:rPr>
            </w:pPr>
            <w:r>
              <w:rPr>
                <w:rFonts w:hint="eastAsia" w:hAnsi="Times New Roman"/>
                <w:sz w:val="24"/>
                <w:szCs w:val="24"/>
              </w:rPr>
              <w:t>项目名称</w:t>
            </w:r>
          </w:p>
        </w:tc>
        <w:tc>
          <w:tcPr>
            <w:tcW w:w="6218" w:type="dxa"/>
            <w:gridSpan w:val="4"/>
            <w:tcBorders>
              <w:top w:val="single" w:color="000000" w:sz="4" w:space="0"/>
              <w:left w:val="nil"/>
              <w:bottom w:val="single" w:color="000000" w:sz="4" w:space="0"/>
              <w:right w:val="single" w:color="000000" w:sz="4" w:space="0"/>
            </w:tcBorders>
            <w:noWrap/>
            <w:vAlign w:val="center"/>
          </w:tcPr>
          <w:p w14:paraId="67D1E724">
            <w:pPr>
              <w:spacing w:line="360" w:lineRule="exact"/>
              <w:ind w:firstLine="0" w:firstLineChars="0"/>
              <w:rPr>
                <w:rFonts w:hint="eastAsia" w:hAnsi="Times New Roman"/>
                <w:sz w:val="24"/>
                <w:szCs w:val="24"/>
              </w:rPr>
            </w:pPr>
          </w:p>
        </w:tc>
      </w:tr>
      <w:tr w14:paraId="34A3014C">
        <w:tblPrEx>
          <w:tblCellMar>
            <w:top w:w="0" w:type="dxa"/>
            <w:left w:w="108" w:type="dxa"/>
            <w:bottom w:w="0" w:type="dxa"/>
            <w:right w:w="108" w:type="dxa"/>
          </w:tblCellMar>
        </w:tblPrEx>
        <w:trPr>
          <w:cantSplit/>
          <w:trHeight w:val="420" w:hRule="atLeast"/>
        </w:trPr>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7E4815C6">
            <w:pPr>
              <w:spacing w:line="360" w:lineRule="exact"/>
              <w:ind w:firstLine="0" w:firstLineChars="0"/>
              <w:rPr>
                <w:rFonts w:hint="eastAsia" w:hAnsi="Times New Roman"/>
                <w:sz w:val="24"/>
                <w:szCs w:val="24"/>
              </w:rPr>
            </w:pPr>
          </w:p>
        </w:tc>
        <w:tc>
          <w:tcPr>
            <w:tcW w:w="1840" w:type="dxa"/>
            <w:gridSpan w:val="2"/>
            <w:tcBorders>
              <w:top w:val="single" w:color="000000" w:sz="4" w:space="0"/>
              <w:left w:val="nil"/>
              <w:bottom w:val="single" w:color="000000" w:sz="4" w:space="0"/>
              <w:right w:val="single" w:color="000000" w:sz="4" w:space="0"/>
            </w:tcBorders>
            <w:noWrap/>
            <w:vAlign w:val="center"/>
          </w:tcPr>
          <w:p w14:paraId="4AA4BA74">
            <w:pPr>
              <w:spacing w:line="360" w:lineRule="exact"/>
              <w:ind w:firstLine="0" w:firstLineChars="0"/>
              <w:rPr>
                <w:rFonts w:hint="eastAsia" w:hAnsi="Times New Roman"/>
                <w:sz w:val="24"/>
                <w:szCs w:val="24"/>
              </w:rPr>
            </w:pPr>
            <w:r>
              <w:rPr>
                <w:rFonts w:hint="eastAsia" w:hAnsi="Times New Roman"/>
                <w:sz w:val="24"/>
                <w:szCs w:val="24"/>
              </w:rPr>
              <w:t>施工工期</w:t>
            </w:r>
          </w:p>
        </w:tc>
        <w:tc>
          <w:tcPr>
            <w:tcW w:w="6218" w:type="dxa"/>
            <w:gridSpan w:val="4"/>
            <w:tcBorders>
              <w:top w:val="single" w:color="000000" w:sz="4" w:space="0"/>
              <w:left w:val="nil"/>
              <w:bottom w:val="single" w:color="000000" w:sz="4" w:space="0"/>
              <w:right w:val="single" w:color="000000" w:sz="4" w:space="0"/>
            </w:tcBorders>
            <w:noWrap/>
            <w:vAlign w:val="center"/>
          </w:tcPr>
          <w:p w14:paraId="629018F4">
            <w:pPr>
              <w:spacing w:line="360" w:lineRule="exact"/>
              <w:ind w:firstLine="0" w:firstLineChars="0"/>
              <w:rPr>
                <w:rFonts w:hint="eastAsia" w:hAnsi="Times New Roman"/>
                <w:sz w:val="24"/>
                <w:szCs w:val="24"/>
              </w:rPr>
            </w:pPr>
          </w:p>
        </w:tc>
      </w:tr>
      <w:tr w14:paraId="2654C277">
        <w:tblPrEx>
          <w:tblCellMar>
            <w:top w:w="0" w:type="dxa"/>
            <w:left w:w="108" w:type="dxa"/>
            <w:bottom w:w="0" w:type="dxa"/>
            <w:right w:w="108" w:type="dxa"/>
          </w:tblCellMar>
        </w:tblPrEx>
        <w:trPr>
          <w:cantSplit/>
          <w:trHeight w:val="420" w:hRule="atLeast"/>
        </w:trPr>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506FED53">
            <w:pPr>
              <w:spacing w:line="360" w:lineRule="exact"/>
              <w:ind w:firstLine="0" w:firstLineChars="0"/>
              <w:rPr>
                <w:rFonts w:hint="eastAsia" w:hAnsi="Times New Roman"/>
                <w:sz w:val="24"/>
                <w:szCs w:val="24"/>
              </w:rPr>
            </w:pPr>
          </w:p>
        </w:tc>
        <w:tc>
          <w:tcPr>
            <w:tcW w:w="1840" w:type="dxa"/>
            <w:gridSpan w:val="2"/>
            <w:tcBorders>
              <w:top w:val="single" w:color="000000" w:sz="4" w:space="0"/>
              <w:left w:val="nil"/>
              <w:bottom w:val="single" w:color="000000" w:sz="4" w:space="0"/>
              <w:right w:val="single" w:color="000000" w:sz="4" w:space="0"/>
            </w:tcBorders>
            <w:noWrap/>
            <w:vAlign w:val="center"/>
          </w:tcPr>
          <w:p w14:paraId="3E5C38BC">
            <w:pPr>
              <w:spacing w:line="360" w:lineRule="exact"/>
              <w:ind w:firstLine="0" w:firstLineChars="0"/>
              <w:rPr>
                <w:rFonts w:hint="eastAsia" w:hAnsi="Times New Roman"/>
                <w:sz w:val="24"/>
                <w:szCs w:val="24"/>
              </w:rPr>
            </w:pPr>
            <w:r>
              <w:rPr>
                <w:rFonts w:hint="eastAsia" w:hAnsi="Times New Roman"/>
                <w:sz w:val="24"/>
                <w:szCs w:val="24"/>
              </w:rPr>
              <w:t>项目负责人</w:t>
            </w:r>
          </w:p>
        </w:tc>
        <w:tc>
          <w:tcPr>
            <w:tcW w:w="6218" w:type="dxa"/>
            <w:gridSpan w:val="4"/>
            <w:tcBorders>
              <w:top w:val="single" w:color="000000" w:sz="4" w:space="0"/>
              <w:left w:val="nil"/>
              <w:bottom w:val="single" w:color="000000" w:sz="4" w:space="0"/>
              <w:right w:val="single" w:color="000000" w:sz="4" w:space="0"/>
            </w:tcBorders>
            <w:noWrap/>
            <w:vAlign w:val="center"/>
          </w:tcPr>
          <w:p w14:paraId="32710158">
            <w:pPr>
              <w:spacing w:line="360" w:lineRule="exact"/>
              <w:ind w:firstLine="0" w:firstLineChars="0"/>
              <w:rPr>
                <w:rFonts w:hint="eastAsia" w:hAnsi="Times New Roman"/>
                <w:sz w:val="24"/>
                <w:szCs w:val="24"/>
              </w:rPr>
            </w:pPr>
          </w:p>
        </w:tc>
      </w:tr>
      <w:tr w14:paraId="35787D34">
        <w:tblPrEx>
          <w:tblCellMar>
            <w:top w:w="0" w:type="dxa"/>
            <w:left w:w="108" w:type="dxa"/>
            <w:bottom w:w="0" w:type="dxa"/>
            <w:right w:w="108" w:type="dxa"/>
          </w:tblCellMar>
        </w:tblPrEx>
        <w:trPr>
          <w:cantSplit/>
          <w:trHeight w:val="360" w:hRule="atLeast"/>
        </w:trPr>
        <w:tc>
          <w:tcPr>
            <w:tcW w:w="804" w:type="dxa"/>
            <w:vMerge w:val="restart"/>
            <w:tcBorders>
              <w:top w:val="nil"/>
              <w:left w:val="single" w:color="000000" w:sz="4" w:space="0"/>
              <w:bottom w:val="single" w:color="000000" w:sz="4" w:space="0"/>
              <w:right w:val="single" w:color="000000" w:sz="4" w:space="0"/>
            </w:tcBorders>
            <w:noWrap/>
            <w:vAlign w:val="center"/>
          </w:tcPr>
          <w:p w14:paraId="020D1759">
            <w:pPr>
              <w:spacing w:line="360" w:lineRule="exact"/>
              <w:ind w:firstLine="0" w:firstLineChars="0"/>
              <w:jc w:val="center"/>
              <w:rPr>
                <w:rFonts w:hint="eastAsia" w:hAnsi="Times New Roman"/>
                <w:sz w:val="24"/>
                <w:szCs w:val="24"/>
              </w:rPr>
            </w:pPr>
            <w:r>
              <w:rPr>
                <w:rFonts w:hint="eastAsia" w:hAnsi="Times New Roman"/>
                <w:sz w:val="24"/>
                <w:szCs w:val="24"/>
              </w:rPr>
              <w:t>考核指标</w:t>
            </w:r>
          </w:p>
        </w:tc>
        <w:tc>
          <w:tcPr>
            <w:tcW w:w="712" w:type="dxa"/>
            <w:tcBorders>
              <w:top w:val="single" w:color="000000" w:sz="4" w:space="0"/>
              <w:left w:val="nil"/>
              <w:bottom w:val="single" w:color="000000" w:sz="4" w:space="0"/>
              <w:right w:val="single" w:color="000000" w:sz="4" w:space="0"/>
            </w:tcBorders>
            <w:noWrap/>
            <w:vAlign w:val="center"/>
          </w:tcPr>
          <w:p w14:paraId="08C57621">
            <w:pPr>
              <w:spacing w:line="360" w:lineRule="exact"/>
              <w:ind w:firstLine="0" w:firstLineChars="0"/>
              <w:rPr>
                <w:rFonts w:hint="eastAsia" w:hAnsi="Times New Roman"/>
                <w:sz w:val="24"/>
                <w:szCs w:val="24"/>
              </w:rPr>
            </w:pPr>
            <w:r>
              <w:rPr>
                <w:rFonts w:hint="eastAsia" w:hAnsi="Times New Roman"/>
                <w:sz w:val="24"/>
                <w:szCs w:val="24"/>
              </w:rPr>
              <w:t>序号</w:t>
            </w:r>
          </w:p>
        </w:tc>
        <w:tc>
          <w:tcPr>
            <w:tcW w:w="4789" w:type="dxa"/>
            <w:gridSpan w:val="3"/>
            <w:tcBorders>
              <w:top w:val="single" w:color="000000" w:sz="4" w:space="0"/>
              <w:left w:val="nil"/>
              <w:bottom w:val="single" w:color="000000" w:sz="4" w:space="0"/>
              <w:right w:val="single" w:color="000000" w:sz="4" w:space="0"/>
            </w:tcBorders>
            <w:noWrap/>
            <w:vAlign w:val="center"/>
          </w:tcPr>
          <w:p w14:paraId="30D14733">
            <w:pPr>
              <w:spacing w:line="360" w:lineRule="exact"/>
              <w:ind w:firstLine="0" w:firstLineChars="0"/>
              <w:rPr>
                <w:rFonts w:hint="eastAsia" w:hAnsi="Times New Roman"/>
                <w:sz w:val="24"/>
                <w:szCs w:val="24"/>
              </w:rPr>
            </w:pPr>
            <w:r>
              <w:rPr>
                <w:rFonts w:hint="eastAsia" w:hAnsi="Times New Roman"/>
                <w:sz w:val="24"/>
                <w:szCs w:val="24"/>
              </w:rPr>
              <w:t>考核内容</w:t>
            </w:r>
          </w:p>
        </w:tc>
        <w:tc>
          <w:tcPr>
            <w:tcW w:w="1261" w:type="dxa"/>
            <w:tcBorders>
              <w:top w:val="single" w:color="000000" w:sz="4" w:space="0"/>
              <w:left w:val="nil"/>
              <w:bottom w:val="single" w:color="000000" w:sz="4" w:space="0"/>
              <w:right w:val="single" w:color="000000" w:sz="4" w:space="0"/>
            </w:tcBorders>
            <w:noWrap/>
            <w:vAlign w:val="center"/>
          </w:tcPr>
          <w:p w14:paraId="03B1CA11">
            <w:pPr>
              <w:spacing w:line="360" w:lineRule="exact"/>
              <w:ind w:firstLine="0" w:firstLineChars="0"/>
              <w:rPr>
                <w:rFonts w:hint="eastAsia" w:hAnsi="Times New Roman"/>
                <w:sz w:val="24"/>
                <w:szCs w:val="24"/>
              </w:rPr>
            </w:pPr>
            <w:r>
              <w:rPr>
                <w:rFonts w:hint="eastAsia" w:hAnsi="Times New Roman"/>
                <w:sz w:val="24"/>
                <w:szCs w:val="24"/>
              </w:rPr>
              <w:t>考核结论</w:t>
            </w:r>
          </w:p>
        </w:tc>
        <w:tc>
          <w:tcPr>
            <w:tcW w:w="1296" w:type="dxa"/>
            <w:tcBorders>
              <w:top w:val="single" w:color="000000" w:sz="4" w:space="0"/>
              <w:left w:val="nil"/>
              <w:bottom w:val="single" w:color="000000" w:sz="4" w:space="0"/>
              <w:right w:val="single" w:color="000000" w:sz="4" w:space="0"/>
            </w:tcBorders>
            <w:noWrap/>
            <w:vAlign w:val="center"/>
          </w:tcPr>
          <w:p w14:paraId="65E82D70">
            <w:pPr>
              <w:spacing w:line="360" w:lineRule="exact"/>
              <w:ind w:firstLine="0" w:firstLineChars="0"/>
              <w:rPr>
                <w:rFonts w:hint="eastAsia" w:hAnsi="Times New Roman"/>
                <w:sz w:val="24"/>
                <w:szCs w:val="24"/>
              </w:rPr>
            </w:pPr>
            <w:r>
              <w:rPr>
                <w:rFonts w:hint="eastAsia" w:hAnsi="Times New Roman"/>
                <w:sz w:val="24"/>
                <w:szCs w:val="24"/>
              </w:rPr>
              <w:t>备注</w:t>
            </w:r>
          </w:p>
        </w:tc>
      </w:tr>
      <w:tr w14:paraId="72C96E1E">
        <w:tblPrEx>
          <w:tblCellMar>
            <w:top w:w="0" w:type="dxa"/>
            <w:left w:w="108" w:type="dxa"/>
            <w:bottom w:w="0" w:type="dxa"/>
            <w:right w:w="108" w:type="dxa"/>
          </w:tblCellMar>
        </w:tblPrEx>
        <w:trPr>
          <w:cantSplit/>
          <w:trHeight w:val="1102" w:hRule="atLeast"/>
        </w:trPr>
        <w:tc>
          <w:tcPr>
            <w:tcW w:w="804" w:type="dxa"/>
            <w:vMerge w:val="continue"/>
            <w:tcBorders>
              <w:top w:val="nil"/>
              <w:left w:val="single" w:color="000000" w:sz="4" w:space="0"/>
              <w:bottom w:val="single" w:color="000000" w:sz="4" w:space="0"/>
              <w:right w:val="single" w:color="000000" w:sz="4" w:space="0"/>
            </w:tcBorders>
            <w:vAlign w:val="center"/>
          </w:tcPr>
          <w:p w14:paraId="7EFE17D3">
            <w:pPr>
              <w:spacing w:line="360" w:lineRule="exact"/>
              <w:ind w:firstLine="0" w:firstLineChars="0"/>
              <w:rPr>
                <w:rFonts w:hint="eastAsia" w:hAnsi="Times New Roman"/>
                <w:sz w:val="24"/>
                <w:szCs w:val="24"/>
              </w:rPr>
            </w:pPr>
          </w:p>
        </w:tc>
        <w:tc>
          <w:tcPr>
            <w:tcW w:w="712" w:type="dxa"/>
            <w:tcBorders>
              <w:top w:val="single" w:color="000000" w:sz="4" w:space="0"/>
              <w:left w:val="nil"/>
              <w:bottom w:val="single" w:color="000000" w:sz="4" w:space="0"/>
              <w:right w:val="single" w:color="000000" w:sz="4" w:space="0"/>
            </w:tcBorders>
            <w:noWrap/>
            <w:vAlign w:val="center"/>
          </w:tcPr>
          <w:p w14:paraId="266F7A02">
            <w:pPr>
              <w:spacing w:line="360" w:lineRule="exact"/>
              <w:ind w:firstLine="0" w:firstLineChars="0"/>
              <w:rPr>
                <w:rFonts w:hint="eastAsia" w:hAnsi="Times New Roman"/>
                <w:sz w:val="24"/>
                <w:szCs w:val="24"/>
              </w:rPr>
            </w:pPr>
            <w:r>
              <w:rPr>
                <w:rFonts w:hint="eastAsia" w:hAnsi="Times New Roman"/>
                <w:sz w:val="24"/>
                <w:szCs w:val="24"/>
              </w:rPr>
              <w:t>1</w:t>
            </w:r>
          </w:p>
        </w:tc>
        <w:tc>
          <w:tcPr>
            <w:tcW w:w="4789" w:type="dxa"/>
            <w:gridSpan w:val="3"/>
            <w:tcBorders>
              <w:top w:val="single" w:color="000000" w:sz="4" w:space="0"/>
              <w:left w:val="nil"/>
              <w:bottom w:val="single" w:color="000000" w:sz="4" w:space="0"/>
              <w:right w:val="single" w:color="000000" w:sz="4" w:space="0"/>
            </w:tcBorders>
            <w:vAlign w:val="center"/>
          </w:tcPr>
          <w:p w14:paraId="153BB2AF">
            <w:pPr>
              <w:spacing w:line="360" w:lineRule="exact"/>
              <w:ind w:firstLine="0" w:firstLineChars="0"/>
              <w:rPr>
                <w:rFonts w:hint="eastAsia" w:hAnsi="Times New Roman"/>
                <w:sz w:val="24"/>
                <w:szCs w:val="24"/>
              </w:rPr>
            </w:pPr>
            <w:r>
              <w:rPr>
                <w:rFonts w:hint="eastAsia" w:hAnsi="Times New Roman"/>
                <w:sz w:val="24"/>
                <w:szCs w:val="24"/>
              </w:rPr>
              <w:t>是否依法设立、具备相应资质条件、技术水平能力、综合实力等满足所承包业务需要。</w:t>
            </w:r>
          </w:p>
        </w:tc>
        <w:tc>
          <w:tcPr>
            <w:tcW w:w="1261" w:type="dxa"/>
            <w:tcBorders>
              <w:top w:val="single" w:color="000000" w:sz="4" w:space="0"/>
              <w:left w:val="nil"/>
              <w:bottom w:val="single" w:color="000000" w:sz="4" w:space="0"/>
              <w:right w:val="single" w:color="000000" w:sz="4" w:space="0"/>
            </w:tcBorders>
            <w:noWrap/>
            <w:vAlign w:val="center"/>
          </w:tcPr>
          <w:p w14:paraId="265DD48A">
            <w:pPr>
              <w:spacing w:line="360" w:lineRule="exact"/>
              <w:ind w:firstLine="0" w:firstLineChars="0"/>
              <w:rPr>
                <w:rFonts w:hint="eastAsia" w:hAnsi="Times New Roman"/>
                <w:sz w:val="24"/>
                <w:szCs w:val="24"/>
              </w:rPr>
            </w:pPr>
          </w:p>
        </w:tc>
        <w:tc>
          <w:tcPr>
            <w:tcW w:w="1296" w:type="dxa"/>
            <w:tcBorders>
              <w:top w:val="single" w:color="000000" w:sz="4" w:space="0"/>
              <w:left w:val="nil"/>
              <w:bottom w:val="single" w:color="000000" w:sz="4" w:space="0"/>
              <w:right w:val="single" w:color="000000" w:sz="4" w:space="0"/>
            </w:tcBorders>
            <w:noWrap/>
            <w:vAlign w:val="center"/>
          </w:tcPr>
          <w:p w14:paraId="340284FA">
            <w:pPr>
              <w:spacing w:line="360" w:lineRule="exact"/>
              <w:ind w:firstLine="0" w:firstLineChars="0"/>
              <w:rPr>
                <w:rFonts w:hint="eastAsia" w:hAnsi="Times New Roman"/>
                <w:sz w:val="24"/>
                <w:szCs w:val="24"/>
              </w:rPr>
            </w:pPr>
          </w:p>
        </w:tc>
      </w:tr>
      <w:tr w14:paraId="133C4608">
        <w:tblPrEx>
          <w:tblCellMar>
            <w:top w:w="0" w:type="dxa"/>
            <w:left w:w="108" w:type="dxa"/>
            <w:bottom w:w="0" w:type="dxa"/>
            <w:right w:w="108" w:type="dxa"/>
          </w:tblCellMar>
        </w:tblPrEx>
        <w:trPr>
          <w:cantSplit/>
          <w:trHeight w:val="981" w:hRule="atLeast"/>
        </w:trPr>
        <w:tc>
          <w:tcPr>
            <w:tcW w:w="804" w:type="dxa"/>
            <w:vMerge w:val="continue"/>
            <w:tcBorders>
              <w:top w:val="nil"/>
              <w:left w:val="single" w:color="000000" w:sz="4" w:space="0"/>
              <w:bottom w:val="single" w:color="000000" w:sz="4" w:space="0"/>
              <w:right w:val="single" w:color="000000" w:sz="4" w:space="0"/>
            </w:tcBorders>
            <w:vAlign w:val="center"/>
          </w:tcPr>
          <w:p w14:paraId="59B81611">
            <w:pPr>
              <w:spacing w:line="360" w:lineRule="exact"/>
              <w:ind w:firstLine="0" w:firstLineChars="0"/>
              <w:rPr>
                <w:rFonts w:hint="eastAsia" w:hAnsi="Times New Roman"/>
                <w:sz w:val="24"/>
                <w:szCs w:val="24"/>
              </w:rPr>
            </w:pPr>
          </w:p>
        </w:tc>
        <w:tc>
          <w:tcPr>
            <w:tcW w:w="712" w:type="dxa"/>
            <w:tcBorders>
              <w:top w:val="single" w:color="000000" w:sz="4" w:space="0"/>
              <w:left w:val="nil"/>
              <w:bottom w:val="single" w:color="000000" w:sz="4" w:space="0"/>
              <w:right w:val="single" w:color="000000" w:sz="4" w:space="0"/>
            </w:tcBorders>
            <w:noWrap/>
            <w:vAlign w:val="center"/>
          </w:tcPr>
          <w:p w14:paraId="6B25403D">
            <w:pPr>
              <w:spacing w:line="360" w:lineRule="exact"/>
              <w:ind w:firstLine="0" w:firstLineChars="0"/>
              <w:rPr>
                <w:rFonts w:hint="eastAsia" w:hAnsi="Times New Roman"/>
                <w:sz w:val="24"/>
                <w:szCs w:val="24"/>
              </w:rPr>
            </w:pPr>
            <w:r>
              <w:rPr>
                <w:rFonts w:hint="eastAsia" w:hAnsi="Times New Roman"/>
                <w:sz w:val="24"/>
                <w:szCs w:val="24"/>
              </w:rPr>
              <w:t>2</w:t>
            </w:r>
          </w:p>
        </w:tc>
        <w:tc>
          <w:tcPr>
            <w:tcW w:w="4789" w:type="dxa"/>
            <w:gridSpan w:val="3"/>
            <w:tcBorders>
              <w:top w:val="single" w:color="000000" w:sz="4" w:space="0"/>
              <w:left w:val="nil"/>
              <w:bottom w:val="single" w:color="000000" w:sz="4" w:space="0"/>
              <w:right w:val="single" w:color="000000" w:sz="4" w:space="0"/>
            </w:tcBorders>
            <w:vAlign w:val="center"/>
          </w:tcPr>
          <w:p w14:paraId="4DD62B08">
            <w:pPr>
              <w:spacing w:line="360" w:lineRule="exact"/>
              <w:ind w:firstLine="0" w:firstLineChars="0"/>
              <w:rPr>
                <w:rFonts w:hint="eastAsia" w:hAnsi="Times New Roman"/>
                <w:sz w:val="24"/>
                <w:szCs w:val="24"/>
              </w:rPr>
            </w:pPr>
            <w:r>
              <w:rPr>
                <w:rFonts w:hint="eastAsia" w:hAnsi="Times New Roman"/>
                <w:sz w:val="24"/>
                <w:szCs w:val="24"/>
              </w:rPr>
              <w:t>是否在国家、省、市、县安全生产“黑名单”管理期内</w:t>
            </w:r>
          </w:p>
        </w:tc>
        <w:tc>
          <w:tcPr>
            <w:tcW w:w="1261" w:type="dxa"/>
            <w:tcBorders>
              <w:top w:val="single" w:color="000000" w:sz="4" w:space="0"/>
              <w:left w:val="nil"/>
              <w:bottom w:val="single" w:color="000000" w:sz="4" w:space="0"/>
              <w:right w:val="single" w:color="000000" w:sz="4" w:space="0"/>
            </w:tcBorders>
            <w:noWrap/>
            <w:vAlign w:val="center"/>
          </w:tcPr>
          <w:p w14:paraId="6FD645CF">
            <w:pPr>
              <w:spacing w:line="360" w:lineRule="exact"/>
              <w:ind w:firstLine="0" w:firstLineChars="0"/>
              <w:rPr>
                <w:rFonts w:hint="eastAsia" w:hAnsi="Times New Roman"/>
                <w:sz w:val="24"/>
                <w:szCs w:val="24"/>
              </w:rPr>
            </w:pPr>
          </w:p>
        </w:tc>
        <w:tc>
          <w:tcPr>
            <w:tcW w:w="1296" w:type="dxa"/>
            <w:tcBorders>
              <w:top w:val="single" w:color="000000" w:sz="4" w:space="0"/>
              <w:left w:val="nil"/>
              <w:bottom w:val="single" w:color="000000" w:sz="4" w:space="0"/>
              <w:right w:val="single" w:color="000000" w:sz="4" w:space="0"/>
            </w:tcBorders>
            <w:noWrap/>
            <w:vAlign w:val="center"/>
          </w:tcPr>
          <w:p w14:paraId="7BD9737E">
            <w:pPr>
              <w:spacing w:line="360" w:lineRule="exact"/>
              <w:ind w:firstLine="0" w:firstLineChars="0"/>
              <w:rPr>
                <w:rFonts w:hint="eastAsia" w:hAnsi="Times New Roman"/>
                <w:sz w:val="24"/>
                <w:szCs w:val="24"/>
              </w:rPr>
            </w:pPr>
          </w:p>
        </w:tc>
      </w:tr>
      <w:tr w14:paraId="48EE8512">
        <w:tblPrEx>
          <w:tblCellMar>
            <w:top w:w="0" w:type="dxa"/>
            <w:left w:w="108" w:type="dxa"/>
            <w:bottom w:w="0" w:type="dxa"/>
            <w:right w:w="108" w:type="dxa"/>
          </w:tblCellMar>
        </w:tblPrEx>
        <w:trPr>
          <w:cantSplit/>
          <w:trHeight w:val="996" w:hRule="atLeast"/>
        </w:trPr>
        <w:tc>
          <w:tcPr>
            <w:tcW w:w="804" w:type="dxa"/>
            <w:vMerge w:val="continue"/>
            <w:tcBorders>
              <w:top w:val="nil"/>
              <w:left w:val="single" w:color="000000" w:sz="4" w:space="0"/>
              <w:bottom w:val="single" w:color="000000" w:sz="4" w:space="0"/>
              <w:right w:val="single" w:color="000000" w:sz="4" w:space="0"/>
            </w:tcBorders>
            <w:vAlign w:val="center"/>
          </w:tcPr>
          <w:p w14:paraId="4F5C2813">
            <w:pPr>
              <w:spacing w:line="360" w:lineRule="exact"/>
              <w:ind w:firstLine="0" w:firstLineChars="0"/>
              <w:rPr>
                <w:rFonts w:hint="eastAsia" w:hAnsi="Times New Roman"/>
                <w:sz w:val="24"/>
                <w:szCs w:val="24"/>
              </w:rPr>
            </w:pPr>
          </w:p>
        </w:tc>
        <w:tc>
          <w:tcPr>
            <w:tcW w:w="712" w:type="dxa"/>
            <w:tcBorders>
              <w:top w:val="single" w:color="000000" w:sz="4" w:space="0"/>
              <w:left w:val="nil"/>
              <w:bottom w:val="single" w:color="000000" w:sz="4" w:space="0"/>
              <w:right w:val="single" w:color="000000" w:sz="4" w:space="0"/>
            </w:tcBorders>
            <w:noWrap/>
            <w:vAlign w:val="center"/>
          </w:tcPr>
          <w:p w14:paraId="49389F7E">
            <w:pPr>
              <w:spacing w:line="360" w:lineRule="exact"/>
              <w:ind w:firstLine="0" w:firstLineChars="0"/>
              <w:rPr>
                <w:rFonts w:hint="eastAsia" w:hAnsi="Times New Roman"/>
                <w:sz w:val="24"/>
                <w:szCs w:val="24"/>
              </w:rPr>
            </w:pPr>
            <w:r>
              <w:rPr>
                <w:rFonts w:hint="eastAsia" w:hAnsi="Times New Roman"/>
                <w:sz w:val="24"/>
                <w:szCs w:val="24"/>
              </w:rPr>
              <w:t>3</w:t>
            </w:r>
          </w:p>
        </w:tc>
        <w:tc>
          <w:tcPr>
            <w:tcW w:w="4789" w:type="dxa"/>
            <w:gridSpan w:val="3"/>
            <w:tcBorders>
              <w:top w:val="single" w:color="000000" w:sz="4" w:space="0"/>
              <w:left w:val="nil"/>
              <w:bottom w:val="single" w:color="000000" w:sz="4" w:space="0"/>
              <w:right w:val="single" w:color="000000" w:sz="4" w:space="0"/>
            </w:tcBorders>
            <w:vAlign w:val="center"/>
          </w:tcPr>
          <w:p w14:paraId="0CF52F1C">
            <w:pPr>
              <w:spacing w:line="360" w:lineRule="exact"/>
              <w:ind w:firstLine="0" w:firstLineChars="0"/>
              <w:rPr>
                <w:rFonts w:hint="eastAsia" w:hAnsi="Times New Roman"/>
                <w:sz w:val="24"/>
                <w:szCs w:val="24"/>
              </w:rPr>
            </w:pPr>
            <w:r>
              <w:rPr>
                <w:rFonts w:hint="eastAsia" w:hAnsi="Times New Roman"/>
                <w:sz w:val="24"/>
                <w:szCs w:val="24"/>
              </w:rPr>
              <w:t>是否在</w:t>
            </w:r>
            <w:r>
              <w:rPr>
                <w:rFonts w:hint="eastAsia" w:hAnsi="Times New Roman"/>
                <w:sz w:val="24"/>
                <w:szCs w:val="24"/>
                <w:lang w:val="en-US" w:eastAsia="zh-CN"/>
              </w:rPr>
              <w:t>青春</w:t>
            </w:r>
            <w:r>
              <w:rPr>
                <w:rFonts w:hint="eastAsia" w:hAnsi="Times New Roman"/>
                <w:sz w:val="24"/>
                <w:szCs w:val="24"/>
              </w:rPr>
              <w:t>化工园区安全生产“黑名单”管理期内</w:t>
            </w:r>
          </w:p>
        </w:tc>
        <w:tc>
          <w:tcPr>
            <w:tcW w:w="1261" w:type="dxa"/>
            <w:tcBorders>
              <w:top w:val="single" w:color="000000" w:sz="4" w:space="0"/>
              <w:left w:val="nil"/>
              <w:bottom w:val="single" w:color="000000" w:sz="4" w:space="0"/>
              <w:right w:val="single" w:color="000000" w:sz="4" w:space="0"/>
            </w:tcBorders>
            <w:noWrap/>
            <w:vAlign w:val="center"/>
          </w:tcPr>
          <w:p w14:paraId="00F9F4C1">
            <w:pPr>
              <w:spacing w:line="360" w:lineRule="exact"/>
              <w:ind w:firstLine="0" w:firstLineChars="0"/>
              <w:rPr>
                <w:rFonts w:hint="eastAsia" w:hAnsi="Times New Roman"/>
                <w:sz w:val="24"/>
                <w:szCs w:val="24"/>
              </w:rPr>
            </w:pPr>
          </w:p>
        </w:tc>
        <w:tc>
          <w:tcPr>
            <w:tcW w:w="1296" w:type="dxa"/>
            <w:tcBorders>
              <w:top w:val="single" w:color="000000" w:sz="4" w:space="0"/>
              <w:left w:val="nil"/>
              <w:bottom w:val="single" w:color="000000" w:sz="4" w:space="0"/>
              <w:right w:val="single" w:color="000000" w:sz="4" w:space="0"/>
            </w:tcBorders>
            <w:noWrap/>
            <w:vAlign w:val="center"/>
          </w:tcPr>
          <w:p w14:paraId="4D686167">
            <w:pPr>
              <w:spacing w:line="360" w:lineRule="exact"/>
              <w:ind w:firstLine="0" w:firstLineChars="0"/>
              <w:rPr>
                <w:rFonts w:hint="eastAsia" w:hAnsi="Times New Roman"/>
                <w:sz w:val="24"/>
                <w:szCs w:val="24"/>
              </w:rPr>
            </w:pPr>
          </w:p>
        </w:tc>
      </w:tr>
      <w:tr w14:paraId="742FAA6E">
        <w:tblPrEx>
          <w:tblCellMar>
            <w:top w:w="0" w:type="dxa"/>
            <w:left w:w="108" w:type="dxa"/>
            <w:bottom w:w="0" w:type="dxa"/>
            <w:right w:w="108" w:type="dxa"/>
          </w:tblCellMar>
        </w:tblPrEx>
        <w:trPr>
          <w:cantSplit/>
          <w:trHeight w:val="1453" w:hRule="atLeast"/>
        </w:trPr>
        <w:tc>
          <w:tcPr>
            <w:tcW w:w="804" w:type="dxa"/>
            <w:vMerge w:val="continue"/>
            <w:tcBorders>
              <w:top w:val="nil"/>
              <w:left w:val="single" w:color="000000" w:sz="4" w:space="0"/>
              <w:bottom w:val="single" w:color="000000" w:sz="4" w:space="0"/>
              <w:right w:val="single" w:color="000000" w:sz="4" w:space="0"/>
            </w:tcBorders>
            <w:vAlign w:val="center"/>
          </w:tcPr>
          <w:p w14:paraId="42C85BA0">
            <w:pPr>
              <w:spacing w:line="360" w:lineRule="exact"/>
              <w:ind w:firstLine="0" w:firstLineChars="0"/>
              <w:rPr>
                <w:rFonts w:hint="eastAsia" w:hAnsi="Times New Roman"/>
                <w:sz w:val="24"/>
                <w:szCs w:val="24"/>
              </w:rPr>
            </w:pPr>
          </w:p>
        </w:tc>
        <w:tc>
          <w:tcPr>
            <w:tcW w:w="712" w:type="dxa"/>
            <w:tcBorders>
              <w:top w:val="single" w:color="000000" w:sz="4" w:space="0"/>
              <w:left w:val="nil"/>
              <w:bottom w:val="single" w:color="000000" w:sz="4" w:space="0"/>
              <w:right w:val="single" w:color="000000" w:sz="4" w:space="0"/>
            </w:tcBorders>
            <w:noWrap/>
            <w:vAlign w:val="center"/>
          </w:tcPr>
          <w:p w14:paraId="144CD097">
            <w:pPr>
              <w:spacing w:line="360" w:lineRule="exact"/>
              <w:ind w:firstLine="0" w:firstLineChars="0"/>
              <w:rPr>
                <w:rFonts w:hint="eastAsia" w:hAnsi="Times New Roman"/>
                <w:sz w:val="24"/>
                <w:szCs w:val="24"/>
              </w:rPr>
            </w:pPr>
            <w:r>
              <w:rPr>
                <w:rFonts w:hint="eastAsia" w:hAnsi="Times New Roman"/>
                <w:sz w:val="24"/>
                <w:szCs w:val="24"/>
              </w:rPr>
              <w:t>4</w:t>
            </w:r>
          </w:p>
        </w:tc>
        <w:tc>
          <w:tcPr>
            <w:tcW w:w="4789" w:type="dxa"/>
            <w:gridSpan w:val="3"/>
            <w:tcBorders>
              <w:top w:val="single" w:color="000000" w:sz="4" w:space="0"/>
              <w:left w:val="nil"/>
              <w:bottom w:val="single" w:color="000000" w:sz="4" w:space="0"/>
              <w:right w:val="single" w:color="000000" w:sz="4" w:space="0"/>
            </w:tcBorders>
            <w:vAlign w:val="center"/>
          </w:tcPr>
          <w:p w14:paraId="7E1BEF80">
            <w:pPr>
              <w:spacing w:line="360" w:lineRule="exact"/>
              <w:ind w:firstLine="0" w:firstLineChars="0"/>
              <w:rPr>
                <w:rFonts w:hint="eastAsia" w:hAnsi="Times New Roman"/>
                <w:sz w:val="24"/>
                <w:szCs w:val="24"/>
              </w:rPr>
            </w:pPr>
            <w:r>
              <w:rPr>
                <w:rFonts w:hint="eastAsia" w:hAnsi="Times New Roman"/>
                <w:sz w:val="24"/>
                <w:szCs w:val="24"/>
              </w:rPr>
              <w:t>是否承诺遵守化工园区和业务发包方的各项管理规定，接受安全管理、监督和指导，做好各类安全检查问题和隐患的整改</w:t>
            </w:r>
          </w:p>
        </w:tc>
        <w:tc>
          <w:tcPr>
            <w:tcW w:w="1261" w:type="dxa"/>
            <w:tcBorders>
              <w:top w:val="single" w:color="000000" w:sz="4" w:space="0"/>
              <w:left w:val="nil"/>
              <w:bottom w:val="single" w:color="000000" w:sz="4" w:space="0"/>
              <w:right w:val="single" w:color="000000" w:sz="4" w:space="0"/>
            </w:tcBorders>
            <w:noWrap/>
            <w:vAlign w:val="center"/>
          </w:tcPr>
          <w:p w14:paraId="6EAE983F">
            <w:pPr>
              <w:spacing w:line="360" w:lineRule="exact"/>
              <w:ind w:firstLine="0" w:firstLineChars="0"/>
              <w:rPr>
                <w:rFonts w:hint="eastAsia" w:hAnsi="Times New Roman"/>
                <w:sz w:val="24"/>
                <w:szCs w:val="24"/>
              </w:rPr>
            </w:pPr>
          </w:p>
        </w:tc>
        <w:tc>
          <w:tcPr>
            <w:tcW w:w="1296" w:type="dxa"/>
            <w:tcBorders>
              <w:top w:val="single" w:color="000000" w:sz="4" w:space="0"/>
              <w:left w:val="nil"/>
              <w:bottom w:val="single" w:color="000000" w:sz="4" w:space="0"/>
              <w:right w:val="single" w:color="000000" w:sz="4" w:space="0"/>
            </w:tcBorders>
            <w:noWrap/>
            <w:vAlign w:val="center"/>
          </w:tcPr>
          <w:p w14:paraId="6D16F28E">
            <w:pPr>
              <w:spacing w:line="360" w:lineRule="exact"/>
              <w:ind w:firstLine="0" w:firstLineChars="0"/>
              <w:rPr>
                <w:rFonts w:hint="eastAsia" w:hAnsi="Times New Roman"/>
                <w:sz w:val="24"/>
                <w:szCs w:val="24"/>
              </w:rPr>
            </w:pPr>
          </w:p>
        </w:tc>
      </w:tr>
      <w:tr w14:paraId="7F7A3C3E">
        <w:tblPrEx>
          <w:tblCellMar>
            <w:top w:w="0" w:type="dxa"/>
            <w:left w:w="108" w:type="dxa"/>
            <w:bottom w:w="0" w:type="dxa"/>
            <w:right w:w="108" w:type="dxa"/>
          </w:tblCellMar>
        </w:tblPrEx>
        <w:trPr>
          <w:cantSplit/>
          <w:trHeight w:val="1342" w:hRule="atLeast"/>
        </w:trPr>
        <w:tc>
          <w:tcPr>
            <w:tcW w:w="804" w:type="dxa"/>
            <w:vMerge w:val="continue"/>
            <w:tcBorders>
              <w:top w:val="nil"/>
              <w:left w:val="single" w:color="000000" w:sz="4" w:space="0"/>
              <w:bottom w:val="single" w:color="000000" w:sz="4" w:space="0"/>
              <w:right w:val="single" w:color="000000" w:sz="4" w:space="0"/>
            </w:tcBorders>
            <w:vAlign w:val="center"/>
          </w:tcPr>
          <w:p w14:paraId="746A0622">
            <w:pPr>
              <w:spacing w:line="360" w:lineRule="exact"/>
              <w:ind w:firstLine="0" w:firstLineChars="0"/>
              <w:rPr>
                <w:rFonts w:hint="eastAsia" w:hAnsi="Times New Roman"/>
                <w:sz w:val="24"/>
                <w:szCs w:val="24"/>
              </w:rPr>
            </w:pPr>
          </w:p>
        </w:tc>
        <w:tc>
          <w:tcPr>
            <w:tcW w:w="712" w:type="dxa"/>
            <w:tcBorders>
              <w:top w:val="single" w:color="000000" w:sz="4" w:space="0"/>
              <w:left w:val="nil"/>
              <w:bottom w:val="single" w:color="000000" w:sz="4" w:space="0"/>
              <w:right w:val="single" w:color="000000" w:sz="4" w:space="0"/>
            </w:tcBorders>
            <w:noWrap/>
            <w:vAlign w:val="center"/>
          </w:tcPr>
          <w:p w14:paraId="52E6C387">
            <w:pPr>
              <w:spacing w:line="360" w:lineRule="exact"/>
              <w:ind w:firstLine="0" w:firstLineChars="0"/>
              <w:rPr>
                <w:rFonts w:hint="eastAsia" w:hAnsi="Times New Roman"/>
                <w:sz w:val="24"/>
                <w:szCs w:val="24"/>
              </w:rPr>
            </w:pPr>
            <w:r>
              <w:rPr>
                <w:rFonts w:hint="eastAsia" w:hAnsi="Times New Roman"/>
                <w:sz w:val="24"/>
                <w:szCs w:val="24"/>
              </w:rPr>
              <w:t>5</w:t>
            </w:r>
          </w:p>
        </w:tc>
        <w:tc>
          <w:tcPr>
            <w:tcW w:w="4789" w:type="dxa"/>
            <w:gridSpan w:val="3"/>
            <w:tcBorders>
              <w:top w:val="single" w:color="000000" w:sz="4" w:space="0"/>
              <w:left w:val="nil"/>
              <w:bottom w:val="single" w:color="000000" w:sz="4" w:space="0"/>
              <w:right w:val="single" w:color="000000" w:sz="4" w:space="0"/>
            </w:tcBorders>
            <w:vAlign w:val="center"/>
          </w:tcPr>
          <w:p w14:paraId="2E3377F0">
            <w:pPr>
              <w:spacing w:line="360" w:lineRule="exact"/>
              <w:ind w:firstLine="0" w:firstLineChars="0"/>
              <w:rPr>
                <w:rFonts w:hint="eastAsia" w:hAnsi="Times New Roman"/>
                <w:sz w:val="24"/>
                <w:szCs w:val="24"/>
              </w:rPr>
            </w:pPr>
            <w:r>
              <w:rPr>
                <w:rFonts w:hint="eastAsia" w:hAnsi="Times New Roman"/>
                <w:sz w:val="24"/>
                <w:szCs w:val="24"/>
              </w:rPr>
              <w:t>是否制定作业施工方案和安全管理方案，明确作业内容、作业范围、作业步骤、安全管理要求及安全防范措施等</w:t>
            </w:r>
          </w:p>
        </w:tc>
        <w:tc>
          <w:tcPr>
            <w:tcW w:w="1261" w:type="dxa"/>
            <w:tcBorders>
              <w:top w:val="single" w:color="000000" w:sz="4" w:space="0"/>
              <w:left w:val="nil"/>
              <w:bottom w:val="single" w:color="000000" w:sz="4" w:space="0"/>
              <w:right w:val="single" w:color="000000" w:sz="4" w:space="0"/>
            </w:tcBorders>
            <w:noWrap/>
            <w:vAlign w:val="center"/>
          </w:tcPr>
          <w:p w14:paraId="6C982F30">
            <w:pPr>
              <w:spacing w:line="360" w:lineRule="exact"/>
              <w:ind w:firstLine="0" w:firstLineChars="0"/>
              <w:rPr>
                <w:rFonts w:hint="eastAsia" w:hAnsi="Times New Roman"/>
                <w:sz w:val="24"/>
                <w:szCs w:val="24"/>
              </w:rPr>
            </w:pPr>
          </w:p>
        </w:tc>
        <w:tc>
          <w:tcPr>
            <w:tcW w:w="1296" w:type="dxa"/>
            <w:tcBorders>
              <w:top w:val="single" w:color="000000" w:sz="4" w:space="0"/>
              <w:left w:val="nil"/>
              <w:bottom w:val="single" w:color="000000" w:sz="4" w:space="0"/>
              <w:right w:val="single" w:color="000000" w:sz="4" w:space="0"/>
            </w:tcBorders>
            <w:noWrap/>
            <w:vAlign w:val="center"/>
          </w:tcPr>
          <w:p w14:paraId="15E1EB6D">
            <w:pPr>
              <w:spacing w:line="360" w:lineRule="exact"/>
              <w:ind w:firstLine="0" w:firstLineChars="0"/>
              <w:rPr>
                <w:rFonts w:hint="eastAsia" w:hAnsi="Times New Roman"/>
                <w:sz w:val="24"/>
                <w:szCs w:val="24"/>
              </w:rPr>
            </w:pPr>
          </w:p>
        </w:tc>
      </w:tr>
      <w:tr w14:paraId="068BB55E">
        <w:tblPrEx>
          <w:tblCellMar>
            <w:top w:w="0" w:type="dxa"/>
            <w:left w:w="108" w:type="dxa"/>
            <w:bottom w:w="0" w:type="dxa"/>
            <w:right w:w="108" w:type="dxa"/>
          </w:tblCellMar>
        </w:tblPrEx>
        <w:trPr>
          <w:cantSplit/>
          <w:trHeight w:val="1453" w:hRule="atLeast"/>
        </w:trPr>
        <w:tc>
          <w:tcPr>
            <w:tcW w:w="804" w:type="dxa"/>
            <w:vMerge w:val="continue"/>
            <w:tcBorders>
              <w:top w:val="nil"/>
              <w:left w:val="single" w:color="000000" w:sz="4" w:space="0"/>
              <w:bottom w:val="single" w:color="000000" w:sz="4" w:space="0"/>
              <w:right w:val="single" w:color="000000" w:sz="4" w:space="0"/>
            </w:tcBorders>
            <w:vAlign w:val="center"/>
          </w:tcPr>
          <w:p w14:paraId="55F79B68">
            <w:pPr>
              <w:spacing w:line="360" w:lineRule="exact"/>
              <w:ind w:firstLine="0" w:firstLineChars="0"/>
              <w:rPr>
                <w:rFonts w:hint="eastAsia" w:hAnsi="Times New Roman"/>
                <w:sz w:val="24"/>
                <w:szCs w:val="24"/>
              </w:rPr>
            </w:pPr>
          </w:p>
        </w:tc>
        <w:tc>
          <w:tcPr>
            <w:tcW w:w="712" w:type="dxa"/>
            <w:tcBorders>
              <w:top w:val="single" w:color="000000" w:sz="4" w:space="0"/>
              <w:left w:val="nil"/>
              <w:bottom w:val="single" w:color="000000" w:sz="4" w:space="0"/>
              <w:right w:val="single" w:color="000000" w:sz="4" w:space="0"/>
            </w:tcBorders>
            <w:noWrap/>
            <w:vAlign w:val="center"/>
          </w:tcPr>
          <w:p w14:paraId="0B0664DA">
            <w:pPr>
              <w:spacing w:line="360" w:lineRule="exact"/>
              <w:ind w:firstLine="0" w:firstLineChars="0"/>
              <w:rPr>
                <w:rFonts w:hint="eastAsia" w:hAnsi="Times New Roman"/>
                <w:sz w:val="24"/>
                <w:szCs w:val="24"/>
              </w:rPr>
            </w:pPr>
            <w:r>
              <w:rPr>
                <w:rFonts w:hint="eastAsia" w:hAnsi="Times New Roman"/>
                <w:sz w:val="24"/>
                <w:szCs w:val="24"/>
              </w:rPr>
              <w:t>6</w:t>
            </w:r>
          </w:p>
        </w:tc>
        <w:tc>
          <w:tcPr>
            <w:tcW w:w="4789" w:type="dxa"/>
            <w:gridSpan w:val="3"/>
            <w:tcBorders>
              <w:top w:val="single" w:color="000000" w:sz="4" w:space="0"/>
              <w:left w:val="nil"/>
              <w:bottom w:val="single" w:color="000000" w:sz="4" w:space="0"/>
              <w:right w:val="single" w:color="000000" w:sz="4" w:space="0"/>
            </w:tcBorders>
            <w:vAlign w:val="center"/>
          </w:tcPr>
          <w:p w14:paraId="6A70D593">
            <w:pPr>
              <w:spacing w:line="360" w:lineRule="exact"/>
              <w:ind w:firstLine="0" w:firstLineChars="0"/>
              <w:rPr>
                <w:rFonts w:hint="eastAsia" w:hAnsi="Times New Roman"/>
                <w:sz w:val="24"/>
                <w:szCs w:val="24"/>
              </w:rPr>
            </w:pPr>
            <w:r>
              <w:rPr>
                <w:rFonts w:hint="eastAsia" w:hAnsi="Times New Roman"/>
                <w:sz w:val="24"/>
                <w:szCs w:val="24"/>
              </w:rPr>
              <w:t>是否设置专职安全管理人员，做好现场安全检查和日常安全管理工作，落实作业安全防范措施</w:t>
            </w:r>
          </w:p>
        </w:tc>
        <w:tc>
          <w:tcPr>
            <w:tcW w:w="1261" w:type="dxa"/>
            <w:tcBorders>
              <w:top w:val="single" w:color="000000" w:sz="4" w:space="0"/>
              <w:left w:val="nil"/>
              <w:bottom w:val="single" w:color="000000" w:sz="4" w:space="0"/>
              <w:right w:val="single" w:color="000000" w:sz="4" w:space="0"/>
            </w:tcBorders>
            <w:noWrap/>
            <w:vAlign w:val="center"/>
          </w:tcPr>
          <w:p w14:paraId="3AE30139">
            <w:pPr>
              <w:spacing w:line="360" w:lineRule="exact"/>
              <w:ind w:firstLine="0" w:firstLineChars="0"/>
              <w:rPr>
                <w:rFonts w:hint="eastAsia" w:hAnsi="Times New Roman"/>
                <w:sz w:val="24"/>
                <w:szCs w:val="24"/>
              </w:rPr>
            </w:pPr>
          </w:p>
        </w:tc>
        <w:tc>
          <w:tcPr>
            <w:tcW w:w="1296" w:type="dxa"/>
            <w:tcBorders>
              <w:top w:val="single" w:color="000000" w:sz="4" w:space="0"/>
              <w:left w:val="nil"/>
              <w:bottom w:val="single" w:color="000000" w:sz="4" w:space="0"/>
              <w:right w:val="single" w:color="000000" w:sz="4" w:space="0"/>
            </w:tcBorders>
            <w:noWrap/>
            <w:vAlign w:val="center"/>
          </w:tcPr>
          <w:p w14:paraId="0439560D">
            <w:pPr>
              <w:spacing w:line="360" w:lineRule="exact"/>
              <w:ind w:firstLine="0" w:firstLineChars="0"/>
              <w:rPr>
                <w:rFonts w:hint="eastAsia" w:hAnsi="Times New Roman"/>
                <w:sz w:val="24"/>
                <w:szCs w:val="24"/>
              </w:rPr>
            </w:pPr>
          </w:p>
        </w:tc>
      </w:tr>
      <w:tr w14:paraId="605F8AD6">
        <w:tblPrEx>
          <w:tblCellMar>
            <w:top w:w="0" w:type="dxa"/>
            <w:left w:w="108" w:type="dxa"/>
            <w:bottom w:w="0" w:type="dxa"/>
            <w:right w:w="108" w:type="dxa"/>
          </w:tblCellMar>
        </w:tblPrEx>
        <w:trPr>
          <w:cantSplit/>
          <w:trHeight w:val="600" w:hRule="atLeast"/>
        </w:trPr>
        <w:tc>
          <w:tcPr>
            <w:tcW w:w="804" w:type="dxa"/>
            <w:vMerge w:val="continue"/>
            <w:tcBorders>
              <w:top w:val="nil"/>
              <w:left w:val="single" w:color="000000" w:sz="4" w:space="0"/>
              <w:bottom w:val="nil"/>
              <w:right w:val="single" w:color="000000" w:sz="4" w:space="0"/>
            </w:tcBorders>
            <w:vAlign w:val="center"/>
          </w:tcPr>
          <w:p w14:paraId="7EDDC618">
            <w:pPr>
              <w:spacing w:line="360" w:lineRule="exact"/>
              <w:ind w:firstLine="0" w:firstLineChars="0"/>
              <w:rPr>
                <w:rFonts w:hint="eastAsia" w:hAnsi="Times New Roman"/>
                <w:sz w:val="24"/>
                <w:szCs w:val="24"/>
              </w:rPr>
            </w:pPr>
          </w:p>
        </w:tc>
        <w:tc>
          <w:tcPr>
            <w:tcW w:w="712" w:type="dxa"/>
            <w:tcBorders>
              <w:top w:val="single" w:color="000000" w:sz="4" w:space="0"/>
              <w:left w:val="nil"/>
              <w:bottom w:val="single" w:color="000000" w:sz="4" w:space="0"/>
              <w:right w:val="single" w:color="000000" w:sz="4" w:space="0"/>
            </w:tcBorders>
            <w:noWrap/>
            <w:vAlign w:val="center"/>
          </w:tcPr>
          <w:p w14:paraId="031AD30B">
            <w:pPr>
              <w:spacing w:line="360" w:lineRule="exact"/>
              <w:ind w:firstLine="0" w:firstLineChars="0"/>
              <w:rPr>
                <w:rFonts w:hint="eastAsia" w:hAnsi="Times New Roman"/>
                <w:sz w:val="24"/>
                <w:szCs w:val="24"/>
              </w:rPr>
            </w:pPr>
            <w:r>
              <w:rPr>
                <w:rFonts w:hint="eastAsia" w:hAnsi="Times New Roman"/>
                <w:sz w:val="24"/>
                <w:szCs w:val="24"/>
              </w:rPr>
              <w:t>7</w:t>
            </w:r>
          </w:p>
        </w:tc>
        <w:tc>
          <w:tcPr>
            <w:tcW w:w="4789" w:type="dxa"/>
            <w:gridSpan w:val="3"/>
            <w:tcBorders>
              <w:top w:val="single" w:color="000000" w:sz="4" w:space="0"/>
              <w:left w:val="nil"/>
              <w:bottom w:val="single" w:color="000000" w:sz="4" w:space="0"/>
              <w:right w:val="single" w:color="000000" w:sz="4" w:space="0"/>
            </w:tcBorders>
            <w:vAlign w:val="center"/>
          </w:tcPr>
          <w:p w14:paraId="7308091B">
            <w:pPr>
              <w:spacing w:line="360" w:lineRule="exact"/>
              <w:ind w:firstLine="0" w:firstLineChars="0"/>
              <w:rPr>
                <w:rFonts w:hint="eastAsia" w:hAnsi="Times New Roman"/>
                <w:sz w:val="24"/>
                <w:szCs w:val="24"/>
              </w:rPr>
            </w:pPr>
            <w:r>
              <w:rPr>
                <w:rFonts w:hint="eastAsia" w:hAnsi="Times New Roman"/>
                <w:sz w:val="24"/>
                <w:szCs w:val="24"/>
              </w:rPr>
              <w:t>进入现场的特种设备是否合格，并安排持证人员操作</w:t>
            </w:r>
          </w:p>
        </w:tc>
        <w:tc>
          <w:tcPr>
            <w:tcW w:w="1261" w:type="dxa"/>
            <w:tcBorders>
              <w:top w:val="single" w:color="000000" w:sz="4" w:space="0"/>
              <w:left w:val="nil"/>
              <w:bottom w:val="single" w:color="000000" w:sz="4" w:space="0"/>
              <w:right w:val="single" w:color="000000" w:sz="4" w:space="0"/>
            </w:tcBorders>
            <w:noWrap/>
            <w:vAlign w:val="center"/>
          </w:tcPr>
          <w:p w14:paraId="42336ED3">
            <w:pPr>
              <w:spacing w:line="360" w:lineRule="exact"/>
              <w:ind w:firstLine="0" w:firstLineChars="0"/>
              <w:rPr>
                <w:rFonts w:hint="eastAsia" w:hAnsi="Times New Roman"/>
                <w:sz w:val="24"/>
                <w:szCs w:val="24"/>
              </w:rPr>
            </w:pPr>
          </w:p>
        </w:tc>
        <w:tc>
          <w:tcPr>
            <w:tcW w:w="1296" w:type="dxa"/>
            <w:tcBorders>
              <w:top w:val="single" w:color="000000" w:sz="4" w:space="0"/>
              <w:left w:val="nil"/>
              <w:bottom w:val="single" w:color="000000" w:sz="4" w:space="0"/>
              <w:right w:val="single" w:color="000000" w:sz="4" w:space="0"/>
            </w:tcBorders>
            <w:noWrap/>
            <w:vAlign w:val="center"/>
          </w:tcPr>
          <w:p w14:paraId="2FE0CBF4">
            <w:pPr>
              <w:spacing w:line="360" w:lineRule="exact"/>
              <w:ind w:firstLine="0" w:firstLineChars="0"/>
              <w:rPr>
                <w:rFonts w:hint="eastAsia" w:hAnsi="Times New Roman"/>
                <w:sz w:val="24"/>
                <w:szCs w:val="24"/>
              </w:rPr>
            </w:pPr>
          </w:p>
        </w:tc>
      </w:tr>
      <w:tr w14:paraId="529FCC44">
        <w:tblPrEx>
          <w:tblCellMar>
            <w:top w:w="0" w:type="dxa"/>
            <w:left w:w="108" w:type="dxa"/>
            <w:bottom w:w="0" w:type="dxa"/>
            <w:right w:w="108" w:type="dxa"/>
          </w:tblCellMar>
        </w:tblPrEx>
        <w:trPr>
          <w:cantSplit/>
          <w:trHeight w:val="600" w:hRule="atLeast"/>
        </w:trPr>
        <w:tc>
          <w:tcPr>
            <w:tcW w:w="804" w:type="dxa"/>
            <w:tcBorders>
              <w:top w:val="nil"/>
              <w:left w:val="single" w:color="000000" w:sz="4" w:space="0"/>
              <w:bottom w:val="nil"/>
              <w:right w:val="single" w:color="000000" w:sz="4" w:space="0"/>
            </w:tcBorders>
            <w:vAlign w:val="center"/>
          </w:tcPr>
          <w:p w14:paraId="4C396123">
            <w:pPr>
              <w:spacing w:line="360" w:lineRule="exact"/>
              <w:ind w:firstLine="0" w:firstLineChars="0"/>
              <w:rPr>
                <w:rFonts w:hint="eastAsia" w:hAnsi="Times New Roman"/>
                <w:sz w:val="24"/>
                <w:szCs w:val="24"/>
              </w:rPr>
            </w:pPr>
          </w:p>
        </w:tc>
        <w:tc>
          <w:tcPr>
            <w:tcW w:w="712" w:type="dxa"/>
            <w:tcBorders>
              <w:top w:val="single" w:color="000000" w:sz="4" w:space="0"/>
              <w:left w:val="nil"/>
              <w:bottom w:val="single" w:color="000000" w:sz="4" w:space="0"/>
              <w:right w:val="single" w:color="000000" w:sz="4" w:space="0"/>
            </w:tcBorders>
            <w:noWrap/>
            <w:vAlign w:val="center"/>
          </w:tcPr>
          <w:p w14:paraId="70FE8896">
            <w:pPr>
              <w:spacing w:line="360" w:lineRule="exact"/>
              <w:ind w:firstLine="0" w:firstLineChars="0"/>
              <w:rPr>
                <w:rFonts w:hAnsi="Times New Roman"/>
                <w:sz w:val="24"/>
                <w:szCs w:val="24"/>
              </w:rPr>
            </w:pPr>
            <w:r>
              <w:rPr>
                <w:rFonts w:hint="eastAsia" w:hAnsi="Times New Roman"/>
                <w:sz w:val="24"/>
                <w:szCs w:val="24"/>
              </w:rPr>
              <w:t>8</w:t>
            </w:r>
          </w:p>
        </w:tc>
        <w:tc>
          <w:tcPr>
            <w:tcW w:w="4789" w:type="dxa"/>
            <w:gridSpan w:val="3"/>
            <w:tcBorders>
              <w:top w:val="single" w:color="000000" w:sz="4" w:space="0"/>
              <w:left w:val="nil"/>
              <w:bottom w:val="single" w:color="000000" w:sz="4" w:space="0"/>
              <w:right w:val="single" w:color="000000" w:sz="4" w:space="0"/>
            </w:tcBorders>
            <w:vAlign w:val="center"/>
          </w:tcPr>
          <w:p w14:paraId="76329323">
            <w:pPr>
              <w:spacing w:line="360" w:lineRule="exact"/>
              <w:ind w:firstLine="0" w:firstLineChars="0"/>
              <w:rPr>
                <w:rFonts w:hint="eastAsia" w:hAnsi="Times New Roman"/>
                <w:sz w:val="24"/>
                <w:szCs w:val="24"/>
              </w:rPr>
            </w:pPr>
            <w:r>
              <w:rPr>
                <w:rFonts w:hint="eastAsia" w:hAnsi="Times New Roman"/>
                <w:sz w:val="24"/>
                <w:szCs w:val="24"/>
              </w:rPr>
              <w:t>是否依法为作业人员缴纳工伤等社会保险，并主动向业务发包方提供投保有效证明</w:t>
            </w:r>
          </w:p>
        </w:tc>
        <w:tc>
          <w:tcPr>
            <w:tcW w:w="1261" w:type="dxa"/>
            <w:tcBorders>
              <w:top w:val="single" w:color="000000" w:sz="4" w:space="0"/>
              <w:left w:val="nil"/>
              <w:bottom w:val="single" w:color="000000" w:sz="4" w:space="0"/>
              <w:right w:val="single" w:color="000000" w:sz="4" w:space="0"/>
            </w:tcBorders>
            <w:noWrap/>
            <w:vAlign w:val="center"/>
          </w:tcPr>
          <w:p w14:paraId="6AD45E34">
            <w:pPr>
              <w:spacing w:line="360" w:lineRule="exact"/>
              <w:ind w:firstLine="0" w:firstLineChars="0"/>
              <w:rPr>
                <w:rFonts w:hint="eastAsia" w:hAnsi="Times New Roman"/>
                <w:sz w:val="24"/>
                <w:szCs w:val="24"/>
              </w:rPr>
            </w:pPr>
          </w:p>
        </w:tc>
        <w:tc>
          <w:tcPr>
            <w:tcW w:w="1296" w:type="dxa"/>
            <w:tcBorders>
              <w:top w:val="single" w:color="000000" w:sz="4" w:space="0"/>
              <w:left w:val="nil"/>
              <w:bottom w:val="single" w:color="000000" w:sz="4" w:space="0"/>
              <w:right w:val="single" w:color="000000" w:sz="4" w:space="0"/>
            </w:tcBorders>
            <w:noWrap/>
            <w:vAlign w:val="center"/>
          </w:tcPr>
          <w:p w14:paraId="7F39F8DE">
            <w:pPr>
              <w:spacing w:line="360" w:lineRule="exact"/>
              <w:ind w:firstLine="0" w:firstLineChars="0"/>
              <w:rPr>
                <w:rFonts w:hint="eastAsia" w:hAnsi="Times New Roman"/>
                <w:sz w:val="24"/>
                <w:szCs w:val="24"/>
              </w:rPr>
            </w:pPr>
          </w:p>
        </w:tc>
      </w:tr>
      <w:tr w14:paraId="71A756B0">
        <w:tblPrEx>
          <w:tblCellMar>
            <w:top w:w="0" w:type="dxa"/>
            <w:left w:w="108" w:type="dxa"/>
            <w:bottom w:w="0" w:type="dxa"/>
            <w:right w:w="108" w:type="dxa"/>
          </w:tblCellMar>
        </w:tblPrEx>
        <w:trPr>
          <w:cantSplit/>
          <w:trHeight w:val="600" w:hRule="atLeast"/>
        </w:trPr>
        <w:tc>
          <w:tcPr>
            <w:tcW w:w="804" w:type="dxa"/>
            <w:tcBorders>
              <w:top w:val="nil"/>
              <w:left w:val="single" w:color="000000" w:sz="4" w:space="0"/>
              <w:bottom w:val="nil"/>
              <w:right w:val="single" w:color="000000" w:sz="4" w:space="0"/>
            </w:tcBorders>
            <w:vAlign w:val="center"/>
          </w:tcPr>
          <w:p w14:paraId="42B8567C">
            <w:pPr>
              <w:spacing w:line="360" w:lineRule="exact"/>
              <w:ind w:firstLine="0" w:firstLineChars="0"/>
              <w:rPr>
                <w:rFonts w:hint="eastAsia" w:hAnsi="Times New Roman"/>
                <w:sz w:val="24"/>
                <w:szCs w:val="24"/>
              </w:rPr>
            </w:pPr>
          </w:p>
        </w:tc>
        <w:tc>
          <w:tcPr>
            <w:tcW w:w="712" w:type="dxa"/>
            <w:tcBorders>
              <w:top w:val="single" w:color="000000" w:sz="4" w:space="0"/>
              <w:left w:val="nil"/>
              <w:bottom w:val="single" w:color="000000" w:sz="4" w:space="0"/>
              <w:right w:val="single" w:color="000000" w:sz="4" w:space="0"/>
            </w:tcBorders>
            <w:noWrap/>
            <w:vAlign w:val="center"/>
          </w:tcPr>
          <w:p w14:paraId="16DF90ED">
            <w:pPr>
              <w:spacing w:line="360" w:lineRule="exact"/>
              <w:ind w:firstLine="0" w:firstLineChars="0"/>
              <w:rPr>
                <w:rFonts w:hAnsi="Times New Roman"/>
                <w:sz w:val="24"/>
                <w:szCs w:val="24"/>
              </w:rPr>
            </w:pPr>
            <w:r>
              <w:rPr>
                <w:rFonts w:hint="eastAsia" w:hAnsi="Times New Roman"/>
                <w:sz w:val="24"/>
                <w:szCs w:val="24"/>
              </w:rPr>
              <w:t>9</w:t>
            </w:r>
          </w:p>
        </w:tc>
        <w:tc>
          <w:tcPr>
            <w:tcW w:w="4789" w:type="dxa"/>
            <w:gridSpan w:val="3"/>
            <w:tcBorders>
              <w:top w:val="single" w:color="000000" w:sz="4" w:space="0"/>
              <w:left w:val="nil"/>
              <w:bottom w:val="single" w:color="000000" w:sz="4" w:space="0"/>
              <w:right w:val="single" w:color="000000" w:sz="4" w:space="0"/>
            </w:tcBorders>
            <w:vAlign w:val="center"/>
          </w:tcPr>
          <w:p w14:paraId="5B87CC44">
            <w:pPr>
              <w:spacing w:line="360" w:lineRule="exact"/>
              <w:ind w:firstLine="0" w:firstLineChars="0"/>
              <w:rPr>
                <w:rFonts w:hint="eastAsia" w:hAnsi="Times New Roman"/>
                <w:sz w:val="24"/>
                <w:szCs w:val="24"/>
              </w:rPr>
            </w:pPr>
            <w:r>
              <w:rPr>
                <w:rFonts w:hint="eastAsia" w:hAnsi="Times New Roman"/>
                <w:sz w:val="24"/>
                <w:szCs w:val="24"/>
              </w:rPr>
              <w:t>是否与业务发包方签订安全协议</w:t>
            </w:r>
          </w:p>
        </w:tc>
        <w:tc>
          <w:tcPr>
            <w:tcW w:w="1261" w:type="dxa"/>
            <w:tcBorders>
              <w:top w:val="single" w:color="000000" w:sz="4" w:space="0"/>
              <w:left w:val="nil"/>
              <w:bottom w:val="single" w:color="000000" w:sz="4" w:space="0"/>
              <w:right w:val="single" w:color="000000" w:sz="4" w:space="0"/>
            </w:tcBorders>
            <w:noWrap/>
            <w:vAlign w:val="center"/>
          </w:tcPr>
          <w:p w14:paraId="02D69DDE">
            <w:pPr>
              <w:spacing w:line="360" w:lineRule="exact"/>
              <w:ind w:firstLine="0" w:firstLineChars="0"/>
              <w:rPr>
                <w:rFonts w:hint="eastAsia" w:hAnsi="Times New Roman"/>
                <w:sz w:val="24"/>
                <w:szCs w:val="24"/>
              </w:rPr>
            </w:pPr>
          </w:p>
        </w:tc>
        <w:tc>
          <w:tcPr>
            <w:tcW w:w="1296" w:type="dxa"/>
            <w:tcBorders>
              <w:top w:val="single" w:color="000000" w:sz="4" w:space="0"/>
              <w:left w:val="nil"/>
              <w:bottom w:val="single" w:color="000000" w:sz="4" w:space="0"/>
              <w:right w:val="single" w:color="000000" w:sz="4" w:space="0"/>
            </w:tcBorders>
            <w:noWrap/>
            <w:vAlign w:val="center"/>
          </w:tcPr>
          <w:p w14:paraId="03978F88">
            <w:pPr>
              <w:spacing w:line="360" w:lineRule="exact"/>
              <w:ind w:firstLine="0" w:firstLineChars="0"/>
              <w:rPr>
                <w:rFonts w:hint="eastAsia" w:hAnsi="Times New Roman"/>
                <w:sz w:val="24"/>
                <w:szCs w:val="24"/>
              </w:rPr>
            </w:pPr>
          </w:p>
        </w:tc>
      </w:tr>
      <w:tr w14:paraId="21CEB5A0">
        <w:tblPrEx>
          <w:tblCellMar>
            <w:top w:w="0" w:type="dxa"/>
            <w:left w:w="108" w:type="dxa"/>
            <w:bottom w:w="0" w:type="dxa"/>
            <w:right w:w="108" w:type="dxa"/>
          </w:tblCellMar>
        </w:tblPrEx>
        <w:trPr>
          <w:cantSplit/>
          <w:trHeight w:val="600" w:hRule="atLeast"/>
        </w:trPr>
        <w:tc>
          <w:tcPr>
            <w:tcW w:w="804" w:type="dxa"/>
            <w:tcBorders>
              <w:top w:val="nil"/>
              <w:left w:val="single" w:color="000000" w:sz="4" w:space="0"/>
              <w:bottom w:val="nil"/>
              <w:right w:val="single" w:color="000000" w:sz="4" w:space="0"/>
            </w:tcBorders>
            <w:vAlign w:val="center"/>
          </w:tcPr>
          <w:p w14:paraId="61484519">
            <w:pPr>
              <w:spacing w:line="360" w:lineRule="exact"/>
              <w:ind w:firstLine="0" w:firstLineChars="0"/>
              <w:rPr>
                <w:rFonts w:hint="eastAsia" w:hAnsi="Times New Roman"/>
                <w:sz w:val="24"/>
                <w:szCs w:val="24"/>
              </w:rPr>
            </w:pPr>
          </w:p>
        </w:tc>
        <w:tc>
          <w:tcPr>
            <w:tcW w:w="712" w:type="dxa"/>
            <w:tcBorders>
              <w:top w:val="single" w:color="000000" w:sz="4" w:space="0"/>
              <w:left w:val="nil"/>
              <w:bottom w:val="single" w:color="000000" w:sz="4" w:space="0"/>
              <w:right w:val="single" w:color="000000" w:sz="4" w:space="0"/>
            </w:tcBorders>
            <w:noWrap/>
            <w:vAlign w:val="center"/>
          </w:tcPr>
          <w:p w14:paraId="113880AE">
            <w:pPr>
              <w:spacing w:line="360" w:lineRule="exact"/>
              <w:ind w:firstLine="0" w:firstLineChars="0"/>
              <w:rPr>
                <w:rFonts w:hint="eastAsia" w:hAnsi="Times New Roman"/>
                <w:sz w:val="24"/>
                <w:szCs w:val="24"/>
              </w:rPr>
            </w:pPr>
            <w:r>
              <w:rPr>
                <w:rFonts w:hint="eastAsia" w:hAnsi="Times New Roman"/>
                <w:sz w:val="24"/>
                <w:szCs w:val="24"/>
              </w:rPr>
              <w:t>10</w:t>
            </w:r>
          </w:p>
        </w:tc>
        <w:tc>
          <w:tcPr>
            <w:tcW w:w="4789" w:type="dxa"/>
            <w:gridSpan w:val="3"/>
            <w:tcBorders>
              <w:top w:val="single" w:color="000000" w:sz="4" w:space="0"/>
              <w:left w:val="nil"/>
              <w:bottom w:val="single" w:color="000000" w:sz="4" w:space="0"/>
              <w:right w:val="single" w:color="000000" w:sz="4" w:space="0"/>
            </w:tcBorders>
            <w:vAlign w:val="center"/>
          </w:tcPr>
          <w:p w14:paraId="7602BA4E">
            <w:pPr>
              <w:spacing w:line="360" w:lineRule="exact"/>
              <w:ind w:firstLine="0" w:firstLineChars="0"/>
              <w:rPr>
                <w:rFonts w:hint="eastAsia" w:hAnsi="Times New Roman"/>
                <w:sz w:val="24"/>
                <w:szCs w:val="24"/>
              </w:rPr>
            </w:pPr>
            <w:r>
              <w:rPr>
                <w:rFonts w:hint="eastAsia" w:hAnsi="Times New Roman"/>
                <w:sz w:val="24"/>
                <w:szCs w:val="24"/>
              </w:rPr>
              <w:t>是否在合同约定的开工日期满1个月后，因承包商自身原因未开工的，或虽已开工但无实际进展的，或工作开展速度过慢，超过规定时间2个月以上</w:t>
            </w:r>
          </w:p>
        </w:tc>
        <w:tc>
          <w:tcPr>
            <w:tcW w:w="1261" w:type="dxa"/>
            <w:tcBorders>
              <w:top w:val="single" w:color="000000" w:sz="4" w:space="0"/>
              <w:left w:val="nil"/>
              <w:bottom w:val="single" w:color="000000" w:sz="4" w:space="0"/>
              <w:right w:val="single" w:color="000000" w:sz="4" w:space="0"/>
            </w:tcBorders>
            <w:noWrap/>
            <w:vAlign w:val="center"/>
          </w:tcPr>
          <w:p w14:paraId="0A890C73">
            <w:pPr>
              <w:spacing w:line="360" w:lineRule="exact"/>
              <w:ind w:firstLine="0" w:firstLineChars="0"/>
              <w:rPr>
                <w:rFonts w:hint="eastAsia" w:hAnsi="Times New Roman"/>
                <w:sz w:val="24"/>
                <w:szCs w:val="24"/>
              </w:rPr>
            </w:pPr>
          </w:p>
        </w:tc>
        <w:tc>
          <w:tcPr>
            <w:tcW w:w="1296" w:type="dxa"/>
            <w:tcBorders>
              <w:top w:val="single" w:color="000000" w:sz="4" w:space="0"/>
              <w:left w:val="nil"/>
              <w:bottom w:val="single" w:color="000000" w:sz="4" w:space="0"/>
              <w:right w:val="single" w:color="000000" w:sz="4" w:space="0"/>
            </w:tcBorders>
            <w:noWrap/>
            <w:vAlign w:val="center"/>
          </w:tcPr>
          <w:p w14:paraId="405CDCF1">
            <w:pPr>
              <w:spacing w:line="360" w:lineRule="exact"/>
              <w:ind w:firstLine="0" w:firstLineChars="0"/>
              <w:rPr>
                <w:rFonts w:hint="eastAsia" w:hAnsi="Times New Roman"/>
                <w:sz w:val="24"/>
                <w:szCs w:val="24"/>
              </w:rPr>
            </w:pPr>
          </w:p>
        </w:tc>
      </w:tr>
      <w:tr w14:paraId="20C0C99C">
        <w:tblPrEx>
          <w:tblCellMar>
            <w:top w:w="0" w:type="dxa"/>
            <w:left w:w="108" w:type="dxa"/>
            <w:bottom w:w="0" w:type="dxa"/>
            <w:right w:w="108" w:type="dxa"/>
          </w:tblCellMar>
        </w:tblPrEx>
        <w:trPr>
          <w:cantSplit/>
          <w:trHeight w:val="600" w:hRule="atLeast"/>
        </w:trPr>
        <w:tc>
          <w:tcPr>
            <w:tcW w:w="804" w:type="dxa"/>
            <w:tcBorders>
              <w:top w:val="nil"/>
              <w:left w:val="single" w:color="000000" w:sz="4" w:space="0"/>
              <w:bottom w:val="nil"/>
              <w:right w:val="single" w:color="000000" w:sz="4" w:space="0"/>
            </w:tcBorders>
            <w:vAlign w:val="center"/>
          </w:tcPr>
          <w:p w14:paraId="0C655BBA">
            <w:pPr>
              <w:spacing w:line="360" w:lineRule="exact"/>
              <w:ind w:firstLine="0" w:firstLineChars="0"/>
              <w:rPr>
                <w:rFonts w:hint="eastAsia" w:hAnsi="Times New Roman"/>
                <w:sz w:val="24"/>
                <w:szCs w:val="24"/>
              </w:rPr>
            </w:pPr>
          </w:p>
        </w:tc>
        <w:tc>
          <w:tcPr>
            <w:tcW w:w="712" w:type="dxa"/>
            <w:tcBorders>
              <w:top w:val="single" w:color="000000" w:sz="4" w:space="0"/>
              <w:left w:val="nil"/>
              <w:bottom w:val="single" w:color="000000" w:sz="4" w:space="0"/>
              <w:right w:val="single" w:color="000000" w:sz="4" w:space="0"/>
            </w:tcBorders>
            <w:noWrap/>
            <w:vAlign w:val="center"/>
          </w:tcPr>
          <w:p w14:paraId="768D8937">
            <w:pPr>
              <w:spacing w:line="360" w:lineRule="exact"/>
              <w:ind w:firstLine="0" w:firstLineChars="0"/>
              <w:rPr>
                <w:rFonts w:hAnsi="Times New Roman"/>
                <w:sz w:val="24"/>
                <w:szCs w:val="24"/>
              </w:rPr>
            </w:pPr>
            <w:r>
              <w:rPr>
                <w:rFonts w:hint="eastAsia" w:hAnsi="Times New Roman"/>
                <w:sz w:val="24"/>
                <w:szCs w:val="24"/>
              </w:rPr>
              <w:t>11</w:t>
            </w:r>
          </w:p>
        </w:tc>
        <w:tc>
          <w:tcPr>
            <w:tcW w:w="4789" w:type="dxa"/>
            <w:gridSpan w:val="3"/>
            <w:tcBorders>
              <w:top w:val="single" w:color="000000" w:sz="4" w:space="0"/>
              <w:left w:val="nil"/>
              <w:bottom w:val="single" w:color="000000" w:sz="4" w:space="0"/>
              <w:right w:val="single" w:color="000000" w:sz="4" w:space="0"/>
            </w:tcBorders>
            <w:vAlign w:val="center"/>
          </w:tcPr>
          <w:p w14:paraId="68DBE2AB">
            <w:pPr>
              <w:spacing w:line="360" w:lineRule="exact"/>
              <w:ind w:firstLine="0" w:firstLineChars="0"/>
              <w:rPr>
                <w:rFonts w:hint="eastAsia" w:hAnsi="Times New Roman"/>
                <w:sz w:val="24"/>
                <w:szCs w:val="24"/>
              </w:rPr>
            </w:pPr>
            <w:r>
              <w:rPr>
                <w:rFonts w:hint="eastAsia" w:hAnsi="Times New Roman"/>
                <w:sz w:val="24"/>
                <w:szCs w:val="24"/>
              </w:rPr>
              <w:t>是否因发生环境污染、安全生产事故或从事违法经营活动被查，造成重大社会不良影响</w:t>
            </w:r>
          </w:p>
        </w:tc>
        <w:tc>
          <w:tcPr>
            <w:tcW w:w="1261" w:type="dxa"/>
            <w:tcBorders>
              <w:top w:val="single" w:color="000000" w:sz="4" w:space="0"/>
              <w:left w:val="nil"/>
              <w:bottom w:val="single" w:color="000000" w:sz="4" w:space="0"/>
              <w:right w:val="single" w:color="000000" w:sz="4" w:space="0"/>
            </w:tcBorders>
            <w:noWrap/>
            <w:vAlign w:val="center"/>
          </w:tcPr>
          <w:p w14:paraId="70D8495D">
            <w:pPr>
              <w:spacing w:line="360" w:lineRule="exact"/>
              <w:ind w:firstLine="0" w:firstLineChars="0"/>
              <w:rPr>
                <w:rFonts w:hint="eastAsia" w:hAnsi="Times New Roman"/>
                <w:sz w:val="24"/>
                <w:szCs w:val="24"/>
              </w:rPr>
            </w:pPr>
          </w:p>
        </w:tc>
        <w:tc>
          <w:tcPr>
            <w:tcW w:w="1296" w:type="dxa"/>
            <w:tcBorders>
              <w:top w:val="single" w:color="000000" w:sz="4" w:space="0"/>
              <w:left w:val="nil"/>
              <w:bottom w:val="single" w:color="000000" w:sz="4" w:space="0"/>
              <w:right w:val="single" w:color="000000" w:sz="4" w:space="0"/>
            </w:tcBorders>
            <w:noWrap/>
            <w:vAlign w:val="center"/>
          </w:tcPr>
          <w:p w14:paraId="3EA85301">
            <w:pPr>
              <w:spacing w:line="360" w:lineRule="exact"/>
              <w:ind w:firstLine="0" w:firstLineChars="0"/>
              <w:rPr>
                <w:rFonts w:hint="eastAsia" w:hAnsi="Times New Roman"/>
                <w:sz w:val="24"/>
                <w:szCs w:val="24"/>
              </w:rPr>
            </w:pPr>
          </w:p>
        </w:tc>
      </w:tr>
      <w:tr w14:paraId="09648A2C">
        <w:tblPrEx>
          <w:tblCellMar>
            <w:top w:w="0" w:type="dxa"/>
            <w:left w:w="108" w:type="dxa"/>
            <w:bottom w:w="0" w:type="dxa"/>
            <w:right w:w="108" w:type="dxa"/>
          </w:tblCellMar>
        </w:tblPrEx>
        <w:trPr>
          <w:cantSplit/>
          <w:trHeight w:val="600" w:hRule="atLeast"/>
        </w:trPr>
        <w:tc>
          <w:tcPr>
            <w:tcW w:w="804" w:type="dxa"/>
            <w:tcBorders>
              <w:top w:val="nil"/>
              <w:left w:val="single" w:color="000000" w:sz="4" w:space="0"/>
              <w:bottom w:val="single" w:color="auto" w:sz="4" w:space="0"/>
              <w:right w:val="single" w:color="000000" w:sz="4" w:space="0"/>
            </w:tcBorders>
            <w:vAlign w:val="center"/>
          </w:tcPr>
          <w:p w14:paraId="1BD6531F">
            <w:pPr>
              <w:spacing w:line="360" w:lineRule="exact"/>
              <w:ind w:firstLine="0" w:firstLineChars="0"/>
              <w:rPr>
                <w:rFonts w:hint="eastAsia" w:hAnsi="Times New Roman"/>
                <w:sz w:val="24"/>
                <w:szCs w:val="24"/>
              </w:rPr>
            </w:pPr>
          </w:p>
        </w:tc>
        <w:tc>
          <w:tcPr>
            <w:tcW w:w="712" w:type="dxa"/>
            <w:tcBorders>
              <w:top w:val="single" w:color="000000" w:sz="4" w:space="0"/>
              <w:left w:val="nil"/>
              <w:bottom w:val="single" w:color="000000" w:sz="4" w:space="0"/>
              <w:right w:val="single" w:color="000000" w:sz="4" w:space="0"/>
            </w:tcBorders>
            <w:noWrap/>
            <w:vAlign w:val="center"/>
          </w:tcPr>
          <w:p w14:paraId="7A7A2ABB">
            <w:pPr>
              <w:spacing w:line="360" w:lineRule="exact"/>
              <w:ind w:firstLine="0" w:firstLineChars="0"/>
              <w:rPr>
                <w:rFonts w:hint="eastAsia" w:hAnsi="Times New Roman"/>
                <w:sz w:val="24"/>
                <w:szCs w:val="24"/>
              </w:rPr>
            </w:pPr>
            <w:r>
              <w:rPr>
                <w:rFonts w:hint="eastAsia" w:hAnsi="Times New Roman"/>
                <w:sz w:val="24"/>
                <w:szCs w:val="24"/>
              </w:rPr>
              <w:t>12</w:t>
            </w:r>
          </w:p>
        </w:tc>
        <w:tc>
          <w:tcPr>
            <w:tcW w:w="4789" w:type="dxa"/>
            <w:gridSpan w:val="3"/>
            <w:tcBorders>
              <w:top w:val="single" w:color="000000" w:sz="4" w:space="0"/>
              <w:left w:val="nil"/>
              <w:bottom w:val="single" w:color="000000" w:sz="4" w:space="0"/>
              <w:right w:val="single" w:color="000000" w:sz="4" w:space="0"/>
            </w:tcBorders>
            <w:vAlign w:val="center"/>
          </w:tcPr>
          <w:p w14:paraId="45DF8294">
            <w:pPr>
              <w:spacing w:line="360" w:lineRule="exact"/>
              <w:ind w:firstLine="0" w:firstLineChars="0"/>
              <w:rPr>
                <w:rFonts w:hint="eastAsia" w:hAnsi="Times New Roman"/>
                <w:sz w:val="24"/>
                <w:szCs w:val="24"/>
              </w:rPr>
            </w:pPr>
            <w:r>
              <w:rPr>
                <w:rFonts w:hint="eastAsia" w:hAnsi="Times New Roman"/>
                <w:sz w:val="24"/>
                <w:szCs w:val="24"/>
              </w:rPr>
              <w:t>是否因自身原因陷入困境的“僵尸”单位，整改拖拉、信心不足，严重影响建设质量、进度</w:t>
            </w:r>
          </w:p>
        </w:tc>
        <w:tc>
          <w:tcPr>
            <w:tcW w:w="1261" w:type="dxa"/>
            <w:tcBorders>
              <w:top w:val="single" w:color="000000" w:sz="4" w:space="0"/>
              <w:left w:val="nil"/>
              <w:bottom w:val="single" w:color="000000" w:sz="4" w:space="0"/>
              <w:right w:val="single" w:color="000000" w:sz="4" w:space="0"/>
            </w:tcBorders>
            <w:noWrap/>
            <w:vAlign w:val="center"/>
          </w:tcPr>
          <w:p w14:paraId="5494010B">
            <w:pPr>
              <w:spacing w:line="360" w:lineRule="exact"/>
              <w:ind w:firstLine="0" w:firstLineChars="0"/>
              <w:rPr>
                <w:rFonts w:hint="eastAsia" w:hAnsi="Times New Roman"/>
                <w:sz w:val="24"/>
                <w:szCs w:val="24"/>
              </w:rPr>
            </w:pPr>
          </w:p>
        </w:tc>
        <w:tc>
          <w:tcPr>
            <w:tcW w:w="1296" w:type="dxa"/>
            <w:tcBorders>
              <w:top w:val="single" w:color="000000" w:sz="4" w:space="0"/>
              <w:left w:val="nil"/>
              <w:bottom w:val="single" w:color="000000" w:sz="4" w:space="0"/>
              <w:right w:val="single" w:color="000000" w:sz="4" w:space="0"/>
            </w:tcBorders>
            <w:noWrap/>
            <w:vAlign w:val="center"/>
          </w:tcPr>
          <w:p w14:paraId="51FA628A">
            <w:pPr>
              <w:spacing w:line="360" w:lineRule="exact"/>
              <w:ind w:firstLine="0" w:firstLineChars="0"/>
              <w:rPr>
                <w:rFonts w:hint="eastAsia" w:hAnsi="Times New Roman"/>
                <w:sz w:val="24"/>
                <w:szCs w:val="24"/>
              </w:rPr>
            </w:pPr>
          </w:p>
        </w:tc>
      </w:tr>
      <w:tr w14:paraId="14970D7D">
        <w:tblPrEx>
          <w:tblCellMar>
            <w:top w:w="0" w:type="dxa"/>
            <w:left w:w="108" w:type="dxa"/>
            <w:bottom w:w="0" w:type="dxa"/>
            <w:right w:w="108" w:type="dxa"/>
          </w:tblCellMar>
        </w:tblPrEx>
        <w:trPr>
          <w:cantSplit/>
          <w:trHeight w:val="971" w:hRule="atLeast"/>
        </w:trPr>
        <w:tc>
          <w:tcPr>
            <w:tcW w:w="8862" w:type="dxa"/>
            <w:gridSpan w:val="7"/>
            <w:tcBorders>
              <w:top w:val="nil"/>
              <w:left w:val="single" w:color="000000" w:sz="4" w:space="0"/>
              <w:bottom w:val="nil"/>
              <w:right w:val="single" w:color="000000" w:sz="4" w:space="0"/>
            </w:tcBorders>
            <w:vAlign w:val="center"/>
          </w:tcPr>
          <w:p w14:paraId="41B45FDC">
            <w:pPr>
              <w:spacing w:line="360" w:lineRule="exact"/>
              <w:ind w:firstLine="0" w:firstLineChars="0"/>
              <w:rPr>
                <w:rFonts w:hint="eastAsia" w:hAnsi="Times New Roman"/>
                <w:sz w:val="24"/>
                <w:szCs w:val="24"/>
              </w:rPr>
            </w:pPr>
            <w:r>
              <w:rPr>
                <w:rFonts w:hint="eastAsia" w:hAnsi="Times New Roman"/>
                <w:sz w:val="24"/>
                <w:szCs w:val="24"/>
              </w:rPr>
              <w:t>考核结论：</w:t>
            </w:r>
          </w:p>
        </w:tc>
      </w:tr>
      <w:tr w14:paraId="2DBBD639">
        <w:tblPrEx>
          <w:tblCellMar>
            <w:top w:w="0" w:type="dxa"/>
            <w:left w:w="108" w:type="dxa"/>
            <w:bottom w:w="0" w:type="dxa"/>
            <w:right w:w="108" w:type="dxa"/>
          </w:tblCellMar>
        </w:tblPrEx>
        <w:trPr>
          <w:cantSplit/>
          <w:trHeight w:val="2496" w:hRule="atLeast"/>
        </w:trPr>
        <w:tc>
          <w:tcPr>
            <w:tcW w:w="4412" w:type="dxa"/>
            <w:gridSpan w:val="4"/>
            <w:tcBorders>
              <w:top w:val="single" w:color="auto" w:sz="4" w:space="0"/>
              <w:left w:val="single" w:color="000000" w:sz="4" w:space="0"/>
              <w:bottom w:val="single" w:color="auto" w:sz="4" w:space="0"/>
              <w:right w:val="single" w:color="000000" w:sz="4" w:space="0"/>
            </w:tcBorders>
            <w:vAlign w:val="center"/>
          </w:tcPr>
          <w:p w14:paraId="450F7920">
            <w:pPr>
              <w:spacing w:line="360" w:lineRule="exact"/>
              <w:ind w:firstLine="0" w:firstLineChars="0"/>
              <w:rPr>
                <w:rFonts w:hAnsi="Times New Roman"/>
                <w:sz w:val="24"/>
                <w:szCs w:val="24"/>
              </w:rPr>
            </w:pPr>
            <w:r>
              <w:rPr>
                <w:rFonts w:hint="eastAsia" w:hAnsi="Times New Roman"/>
                <w:sz w:val="24"/>
                <w:szCs w:val="24"/>
              </w:rPr>
              <w:t>考核单位及考核人（签字或盖章）：</w:t>
            </w:r>
          </w:p>
          <w:p w14:paraId="0D12B813">
            <w:pPr>
              <w:spacing w:line="360" w:lineRule="exact"/>
              <w:ind w:firstLine="0" w:firstLineChars="0"/>
              <w:rPr>
                <w:rFonts w:hint="eastAsia" w:hAnsi="Times New Roman"/>
                <w:sz w:val="24"/>
                <w:szCs w:val="24"/>
              </w:rPr>
            </w:pPr>
            <w:r>
              <w:rPr>
                <w:rFonts w:hint="eastAsia" w:hAnsi="Times New Roman"/>
                <w:sz w:val="24"/>
                <w:szCs w:val="24"/>
              </w:rPr>
              <w:t xml:space="preserve"> </w:t>
            </w:r>
          </w:p>
          <w:p w14:paraId="3E155438">
            <w:pPr>
              <w:spacing w:line="360" w:lineRule="exact"/>
              <w:ind w:firstLine="0" w:firstLineChars="0"/>
              <w:rPr>
                <w:rFonts w:hint="eastAsia" w:hAnsi="Times New Roman"/>
                <w:sz w:val="24"/>
                <w:szCs w:val="24"/>
              </w:rPr>
            </w:pPr>
            <w:r>
              <w:rPr>
                <w:rFonts w:hint="eastAsia" w:hAnsi="Times New Roman"/>
                <w:sz w:val="24"/>
                <w:szCs w:val="24"/>
              </w:rPr>
              <w:t xml:space="preserve"> </w:t>
            </w:r>
          </w:p>
          <w:p w14:paraId="15DA928D">
            <w:pPr>
              <w:spacing w:line="360" w:lineRule="exact"/>
              <w:ind w:firstLine="0" w:firstLineChars="0"/>
              <w:rPr>
                <w:rFonts w:hint="eastAsia" w:hAnsi="Times New Roman"/>
                <w:sz w:val="24"/>
                <w:szCs w:val="24"/>
              </w:rPr>
            </w:pPr>
            <w:r>
              <w:rPr>
                <w:rFonts w:hint="eastAsia" w:hAnsi="Times New Roman"/>
                <w:sz w:val="24"/>
                <w:szCs w:val="24"/>
              </w:rPr>
              <w:t xml:space="preserve"> </w:t>
            </w:r>
          </w:p>
          <w:p w14:paraId="269E91F9">
            <w:pPr>
              <w:spacing w:line="360" w:lineRule="exact"/>
              <w:ind w:firstLine="0" w:firstLineChars="0"/>
              <w:rPr>
                <w:rFonts w:hint="eastAsia" w:hAnsi="Times New Roman"/>
                <w:sz w:val="24"/>
                <w:szCs w:val="24"/>
              </w:rPr>
            </w:pPr>
            <w:r>
              <w:rPr>
                <w:rFonts w:hint="eastAsia" w:hAnsi="Times New Roman"/>
                <w:sz w:val="24"/>
                <w:szCs w:val="24"/>
              </w:rPr>
              <w:t>考核时间：</w:t>
            </w:r>
          </w:p>
        </w:tc>
        <w:tc>
          <w:tcPr>
            <w:tcW w:w="4450" w:type="dxa"/>
            <w:gridSpan w:val="3"/>
            <w:tcBorders>
              <w:top w:val="single" w:color="000000" w:sz="4" w:space="0"/>
              <w:left w:val="nil"/>
              <w:bottom w:val="single" w:color="000000" w:sz="4" w:space="0"/>
              <w:right w:val="single" w:color="000000" w:sz="4" w:space="0"/>
            </w:tcBorders>
            <w:noWrap/>
            <w:vAlign w:val="center"/>
          </w:tcPr>
          <w:p w14:paraId="0C48B601">
            <w:pPr>
              <w:spacing w:line="360" w:lineRule="exact"/>
              <w:ind w:firstLine="0" w:firstLineChars="0"/>
              <w:rPr>
                <w:rFonts w:hint="eastAsia" w:hAnsi="Times New Roman"/>
                <w:sz w:val="24"/>
                <w:szCs w:val="24"/>
              </w:rPr>
            </w:pPr>
            <w:r>
              <w:rPr>
                <w:rFonts w:hint="eastAsia" w:hAnsi="Times New Roman"/>
                <w:sz w:val="24"/>
                <w:szCs w:val="24"/>
              </w:rPr>
              <w:t>备注</w:t>
            </w:r>
          </w:p>
        </w:tc>
      </w:tr>
    </w:tbl>
    <w:p w14:paraId="359D8E84">
      <w:pPr>
        <w:ind w:firstLine="0" w:firstLineChars="0"/>
        <w:rPr>
          <w:rFonts w:ascii="Times New Roman" w:hAnsi="Times New Roman"/>
        </w:rPr>
      </w:pPr>
    </w:p>
    <w:p w14:paraId="2E0B3E89">
      <w:pPr>
        <w:ind w:firstLine="0" w:firstLineChars="0"/>
        <w:rPr>
          <w:rFonts w:ascii="Times New Roman" w:hAnsi="Times New Roman"/>
        </w:rPr>
        <w:sectPr>
          <w:pgSz w:w="11906" w:h="16838"/>
          <w:pgMar w:top="2098" w:right="1531" w:bottom="1984" w:left="1531" w:header="851" w:footer="1417" w:gutter="0"/>
          <w:cols w:space="720" w:num="1"/>
          <w:docGrid w:type="lines" w:linePitch="439" w:charSpace="0"/>
        </w:sectPr>
      </w:pPr>
    </w:p>
    <w:p w14:paraId="2D491EBC">
      <w:pPr>
        <w:ind w:firstLine="0" w:firstLineChars="0"/>
        <w:jc w:val="center"/>
        <w:rPr>
          <w:rFonts w:hint="eastAsia" w:ascii="方正小标宋简体" w:hAnsi="Times New Roman" w:eastAsia="方正小标宋简体"/>
          <w:sz w:val="40"/>
          <w:szCs w:val="28"/>
        </w:rPr>
      </w:pPr>
      <w:r>
        <w:rPr>
          <w:rFonts w:hint="eastAsia" w:ascii="方正小标宋简体" w:hAnsi="Times New Roman" w:eastAsia="方正小标宋简体"/>
          <w:sz w:val="40"/>
          <w:szCs w:val="28"/>
        </w:rPr>
        <w:t>青春化工园区第三方技术服务机构考核表</w:t>
      </w:r>
    </w:p>
    <w:tbl>
      <w:tblPr>
        <w:tblStyle w:val="21"/>
        <w:tblW w:w="14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72"/>
        <w:gridCol w:w="1789"/>
        <w:gridCol w:w="2602"/>
        <w:gridCol w:w="1273"/>
        <w:gridCol w:w="694"/>
        <w:gridCol w:w="2876"/>
        <w:gridCol w:w="1280"/>
        <w:gridCol w:w="1541"/>
      </w:tblGrid>
      <w:tr w14:paraId="42EF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50" w:type="dxa"/>
            <w:gridSpan w:val="2"/>
            <w:tcBorders>
              <w:top w:val="single" w:color="auto" w:sz="4" w:space="0"/>
              <w:left w:val="single" w:color="auto" w:sz="4" w:space="0"/>
              <w:bottom w:val="single" w:color="auto" w:sz="4" w:space="0"/>
              <w:right w:val="single" w:color="auto" w:sz="4" w:space="0"/>
            </w:tcBorders>
            <w:vAlign w:val="center"/>
          </w:tcPr>
          <w:p w14:paraId="0D74E2BF">
            <w:pPr>
              <w:spacing w:line="440" w:lineRule="exact"/>
              <w:ind w:firstLine="0" w:firstLineChars="0"/>
              <w:rPr>
                <w:rFonts w:hint="eastAsia" w:hAnsi="Times New Roman"/>
                <w:sz w:val="24"/>
                <w:szCs w:val="24"/>
              </w:rPr>
            </w:pPr>
            <w:r>
              <w:rPr>
                <w:rFonts w:hint="eastAsia" w:hAnsi="Times New Roman"/>
                <w:sz w:val="24"/>
                <w:szCs w:val="24"/>
              </w:rPr>
              <w:t>第三方机构名称</w:t>
            </w:r>
          </w:p>
        </w:tc>
        <w:tc>
          <w:tcPr>
            <w:tcW w:w="4391" w:type="dxa"/>
            <w:gridSpan w:val="2"/>
            <w:tcBorders>
              <w:top w:val="single" w:color="auto" w:sz="4" w:space="0"/>
              <w:left w:val="single" w:color="auto" w:sz="4" w:space="0"/>
              <w:bottom w:val="single" w:color="auto" w:sz="4" w:space="0"/>
              <w:right w:val="single" w:color="auto" w:sz="4" w:space="0"/>
            </w:tcBorders>
            <w:vAlign w:val="center"/>
          </w:tcPr>
          <w:p w14:paraId="4B5FFC52">
            <w:pPr>
              <w:spacing w:line="440" w:lineRule="exact"/>
              <w:ind w:firstLine="0" w:firstLineChars="0"/>
              <w:rPr>
                <w:rFonts w:hint="eastAsia" w:hAnsi="Times New Roman"/>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14:paraId="4F9749CA">
            <w:pPr>
              <w:spacing w:line="440" w:lineRule="exact"/>
              <w:ind w:firstLine="0" w:firstLineChars="0"/>
              <w:rPr>
                <w:rFonts w:hint="eastAsia" w:hAnsi="Times New Roman"/>
                <w:sz w:val="24"/>
                <w:szCs w:val="24"/>
              </w:rPr>
            </w:pPr>
            <w:r>
              <w:rPr>
                <w:rFonts w:hint="eastAsia" w:hAnsi="Times New Roman"/>
                <w:sz w:val="24"/>
                <w:szCs w:val="24"/>
              </w:rPr>
              <w:t>项目名称</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1F2687A7">
            <w:pPr>
              <w:spacing w:line="440" w:lineRule="exact"/>
              <w:ind w:firstLine="0" w:firstLineChars="0"/>
              <w:rPr>
                <w:rFonts w:hint="eastAsia" w:hAnsi="Times New Roman"/>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14:paraId="0FD5E0C9">
            <w:pPr>
              <w:spacing w:line="440" w:lineRule="exact"/>
              <w:ind w:firstLine="0" w:firstLineChars="0"/>
              <w:rPr>
                <w:rFonts w:hint="eastAsia" w:hAnsi="Times New Roman"/>
                <w:sz w:val="24"/>
                <w:szCs w:val="24"/>
              </w:rPr>
            </w:pPr>
            <w:r>
              <w:rPr>
                <w:rFonts w:hint="eastAsia" w:hAnsi="Times New Roman"/>
                <w:sz w:val="24"/>
                <w:szCs w:val="24"/>
              </w:rPr>
              <w:t>开始时间</w:t>
            </w:r>
          </w:p>
        </w:tc>
        <w:tc>
          <w:tcPr>
            <w:tcW w:w="1541" w:type="dxa"/>
            <w:tcBorders>
              <w:top w:val="single" w:color="auto" w:sz="4" w:space="0"/>
              <w:left w:val="single" w:color="auto" w:sz="4" w:space="0"/>
              <w:bottom w:val="single" w:color="auto" w:sz="4" w:space="0"/>
              <w:right w:val="single" w:color="auto" w:sz="4" w:space="0"/>
            </w:tcBorders>
            <w:vAlign w:val="center"/>
          </w:tcPr>
          <w:p w14:paraId="36AC1FC3">
            <w:pPr>
              <w:spacing w:line="440" w:lineRule="exact"/>
              <w:ind w:firstLine="0" w:firstLineChars="0"/>
              <w:rPr>
                <w:rFonts w:hint="eastAsia" w:hAnsi="Times New Roman"/>
                <w:sz w:val="24"/>
                <w:szCs w:val="24"/>
              </w:rPr>
            </w:pPr>
          </w:p>
        </w:tc>
      </w:tr>
      <w:tr w14:paraId="1BD4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14:paraId="550FBC42">
            <w:pPr>
              <w:spacing w:line="440" w:lineRule="exact"/>
              <w:ind w:firstLine="0" w:firstLineChars="0"/>
              <w:rPr>
                <w:rFonts w:hint="eastAsia" w:hAnsi="Times New Roman"/>
                <w:sz w:val="24"/>
                <w:szCs w:val="24"/>
              </w:rPr>
            </w:pPr>
            <w:r>
              <w:rPr>
                <w:rFonts w:hint="eastAsia" w:hAnsi="Times New Roman"/>
                <w:sz w:val="24"/>
                <w:szCs w:val="24"/>
              </w:rPr>
              <w:t>序号</w:t>
            </w:r>
          </w:p>
        </w:tc>
        <w:tc>
          <w:tcPr>
            <w:tcW w:w="1472" w:type="dxa"/>
            <w:tcBorders>
              <w:top w:val="single" w:color="auto" w:sz="4" w:space="0"/>
              <w:left w:val="single" w:color="auto" w:sz="4" w:space="0"/>
              <w:bottom w:val="single" w:color="auto" w:sz="4" w:space="0"/>
              <w:right w:val="single" w:color="auto" w:sz="4" w:space="0"/>
            </w:tcBorders>
            <w:vAlign w:val="center"/>
          </w:tcPr>
          <w:p w14:paraId="38046796">
            <w:pPr>
              <w:spacing w:line="440" w:lineRule="exact"/>
              <w:ind w:firstLine="0" w:firstLineChars="0"/>
              <w:rPr>
                <w:rFonts w:hint="eastAsia" w:hAnsi="Times New Roman"/>
                <w:sz w:val="24"/>
                <w:szCs w:val="24"/>
              </w:rPr>
            </w:pPr>
            <w:r>
              <w:rPr>
                <w:rFonts w:hint="eastAsia" w:hAnsi="Times New Roman"/>
                <w:sz w:val="24"/>
                <w:szCs w:val="24"/>
              </w:rPr>
              <w:t>评价项目</w:t>
            </w:r>
          </w:p>
        </w:tc>
        <w:tc>
          <w:tcPr>
            <w:tcW w:w="1789" w:type="dxa"/>
            <w:tcBorders>
              <w:top w:val="single" w:color="auto" w:sz="4" w:space="0"/>
              <w:left w:val="single" w:color="auto" w:sz="4" w:space="0"/>
              <w:bottom w:val="single" w:color="auto" w:sz="4" w:space="0"/>
              <w:right w:val="single" w:color="auto" w:sz="4" w:space="0"/>
            </w:tcBorders>
            <w:vAlign w:val="center"/>
          </w:tcPr>
          <w:p w14:paraId="3939058B">
            <w:pPr>
              <w:spacing w:line="440" w:lineRule="exact"/>
              <w:ind w:firstLine="0" w:firstLineChars="0"/>
              <w:rPr>
                <w:rFonts w:hint="eastAsia" w:hAnsi="Times New Roman"/>
                <w:sz w:val="24"/>
                <w:szCs w:val="24"/>
              </w:rPr>
            </w:pPr>
            <w:r>
              <w:rPr>
                <w:rFonts w:hint="eastAsia" w:hAnsi="Times New Roman"/>
                <w:sz w:val="24"/>
                <w:szCs w:val="24"/>
              </w:rPr>
              <w:t>评价内容</w:t>
            </w:r>
          </w:p>
        </w:tc>
        <w:tc>
          <w:tcPr>
            <w:tcW w:w="7445" w:type="dxa"/>
            <w:gridSpan w:val="4"/>
            <w:tcBorders>
              <w:top w:val="single" w:color="auto" w:sz="4" w:space="0"/>
              <w:left w:val="single" w:color="auto" w:sz="4" w:space="0"/>
              <w:bottom w:val="single" w:color="auto" w:sz="4" w:space="0"/>
              <w:right w:val="single" w:color="auto" w:sz="4" w:space="0"/>
            </w:tcBorders>
            <w:vAlign w:val="center"/>
          </w:tcPr>
          <w:p w14:paraId="1BB4BBF4">
            <w:pPr>
              <w:spacing w:line="440" w:lineRule="exact"/>
              <w:ind w:firstLine="0" w:firstLineChars="0"/>
              <w:rPr>
                <w:rFonts w:hint="eastAsia" w:hAnsi="Times New Roman"/>
                <w:sz w:val="24"/>
                <w:szCs w:val="24"/>
              </w:rPr>
            </w:pPr>
            <w:r>
              <w:rPr>
                <w:rFonts w:hint="eastAsia" w:hAnsi="Times New Roman"/>
                <w:sz w:val="24"/>
                <w:szCs w:val="24"/>
              </w:rPr>
              <w:t>评价标准</w:t>
            </w:r>
          </w:p>
        </w:tc>
        <w:tc>
          <w:tcPr>
            <w:tcW w:w="1280" w:type="dxa"/>
            <w:tcBorders>
              <w:top w:val="single" w:color="auto" w:sz="4" w:space="0"/>
              <w:left w:val="single" w:color="auto" w:sz="4" w:space="0"/>
              <w:bottom w:val="single" w:color="auto" w:sz="4" w:space="0"/>
              <w:right w:val="single" w:color="auto" w:sz="4" w:space="0"/>
            </w:tcBorders>
            <w:vAlign w:val="center"/>
          </w:tcPr>
          <w:p w14:paraId="22209C10">
            <w:pPr>
              <w:spacing w:line="440" w:lineRule="exact"/>
              <w:ind w:firstLine="0" w:firstLineChars="0"/>
              <w:rPr>
                <w:rFonts w:hint="eastAsia" w:hAnsi="Times New Roman"/>
                <w:sz w:val="24"/>
                <w:szCs w:val="24"/>
              </w:rPr>
            </w:pPr>
            <w:r>
              <w:rPr>
                <w:rFonts w:hint="eastAsia" w:hAnsi="Times New Roman"/>
                <w:sz w:val="24"/>
                <w:szCs w:val="24"/>
              </w:rPr>
              <w:t>是否符合</w:t>
            </w:r>
          </w:p>
        </w:tc>
        <w:tc>
          <w:tcPr>
            <w:tcW w:w="1541" w:type="dxa"/>
            <w:tcBorders>
              <w:top w:val="single" w:color="auto" w:sz="4" w:space="0"/>
              <w:left w:val="single" w:color="auto" w:sz="4" w:space="0"/>
              <w:bottom w:val="single" w:color="auto" w:sz="4" w:space="0"/>
              <w:right w:val="single" w:color="auto" w:sz="4" w:space="0"/>
            </w:tcBorders>
            <w:vAlign w:val="center"/>
          </w:tcPr>
          <w:p w14:paraId="233B11BF">
            <w:pPr>
              <w:spacing w:line="440" w:lineRule="exact"/>
              <w:ind w:firstLine="0" w:firstLineChars="0"/>
              <w:rPr>
                <w:rFonts w:hint="eastAsia" w:hAnsi="Times New Roman"/>
                <w:sz w:val="24"/>
                <w:szCs w:val="24"/>
              </w:rPr>
            </w:pPr>
            <w:r>
              <w:rPr>
                <w:rFonts w:hint="eastAsia" w:hAnsi="Times New Roman"/>
                <w:sz w:val="24"/>
                <w:szCs w:val="24"/>
              </w:rPr>
              <w:t>存在的问题</w:t>
            </w:r>
          </w:p>
        </w:tc>
      </w:tr>
      <w:tr w14:paraId="457F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Merge w:val="restart"/>
            <w:tcBorders>
              <w:top w:val="nil"/>
              <w:left w:val="single" w:color="auto" w:sz="4" w:space="0"/>
              <w:bottom w:val="single" w:color="auto" w:sz="4" w:space="0"/>
              <w:right w:val="single" w:color="auto" w:sz="4" w:space="0"/>
            </w:tcBorders>
            <w:vAlign w:val="center"/>
          </w:tcPr>
          <w:p w14:paraId="602DC8E9">
            <w:pPr>
              <w:spacing w:line="440" w:lineRule="exact"/>
              <w:ind w:firstLine="0" w:firstLineChars="0"/>
              <w:rPr>
                <w:rFonts w:hint="eastAsia" w:hAnsi="Times New Roman"/>
                <w:sz w:val="24"/>
                <w:szCs w:val="24"/>
              </w:rPr>
            </w:pPr>
            <w:r>
              <w:rPr>
                <w:rFonts w:hint="eastAsia" w:hAnsi="Times New Roman"/>
                <w:sz w:val="24"/>
                <w:szCs w:val="24"/>
              </w:rPr>
              <w:t>1</w:t>
            </w:r>
          </w:p>
        </w:tc>
        <w:tc>
          <w:tcPr>
            <w:tcW w:w="1472" w:type="dxa"/>
            <w:vMerge w:val="restart"/>
            <w:tcBorders>
              <w:top w:val="nil"/>
              <w:left w:val="single" w:color="auto" w:sz="4" w:space="0"/>
              <w:bottom w:val="single" w:color="auto" w:sz="4" w:space="0"/>
              <w:right w:val="single" w:color="auto" w:sz="4" w:space="0"/>
            </w:tcBorders>
            <w:vAlign w:val="center"/>
          </w:tcPr>
          <w:p w14:paraId="0F1763F8">
            <w:pPr>
              <w:spacing w:line="440" w:lineRule="exact"/>
              <w:ind w:firstLine="0" w:firstLineChars="0"/>
              <w:rPr>
                <w:rFonts w:hint="eastAsia" w:hAnsi="Times New Roman"/>
                <w:sz w:val="24"/>
                <w:szCs w:val="24"/>
              </w:rPr>
            </w:pPr>
            <w:r>
              <w:rPr>
                <w:rFonts w:hint="eastAsia" w:hAnsi="Times New Roman"/>
                <w:sz w:val="24"/>
                <w:szCs w:val="24"/>
              </w:rPr>
              <w:t>资质能力</w:t>
            </w:r>
          </w:p>
        </w:tc>
        <w:tc>
          <w:tcPr>
            <w:tcW w:w="1789" w:type="dxa"/>
            <w:tcBorders>
              <w:top w:val="single" w:color="auto" w:sz="4" w:space="0"/>
              <w:left w:val="single" w:color="auto" w:sz="4" w:space="0"/>
              <w:bottom w:val="single" w:color="auto" w:sz="4" w:space="0"/>
              <w:right w:val="single" w:color="auto" w:sz="4" w:space="0"/>
            </w:tcBorders>
            <w:vAlign w:val="center"/>
          </w:tcPr>
          <w:p w14:paraId="2F357B66">
            <w:pPr>
              <w:spacing w:line="440" w:lineRule="exact"/>
              <w:ind w:firstLine="0" w:firstLineChars="0"/>
              <w:rPr>
                <w:rFonts w:hint="eastAsia" w:hAnsi="Times New Roman"/>
                <w:sz w:val="24"/>
                <w:szCs w:val="24"/>
              </w:rPr>
            </w:pPr>
            <w:r>
              <w:rPr>
                <w:rFonts w:hint="eastAsia" w:hAnsi="Times New Roman"/>
                <w:sz w:val="24"/>
                <w:szCs w:val="24"/>
              </w:rPr>
              <w:t>资质</w:t>
            </w:r>
          </w:p>
        </w:tc>
        <w:tc>
          <w:tcPr>
            <w:tcW w:w="7445" w:type="dxa"/>
            <w:gridSpan w:val="4"/>
            <w:tcBorders>
              <w:top w:val="single" w:color="auto" w:sz="4" w:space="0"/>
              <w:left w:val="single" w:color="auto" w:sz="4" w:space="0"/>
              <w:bottom w:val="single" w:color="auto" w:sz="4" w:space="0"/>
              <w:right w:val="single" w:color="auto" w:sz="4" w:space="0"/>
            </w:tcBorders>
            <w:vAlign w:val="center"/>
          </w:tcPr>
          <w:p w14:paraId="09DFC2A4">
            <w:pPr>
              <w:spacing w:line="440" w:lineRule="exact"/>
              <w:ind w:firstLine="0" w:firstLineChars="0"/>
              <w:rPr>
                <w:rFonts w:hint="eastAsia" w:hAnsi="Times New Roman"/>
                <w:sz w:val="24"/>
                <w:szCs w:val="24"/>
              </w:rPr>
            </w:pPr>
            <w:r>
              <w:rPr>
                <w:rFonts w:hint="eastAsia" w:hAnsi="Times New Roman"/>
                <w:sz w:val="24"/>
                <w:szCs w:val="24"/>
              </w:rPr>
              <w:t>相应资质条件、技术水平、综合实力等符合业务要求。</w:t>
            </w:r>
          </w:p>
        </w:tc>
        <w:tc>
          <w:tcPr>
            <w:tcW w:w="1280" w:type="dxa"/>
            <w:tcBorders>
              <w:top w:val="single" w:color="auto" w:sz="4" w:space="0"/>
              <w:left w:val="single" w:color="auto" w:sz="4" w:space="0"/>
              <w:bottom w:val="single" w:color="auto" w:sz="4" w:space="0"/>
              <w:right w:val="single" w:color="auto" w:sz="4" w:space="0"/>
            </w:tcBorders>
          </w:tcPr>
          <w:p w14:paraId="6AC67340">
            <w:pPr>
              <w:spacing w:line="440" w:lineRule="exact"/>
              <w:ind w:firstLine="0" w:firstLineChars="0"/>
              <w:rPr>
                <w:rFonts w:hint="eastAsia" w:hAnsi="Times New Roman"/>
                <w:sz w:val="24"/>
                <w:szCs w:val="24"/>
              </w:rPr>
            </w:pPr>
          </w:p>
        </w:tc>
        <w:tc>
          <w:tcPr>
            <w:tcW w:w="1541" w:type="dxa"/>
            <w:tcBorders>
              <w:top w:val="single" w:color="auto" w:sz="4" w:space="0"/>
              <w:left w:val="single" w:color="auto" w:sz="4" w:space="0"/>
              <w:bottom w:val="single" w:color="auto" w:sz="4" w:space="0"/>
              <w:right w:val="single" w:color="auto" w:sz="4" w:space="0"/>
            </w:tcBorders>
          </w:tcPr>
          <w:p w14:paraId="25237483">
            <w:pPr>
              <w:spacing w:line="440" w:lineRule="exact"/>
              <w:ind w:firstLine="0" w:firstLineChars="0"/>
              <w:rPr>
                <w:rFonts w:hint="eastAsia" w:hAnsi="Times New Roman"/>
                <w:sz w:val="24"/>
                <w:szCs w:val="24"/>
              </w:rPr>
            </w:pPr>
          </w:p>
        </w:tc>
      </w:tr>
      <w:tr w14:paraId="0369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 w:type="dxa"/>
            <w:vMerge w:val="continue"/>
            <w:tcBorders>
              <w:top w:val="nil"/>
              <w:left w:val="single" w:color="auto" w:sz="4" w:space="0"/>
              <w:bottom w:val="single" w:color="auto" w:sz="4" w:space="0"/>
              <w:right w:val="single" w:color="auto" w:sz="4" w:space="0"/>
            </w:tcBorders>
            <w:vAlign w:val="center"/>
          </w:tcPr>
          <w:p w14:paraId="29CACD5F">
            <w:pPr>
              <w:spacing w:line="440" w:lineRule="exact"/>
              <w:ind w:firstLine="0" w:firstLineChars="0"/>
              <w:rPr>
                <w:rFonts w:hint="eastAsia" w:hAnsi="Times New Roman"/>
                <w:sz w:val="24"/>
                <w:szCs w:val="24"/>
              </w:rPr>
            </w:pPr>
          </w:p>
        </w:tc>
        <w:tc>
          <w:tcPr>
            <w:tcW w:w="300" w:type="dxa"/>
            <w:vMerge w:val="continue"/>
            <w:tcBorders>
              <w:top w:val="nil"/>
              <w:left w:val="single" w:color="auto" w:sz="4" w:space="0"/>
              <w:bottom w:val="single" w:color="auto" w:sz="4" w:space="0"/>
              <w:right w:val="single" w:color="auto" w:sz="4" w:space="0"/>
            </w:tcBorders>
            <w:vAlign w:val="center"/>
          </w:tcPr>
          <w:p w14:paraId="5D1BAC91">
            <w:pPr>
              <w:spacing w:line="440" w:lineRule="exact"/>
              <w:ind w:firstLine="0" w:firstLineChars="0"/>
              <w:rPr>
                <w:rFonts w:hint="eastAsia" w:hAnsi="Times New Roman"/>
                <w:sz w:val="24"/>
                <w:szCs w:val="24"/>
              </w:rPr>
            </w:pPr>
          </w:p>
        </w:tc>
        <w:tc>
          <w:tcPr>
            <w:tcW w:w="1789" w:type="dxa"/>
            <w:tcBorders>
              <w:top w:val="single" w:color="auto" w:sz="4" w:space="0"/>
              <w:left w:val="single" w:color="auto" w:sz="4" w:space="0"/>
              <w:bottom w:val="single" w:color="auto" w:sz="4" w:space="0"/>
              <w:right w:val="single" w:color="auto" w:sz="4" w:space="0"/>
            </w:tcBorders>
            <w:vAlign w:val="center"/>
          </w:tcPr>
          <w:p w14:paraId="6BBFA828">
            <w:pPr>
              <w:spacing w:line="440" w:lineRule="exact"/>
              <w:ind w:firstLine="0" w:firstLineChars="0"/>
              <w:rPr>
                <w:rFonts w:hint="eastAsia" w:hAnsi="Times New Roman"/>
                <w:sz w:val="24"/>
                <w:szCs w:val="24"/>
              </w:rPr>
            </w:pPr>
            <w:r>
              <w:rPr>
                <w:rFonts w:hint="eastAsia" w:hAnsi="Times New Roman"/>
                <w:sz w:val="24"/>
                <w:szCs w:val="24"/>
              </w:rPr>
              <w:t>人员能力</w:t>
            </w:r>
          </w:p>
        </w:tc>
        <w:tc>
          <w:tcPr>
            <w:tcW w:w="7445" w:type="dxa"/>
            <w:gridSpan w:val="4"/>
            <w:tcBorders>
              <w:top w:val="single" w:color="auto" w:sz="4" w:space="0"/>
              <w:left w:val="single" w:color="auto" w:sz="4" w:space="0"/>
              <w:bottom w:val="single" w:color="auto" w:sz="4" w:space="0"/>
              <w:right w:val="single" w:color="auto" w:sz="4" w:space="0"/>
            </w:tcBorders>
            <w:vAlign w:val="center"/>
          </w:tcPr>
          <w:p w14:paraId="6C8EDA45">
            <w:pPr>
              <w:spacing w:line="440" w:lineRule="exact"/>
              <w:ind w:firstLine="0" w:firstLineChars="0"/>
              <w:rPr>
                <w:rFonts w:hint="eastAsia" w:hAnsi="Times New Roman"/>
                <w:sz w:val="24"/>
                <w:szCs w:val="24"/>
              </w:rPr>
            </w:pPr>
            <w:r>
              <w:rPr>
                <w:rFonts w:hint="eastAsia" w:hAnsi="Times New Roman"/>
                <w:sz w:val="24"/>
                <w:szCs w:val="24"/>
              </w:rPr>
              <w:t>项目组专业结构、业务能力和人员数量满足项目要求。</w:t>
            </w:r>
          </w:p>
        </w:tc>
        <w:tc>
          <w:tcPr>
            <w:tcW w:w="1280" w:type="dxa"/>
            <w:tcBorders>
              <w:top w:val="single" w:color="auto" w:sz="4" w:space="0"/>
              <w:left w:val="single" w:color="auto" w:sz="4" w:space="0"/>
              <w:bottom w:val="single" w:color="auto" w:sz="4" w:space="0"/>
              <w:right w:val="single" w:color="auto" w:sz="4" w:space="0"/>
            </w:tcBorders>
          </w:tcPr>
          <w:p w14:paraId="65FA0DBC">
            <w:pPr>
              <w:spacing w:line="440" w:lineRule="exact"/>
              <w:ind w:firstLine="0" w:firstLineChars="0"/>
              <w:rPr>
                <w:rFonts w:hint="eastAsia" w:hAnsi="Times New Roman"/>
                <w:sz w:val="24"/>
                <w:szCs w:val="24"/>
              </w:rPr>
            </w:pPr>
          </w:p>
        </w:tc>
        <w:tc>
          <w:tcPr>
            <w:tcW w:w="1541" w:type="dxa"/>
            <w:tcBorders>
              <w:top w:val="single" w:color="auto" w:sz="4" w:space="0"/>
              <w:left w:val="single" w:color="auto" w:sz="4" w:space="0"/>
              <w:bottom w:val="single" w:color="auto" w:sz="4" w:space="0"/>
              <w:right w:val="single" w:color="auto" w:sz="4" w:space="0"/>
            </w:tcBorders>
          </w:tcPr>
          <w:p w14:paraId="4F7F8FDF">
            <w:pPr>
              <w:spacing w:line="440" w:lineRule="exact"/>
              <w:ind w:firstLine="0" w:firstLineChars="0"/>
              <w:rPr>
                <w:rFonts w:hint="eastAsia" w:hAnsi="Times New Roman"/>
                <w:sz w:val="24"/>
                <w:szCs w:val="24"/>
              </w:rPr>
            </w:pPr>
          </w:p>
        </w:tc>
      </w:tr>
      <w:tr w14:paraId="0898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 w:type="dxa"/>
            <w:vMerge w:val="continue"/>
            <w:tcBorders>
              <w:top w:val="nil"/>
              <w:left w:val="single" w:color="auto" w:sz="4" w:space="0"/>
              <w:bottom w:val="single" w:color="auto" w:sz="4" w:space="0"/>
              <w:right w:val="single" w:color="auto" w:sz="4" w:space="0"/>
            </w:tcBorders>
            <w:vAlign w:val="center"/>
          </w:tcPr>
          <w:p w14:paraId="1A33D7EE">
            <w:pPr>
              <w:spacing w:line="440" w:lineRule="exact"/>
              <w:ind w:firstLine="0" w:firstLineChars="0"/>
              <w:rPr>
                <w:rFonts w:hint="eastAsia" w:hAnsi="Times New Roman"/>
                <w:sz w:val="24"/>
                <w:szCs w:val="24"/>
              </w:rPr>
            </w:pPr>
          </w:p>
        </w:tc>
        <w:tc>
          <w:tcPr>
            <w:tcW w:w="300" w:type="dxa"/>
            <w:vMerge w:val="continue"/>
            <w:tcBorders>
              <w:top w:val="nil"/>
              <w:left w:val="single" w:color="auto" w:sz="4" w:space="0"/>
              <w:bottom w:val="single" w:color="auto" w:sz="4" w:space="0"/>
              <w:right w:val="single" w:color="auto" w:sz="4" w:space="0"/>
            </w:tcBorders>
            <w:vAlign w:val="center"/>
          </w:tcPr>
          <w:p w14:paraId="0E69E48E">
            <w:pPr>
              <w:spacing w:line="440" w:lineRule="exact"/>
              <w:ind w:firstLine="0" w:firstLineChars="0"/>
              <w:rPr>
                <w:rFonts w:hint="eastAsia" w:hAnsi="Times New Roman"/>
                <w:sz w:val="24"/>
                <w:szCs w:val="24"/>
              </w:rPr>
            </w:pPr>
          </w:p>
        </w:tc>
        <w:tc>
          <w:tcPr>
            <w:tcW w:w="1789" w:type="dxa"/>
            <w:tcBorders>
              <w:top w:val="single" w:color="auto" w:sz="4" w:space="0"/>
              <w:left w:val="single" w:color="auto" w:sz="4" w:space="0"/>
              <w:bottom w:val="single" w:color="auto" w:sz="4" w:space="0"/>
              <w:right w:val="single" w:color="auto" w:sz="4" w:space="0"/>
            </w:tcBorders>
            <w:vAlign w:val="center"/>
          </w:tcPr>
          <w:p w14:paraId="5FBCA9A4">
            <w:pPr>
              <w:spacing w:line="440" w:lineRule="exact"/>
              <w:ind w:firstLine="0" w:firstLineChars="0"/>
              <w:rPr>
                <w:rFonts w:hint="eastAsia" w:hAnsi="Times New Roman"/>
                <w:sz w:val="24"/>
                <w:szCs w:val="24"/>
              </w:rPr>
            </w:pPr>
            <w:r>
              <w:rPr>
                <w:rFonts w:hint="eastAsia" w:hAnsi="Times New Roman"/>
                <w:sz w:val="24"/>
                <w:szCs w:val="24"/>
              </w:rPr>
              <w:t>黑名单管理</w:t>
            </w:r>
          </w:p>
        </w:tc>
        <w:tc>
          <w:tcPr>
            <w:tcW w:w="7445" w:type="dxa"/>
            <w:gridSpan w:val="4"/>
            <w:tcBorders>
              <w:top w:val="single" w:color="auto" w:sz="4" w:space="0"/>
              <w:left w:val="single" w:color="auto" w:sz="4" w:space="0"/>
              <w:bottom w:val="single" w:color="auto" w:sz="4" w:space="0"/>
              <w:right w:val="single" w:color="auto" w:sz="4" w:space="0"/>
            </w:tcBorders>
            <w:vAlign w:val="center"/>
          </w:tcPr>
          <w:p w14:paraId="12FE2AD8">
            <w:pPr>
              <w:spacing w:line="440" w:lineRule="exact"/>
              <w:ind w:firstLine="0" w:firstLineChars="0"/>
              <w:rPr>
                <w:rFonts w:hint="eastAsia" w:hAnsi="Times New Roman"/>
                <w:sz w:val="24"/>
                <w:szCs w:val="24"/>
              </w:rPr>
            </w:pPr>
            <w:r>
              <w:rPr>
                <w:rFonts w:hint="eastAsia" w:hAnsi="Times New Roman"/>
                <w:sz w:val="24"/>
                <w:szCs w:val="24"/>
              </w:rPr>
              <w:t>在国家、省、市、县以及</w:t>
            </w:r>
            <w:r>
              <w:rPr>
                <w:rFonts w:hint="eastAsia" w:hAnsi="Times New Roman"/>
                <w:sz w:val="24"/>
                <w:szCs w:val="24"/>
                <w:lang w:val="en-US" w:eastAsia="zh-CN"/>
              </w:rPr>
              <w:t>青春</w:t>
            </w:r>
            <w:r>
              <w:rPr>
                <w:rFonts w:hint="eastAsia" w:hAnsi="Times New Roman"/>
                <w:sz w:val="24"/>
                <w:szCs w:val="24"/>
              </w:rPr>
              <w:t>化工园区安全生产“黑名单”管理期内。</w:t>
            </w:r>
          </w:p>
        </w:tc>
        <w:tc>
          <w:tcPr>
            <w:tcW w:w="1280" w:type="dxa"/>
            <w:tcBorders>
              <w:top w:val="single" w:color="auto" w:sz="4" w:space="0"/>
              <w:left w:val="single" w:color="auto" w:sz="4" w:space="0"/>
              <w:bottom w:val="single" w:color="auto" w:sz="4" w:space="0"/>
              <w:right w:val="single" w:color="auto" w:sz="4" w:space="0"/>
            </w:tcBorders>
          </w:tcPr>
          <w:p w14:paraId="496FEBD6">
            <w:pPr>
              <w:spacing w:line="440" w:lineRule="exact"/>
              <w:ind w:firstLine="0" w:firstLineChars="0"/>
              <w:rPr>
                <w:rFonts w:hint="eastAsia" w:hAnsi="Times New Roman"/>
                <w:sz w:val="24"/>
                <w:szCs w:val="24"/>
              </w:rPr>
            </w:pPr>
          </w:p>
        </w:tc>
        <w:tc>
          <w:tcPr>
            <w:tcW w:w="1541" w:type="dxa"/>
            <w:tcBorders>
              <w:top w:val="single" w:color="auto" w:sz="4" w:space="0"/>
              <w:left w:val="single" w:color="auto" w:sz="4" w:space="0"/>
              <w:bottom w:val="single" w:color="auto" w:sz="4" w:space="0"/>
              <w:right w:val="single" w:color="auto" w:sz="4" w:space="0"/>
            </w:tcBorders>
          </w:tcPr>
          <w:p w14:paraId="34F77527">
            <w:pPr>
              <w:spacing w:line="440" w:lineRule="exact"/>
              <w:ind w:firstLine="0" w:firstLineChars="0"/>
              <w:rPr>
                <w:rFonts w:hint="eastAsia" w:hAnsi="Times New Roman"/>
                <w:sz w:val="24"/>
                <w:szCs w:val="24"/>
              </w:rPr>
            </w:pPr>
          </w:p>
        </w:tc>
      </w:tr>
      <w:tr w14:paraId="628E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78" w:type="dxa"/>
            <w:vMerge w:val="restart"/>
            <w:tcBorders>
              <w:top w:val="nil"/>
              <w:left w:val="single" w:color="auto" w:sz="4" w:space="0"/>
              <w:bottom w:val="single" w:color="auto" w:sz="4" w:space="0"/>
              <w:right w:val="single" w:color="auto" w:sz="4" w:space="0"/>
            </w:tcBorders>
            <w:vAlign w:val="center"/>
          </w:tcPr>
          <w:p w14:paraId="1A4A5588">
            <w:pPr>
              <w:spacing w:line="440" w:lineRule="exact"/>
              <w:ind w:firstLine="0" w:firstLineChars="0"/>
              <w:rPr>
                <w:rFonts w:hint="eastAsia" w:hAnsi="Times New Roman"/>
                <w:sz w:val="24"/>
                <w:szCs w:val="24"/>
              </w:rPr>
            </w:pPr>
            <w:r>
              <w:rPr>
                <w:rFonts w:hint="eastAsia" w:hAnsi="Times New Roman"/>
                <w:sz w:val="24"/>
                <w:szCs w:val="24"/>
              </w:rPr>
              <w:t>2</w:t>
            </w:r>
          </w:p>
        </w:tc>
        <w:tc>
          <w:tcPr>
            <w:tcW w:w="1472" w:type="dxa"/>
            <w:vMerge w:val="restart"/>
            <w:tcBorders>
              <w:top w:val="nil"/>
              <w:left w:val="single" w:color="auto" w:sz="4" w:space="0"/>
              <w:bottom w:val="single" w:color="auto" w:sz="4" w:space="0"/>
              <w:right w:val="single" w:color="auto" w:sz="4" w:space="0"/>
            </w:tcBorders>
            <w:vAlign w:val="center"/>
          </w:tcPr>
          <w:p w14:paraId="5783D5A1">
            <w:pPr>
              <w:spacing w:line="440" w:lineRule="exact"/>
              <w:ind w:firstLine="0" w:firstLineChars="0"/>
              <w:rPr>
                <w:rFonts w:hint="eastAsia" w:hAnsi="Times New Roman"/>
                <w:sz w:val="24"/>
                <w:szCs w:val="24"/>
              </w:rPr>
            </w:pPr>
            <w:r>
              <w:rPr>
                <w:rFonts w:hint="eastAsia" w:hAnsi="Times New Roman"/>
                <w:sz w:val="24"/>
                <w:szCs w:val="24"/>
              </w:rPr>
              <w:t>项目规范管理</w:t>
            </w:r>
          </w:p>
        </w:tc>
        <w:tc>
          <w:tcPr>
            <w:tcW w:w="1789" w:type="dxa"/>
            <w:tcBorders>
              <w:top w:val="single" w:color="auto" w:sz="4" w:space="0"/>
              <w:left w:val="single" w:color="auto" w:sz="4" w:space="0"/>
              <w:bottom w:val="single" w:color="auto" w:sz="4" w:space="0"/>
              <w:right w:val="single" w:color="auto" w:sz="4" w:space="0"/>
            </w:tcBorders>
            <w:vAlign w:val="center"/>
          </w:tcPr>
          <w:p w14:paraId="6A173673">
            <w:pPr>
              <w:spacing w:line="440" w:lineRule="exact"/>
              <w:ind w:firstLine="0" w:firstLineChars="0"/>
              <w:rPr>
                <w:rFonts w:hint="eastAsia" w:hAnsi="Times New Roman"/>
                <w:sz w:val="24"/>
                <w:szCs w:val="24"/>
              </w:rPr>
            </w:pPr>
            <w:r>
              <w:rPr>
                <w:rFonts w:hint="eastAsia" w:hAnsi="Times New Roman"/>
                <w:sz w:val="24"/>
                <w:szCs w:val="24"/>
              </w:rPr>
              <w:t>管理能力</w:t>
            </w:r>
          </w:p>
        </w:tc>
        <w:tc>
          <w:tcPr>
            <w:tcW w:w="7445" w:type="dxa"/>
            <w:gridSpan w:val="4"/>
            <w:tcBorders>
              <w:top w:val="single" w:color="auto" w:sz="4" w:space="0"/>
              <w:left w:val="single" w:color="auto" w:sz="4" w:space="0"/>
              <w:bottom w:val="single" w:color="auto" w:sz="4" w:space="0"/>
              <w:right w:val="single" w:color="auto" w:sz="4" w:space="0"/>
            </w:tcBorders>
            <w:vAlign w:val="center"/>
          </w:tcPr>
          <w:p w14:paraId="5D56F4C2">
            <w:pPr>
              <w:spacing w:line="440" w:lineRule="exact"/>
              <w:ind w:firstLine="0" w:firstLineChars="0"/>
              <w:rPr>
                <w:rFonts w:hint="eastAsia" w:hAnsi="Times New Roman"/>
                <w:sz w:val="24"/>
                <w:szCs w:val="24"/>
              </w:rPr>
            </w:pPr>
            <w:r>
              <w:rPr>
                <w:rFonts w:hint="eastAsia" w:hAnsi="Times New Roman"/>
                <w:sz w:val="24"/>
                <w:szCs w:val="24"/>
              </w:rPr>
              <w:t>项目组人员工作时间、工作流程安排合理。</w:t>
            </w:r>
          </w:p>
        </w:tc>
        <w:tc>
          <w:tcPr>
            <w:tcW w:w="1280" w:type="dxa"/>
            <w:tcBorders>
              <w:top w:val="single" w:color="auto" w:sz="4" w:space="0"/>
              <w:left w:val="single" w:color="auto" w:sz="4" w:space="0"/>
              <w:bottom w:val="single" w:color="auto" w:sz="4" w:space="0"/>
              <w:right w:val="single" w:color="auto" w:sz="4" w:space="0"/>
            </w:tcBorders>
          </w:tcPr>
          <w:p w14:paraId="5080B7C9">
            <w:pPr>
              <w:spacing w:line="440" w:lineRule="exact"/>
              <w:ind w:firstLine="0" w:firstLineChars="0"/>
              <w:rPr>
                <w:rFonts w:hint="eastAsia" w:hAnsi="Times New Roman"/>
                <w:sz w:val="24"/>
                <w:szCs w:val="24"/>
              </w:rPr>
            </w:pPr>
          </w:p>
        </w:tc>
        <w:tc>
          <w:tcPr>
            <w:tcW w:w="1541" w:type="dxa"/>
            <w:tcBorders>
              <w:top w:val="single" w:color="auto" w:sz="4" w:space="0"/>
              <w:left w:val="single" w:color="auto" w:sz="4" w:space="0"/>
              <w:bottom w:val="single" w:color="auto" w:sz="4" w:space="0"/>
              <w:right w:val="single" w:color="auto" w:sz="4" w:space="0"/>
            </w:tcBorders>
          </w:tcPr>
          <w:p w14:paraId="02E4DDA9">
            <w:pPr>
              <w:spacing w:line="440" w:lineRule="exact"/>
              <w:ind w:firstLine="0" w:firstLineChars="0"/>
              <w:rPr>
                <w:rFonts w:hint="eastAsia" w:hAnsi="Times New Roman"/>
                <w:sz w:val="24"/>
                <w:szCs w:val="24"/>
              </w:rPr>
            </w:pPr>
          </w:p>
        </w:tc>
      </w:tr>
      <w:tr w14:paraId="76F60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00" w:type="dxa"/>
            <w:vMerge w:val="continue"/>
            <w:tcBorders>
              <w:top w:val="nil"/>
              <w:left w:val="single" w:color="auto" w:sz="4" w:space="0"/>
              <w:bottom w:val="single" w:color="auto" w:sz="4" w:space="0"/>
              <w:right w:val="single" w:color="auto" w:sz="4" w:space="0"/>
            </w:tcBorders>
            <w:vAlign w:val="center"/>
          </w:tcPr>
          <w:p w14:paraId="32F6FC96">
            <w:pPr>
              <w:spacing w:line="440" w:lineRule="exact"/>
              <w:ind w:firstLine="0" w:firstLineChars="0"/>
              <w:rPr>
                <w:rFonts w:hint="eastAsia" w:hAnsi="Times New Roman"/>
                <w:sz w:val="24"/>
                <w:szCs w:val="24"/>
              </w:rPr>
            </w:pPr>
          </w:p>
        </w:tc>
        <w:tc>
          <w:tcPr>
            <w:tcW w:w="300" w:type="dxa"/>
            <w:vMerge w:val="continue"/>
            <w:tcBorders>
              <w:top w:val="nil"/>
              <w:left w:val="single" w:color="auto" w:sz="4" w:space="0"/>
              <w:bottom w:val="single" w:color="auto" w:sz="4" w:space="0"/>
              <w:right w:val="single" w:color="auto" w:sz="4" w:space="0"/>
            </w:tcBorders>
            <w:vAlign w:val="center"/>
          </w:tcPr>
          <w:p w14:paraId="2571FA9F">
            <w:pPr>
              <w:spacing w:line="440" w:lineRule="exact"/>
              <w:ind w:firstLine="0" w:firstLineChars="0"/>
              <w:rPr>
                <w:rFonts w:hint="eastAsia" w:hAnsi="Times New Roman"/>
                <w:sz w:val="24"/>
                <w:szCs w:val="24"/>
              </w:rPr>
            </w:pPr>
          </w:p>
        </w:tc>
        <w:tc>
          <w:tcPr>
            <w:tcW w:w="1789" w:type="dxa"/>
            <w:tcBorders>
              <w:top w:val="single" w:color="auto" w:sz="4" w:space="0"/>
              <w:left w:val="single" w:color="auto" w:sz="4" w:space="0"/>
              <w:bottom w:val="single" w:color="auto" w:sz="4" w:space="0"/>
              <w:right w:val="single" w:color="auto" w:sz="4" w:space="0"/>
            </w:tcBorders>
            <w:vAlign w:val="center"/>
          </w:tcPr>
          <w:p w14:paraId="79398DBE">
            <w:pPr>
              <w:spacing w:line="440" w:lineRule="exact"/>
              <w:ind w:firstLine="0" w:firstLineChars="0"/>
              <w:rPr>
                <w:rFonts w:hint="eastAsia" w:hAnsi="Times New Roman"/>
                <w:sz w:val="24"/>
                <w:szCs w:val="24"/>
              </w:rPr>
            </w:pPr>
            <w:r>
              <w:rPr>
                <w:rFonts w:hint="eastAsia" w:hAnsi="Times New Roman"/>
                <w:sz w:val="24"/>
                <w:szCs w:val="24"/>
              </w:rPr>
              <w:t>响应能力</w:t>
            </w:r>
          </w:p>
        </w:tc>
        <w:tc>
          <w:tcPr>
            <w:tcW w:w="7445" w:type="dxa"/>
            <w:gridSpan w:val="4"/>
            <w:tcBorders>
              <w:top w:val="single" w:color="auto" w:sz="4" w:space="0"/>
              <w:left w:val="single" w:color="auto" w:sz="4" w:space="0"/>
              <w:bottom w:val="single" w:color="auto" w:sz="4" w:space="0"/>
              <w:right w:val="single" w:color="auto" w:sz="4" w:space="0"/>
            </w:tcBorders>
            <w:vAlign w:val="center"/>
          </w:tcPr>
          <w:p w14:paraId="3B98B758">
            <w:pPr>
              <w:spacing w:line="440" w:lineRule="exact"/>
              <w:ind w:firstLine="0" w:firstLineChars="0"/>
              <w:rPr>
                <w:rFonts w:hint="eastAsia" w:hAnsi="Times New Roman"/>
                <w:sz w:val="24"/>
                <w:szCs w:val="24"/>
              </w:rPr>
            </w:pPr>
            <w:r>
              <w:rPr>
                <w:rFonts w:hint="eastAsia" w:hAnsi="Times New Roman"/>
                <w:sz w:val="24"/>
                <w:szCs w:val="24"/>
              </w:rPr>
              <w:t>能及时响应服务对象的需求。</w:t>
            </w:r>
          </w:p>
        </w:tc>
        <w:tc>
          <w:tcPr>
            <w:tcW w:w="1280" w:type="dxa"/>
            <w:tcBorders>
              <w:top w:val="single" w:color="auto" w:sz="4" w:space="0"/>
              <w:left w:val="single" w:color="auto" w:sz="4" w:space="0"/>
              <w:bottom w:val="single" w:color="auto" w:sz="4" w:space="0"/>
              <w:right w:val="single" w:color="auto" w:sz="4" w:space="0"/>
            </w:tcBorders>
          </w:tcPr>
          <w:p w14:paraId="52989A4F">
            <w:pPr>
              <w:spacing w:line="440" w:lineRule="exact"/>
              <w:ind w:firstLine="0" w:firstLineChars="0"/>
              <w:rPr>
                <w:rFonts w:hint="eastAsia" w:hAnsi="Times New Roman"/>
                <w:sz w:val="24"/>
                <w:szCs w:val="24"/>
              </w:rPr>
            </w:pPr>
          </w:p>
        </w:tc>
        <w:tc>
          <w:tcPr>
            <w:tcW w:w="1541" w:type="dxa"/>
            <w:tcBorders>
              <w:top w:val="single" w:color="auto" w:sz="4" w:space="0"/>
              <w:left w:val="single" w:color="auto" w:sz="4" w:space="0"/>
              <w:bottom w:val="single" w:color="auto" w:sz="4" w:space="0"/>
              <w:right w:val="single" w:color="auto" w:sz="4" w:space="0"/>
            </w:tcBorders>
          </w:tcPr>
          <w:p w14:paraId="0E8B87A2">
            <w:pPr>
              <w:spacing w:line="440" w:lineRule="exact"/>
              <w:ind w:firstLine="0" w:firstLineChars="0"/>
              <w:rPr>
                <w:rFonts w:hint="eastAsia" w:hAnsi="Times New Roman"/>
                <w:sz w:val="24"/>
                <w:szCs w:val="24"/>
              </w:rPr>
            </w:pPr>
          </w:p>
        </w:tc>
      </w:tr>
      <w:tr w14:paraId="561C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00" w:type="dxa"/>
            <w:vMerge w:val="continue"/>
            <w:tcBorders>
              <w:top w:val="nil"/>
              <w:left w:val="single" w:color="auto" w:sz="4" w:space="0"/>
              <w:bottom w:val="single" w:color="auto" w:sz="4" w:space="0"/>
              <w:right w:val="single" w:color="auto" w:sz="4" w:space="0"/>
            </w:tcBorders>
            <w:vAlign w:val="center"/>
          </w:tcPr>
          <w:p w14:paraId="06ADEF55">
            <w:pPr>
              <w:spacing w:line="440" w:lineRule="exact"/>
              <w:ind w:firstLine="0" w:firstLineChars="0"/>
              <w:rPr>
                <w:rFonts w:hint="eastAsia" w:hAnsi="Times New Roman"/>
                <w:sz w:val="24"/>
                <w:szCs w:val="24"/>
              </w:rPr>
            </w:pPr>
          </w:p>
        </w:tc>
        <w:tc>
          <w:tcPr>
            <w:tcW w:w="300" w:type="dxa"/>
            <w:vMerge w:val="continue"/>
            <w:tcBorders>
              <w:top w:val="nil"/>
              <w:left w:val="single" w:color="auto" w:sz="4" w:space="0"/>
              <w:bottom w:val="single" w:color="auto" w:sz="4" w:space="0"/>
              <w:right w:val="single" w:color="auto" w:sz="4" w:space="0"/>
            </w:tcBorders>
            <w:vAlign w:val="center"/>
          </w:tcPr>
          <w:p w14:paraId="58A148CA">
            <w:pPr>
              <w:spacing w:line="440" w:lineRule="exact"/>
              <w:ind w:firstLine="0" w:firstLineChars="0"/>
              <w:rPr>
                <w:rFonts w:hint="eastAsia" w:hAnsi="Times New Roman"/>
                <w:sz w:val="24"/>
                <w:szCs w:val="24"/>
              </w:rPr>
            </w:pPr>
          </w:p>
        </w:tc>
        <w:tc>
          <w:tcPr>
            <w:tcW w:w="1789" w:type="dxa"/>
            <w:tcBorders>
              <w:top w:val="single" w:color="auto" w:sz="4" w:space="0"/>
              <w:left w:val="single" w:color="auto" w:sz="4" w:space="0"/>
              <w:bottom w:val="single" w:color="auto" w:sz="4" w:space="0"/>
              <w:right w:val="single" w:color="auto" w:sz="4" w:space="0"/>
            </w:tcBorders>
            <w:vAlign w:val="center"/>
          </w:tcPr>
          <w:p w14:paraId="74FC799E">
            <w:pPr>
              <w:spacing w:line="440" w:lineRule="exact"/>
              <w:ind w:firstLine="0" w:firstLineChars="0"/>
              <w:rPr>
                <w:rFonts w:hint="eastAsia" w:hAnsi="Times New Roman"/>
                <w:sz w:val="24"/>
                <w:szCs w:val="24"/>
              </w:rPr>
            </w:pPr>
            <w:r>
              <w:rPr>
                <w:rFonts w:hint="eastAsia" w:hAnsi="Times New Roman"/>
                <w:sz w:val="24"/>
                <w:szCs w:val="24"/>
              </w:rPr>
              <w:t>保密义务</w:t>
            </w:r>
          </w:p>
        </w:tc>
        <w:tc>
          <w:tcPr>
            <w:tcW w:w="7445" w:type="dxa"/>
            <w:gridSpan w:val="4"/>
            <w:tcBorders>
              <w:top w:val="single" w:color="auto" w:sz="4" w:space="0"/>
              <w:left w:val="single" w:color="auto" w:sz="4" w:space="0"/>
              <w:bottom w:val="single" w:color="auto" w:sz="4" w:space="0"/>
              <w:right w:val="single" w:color="auto" w:sz="4" w:space="0"/>
            </w:tcBorders>
            <w:vAlign w:val="center"/>
          </w:tcPr>
          <w:p w14:paraId="4EA04BD3">
            <w:pPr>
              <w:spacing w:line="440" w:lineRule="exact"/>
              <w:ind w:firstLine="0" w:firstLineChars="0"/>
              <w:rPr>
                <w:rFonts w:hint="eastAsia" w:hAnsi="Times New Roman"/>
                <w:sz w:val="24"/>
                <w:szCs w:val="24"/>
              </w:rPr>
            </w:pPr>
            <w:r>
              <w:rPr>
                <w:rFonts w:hint="eastAsia" w:hAnsi="Times New Roman"/>
                <w:sz w:val="24"/>
                <w:szCs w:val="24"/>
              </w:rPr>
              <w:t>有保密要求的项目能履行保密义务。</w:t>
            </w:r>
          </w:p>
        </w:tc>
        <w:tc>
          <w:tcPr>
            <w:tcW w:w="1280" w:type="dxa"/>
            <w:tcBorders>
              <w:top w:val="single" w:color="auto" w:sz="4" w:space="0"/>
              <w:left w:val="single" w:color="auto" w:sz="4" w:space="0"/>
              <w:bottom w:val="single" w:color="auto" w:sz="4" w:space="0"/>
              <w:right w:val="single" w:color="auto" w:sz="4" w:space="0"/>
            </w:tcBorders>
          </w:tcPr>
          <w:p w14:paraId="353BE9F8">
            <w:pPr>
              <w:spacing w:line="440" w:lineRule="exact"/>
              <w:ind w:firstLine="0" w:firstLineChars="0"/>
              <w:rPr>
                <w:rFonts w:hint="eastAsia" w:hAnsi="Times New Roman"/>
                <w:sz w:val="24"/>
                <w:szCs w:val="24"/>
              </w:rPr>
            </w:pPr>
          </w:p>
        </w:tc>
        <w:tc>
          <w:tcPr>
            <w:tcW w:w="1541" w:type="dxa"/>
            <w:tcBorders>
              <w:top w:val="single" w:color="auto" w:sz="4" w:space="0"/>
              <w:left w:val="single" w:color="auto" w:sz="4" w:space="0"/>
              <w:bottom w:val="single" w:color="auto" w:sz="4" w:space="0"/>
              <w:right w:val="single" w:color="auto" w:sz="4" w:space="0"/>
            </w:tcBorders>
          </w:tcPr>
          <w:p w14:paraId="60760855">
            <w:pPr>
              <w:spacing w:line="440" w:lineRule="exact"/>
              <w:ind w:firstLine="0" w:firstLineChars="0"/>
              <w:rPr>
                <w:rFonts w:hint="eastAsia" w:hAnsi="Times New Roman"/>
                <w:sz w:val="24"/>
                <w:szCs w:val="24"/>
              </w:rPr>
            </w:pPr>
          </w:p>
        </w:tc>
      </w:tr>
      <w:tr w14:paraId="6A690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78" w:type="dxa"/>
            <w:vMerge w:val="restart"/>
            <w:tcBorders>
              <w:top w:val="nil"/>
              <w:left w:val="single" w:color="auto" w:sz="4" w:space="0"/>
              <w:bottom w:val="single" w:color="auto" w:sz="4" w:space="0"/>
              <w:right w:val="single" w:color="auto" w:sz="4" w:space="0"/>
            </w:tcBorders>
            <w:vAlign w:val="center"/>
          </w:tcPr>
          <w:p w14:paraId="77CD2E13">
            <w:pPr>
              <w:spacing w:line="440" w:lineRule="exact"/>
              <w:ind w:firstLine="0" w:firstLineChars="0"/>
              <w:rPr>
                <w:rFonts w:hint="eastAsia" w:hAnsi="Times New Roman"/>
                <w:sz w:val="24"/>
                <w:szCs w:val="24"/>
              </w:rPr>
            </w:pPr>
            <w:r>
              <w:rPr>
                <w:rFonts w:hint="eastAsia" w:hAnsi="Times New Roman"/>
                <w:sz w:val="24"/>
                <w:szCs w:val="24"/>
              </w:rPr>
              <w:t>3</w:t>
            </w:r>
          </w:p>
        </w:tc>
        <w:tc>
          <w:tcPr>
            <w:tcW w:w="1472" w:type="dxa"/>
            <w:vMerge w:val="restart"/>
            <w:tcBorders>
              <w:top w:val="nil"/>
              <w:left w:val="single" w:color="auto" w:sz="4" w:space="0"/>
              <w:bottom w:val="single" w:color="auto" w:sz="4" w:space="0"/>
              <w:right w:val="single" w:color="auto" w:sz="4" w:space="0"/>
            </w:tcBorders>
            <w:vAlign w:val="center"/>
          </w:tcPr>
          <w:p w14:paraId="5674809C">
            <w:pPr>
              <w:spacing w:line="440" w:lineRule="exact"/>
              <w:ind w:firstLine="0" w:firstLineChars="0"/>
              <w:rPr>
                <w:rFonts w:hint="eastAsia" w:hAnsi="Times New Roman"/>
                <w:sz w:val="24"/>
                <w:szCs w:val="24"/>
              </w:rPr>
            </w:pPr>
            <w:r>
              <w:rPr>
                <w:rFonts w:hint="eastAsia" w:hAnsi="Times New Roman"/>
                <w:sz w:val="24"/>
                <w:szCs w:val="24"/>
              </w:rPr>
              <w:t>服务质量</w:t>
            </w:r>
          </w:p>
        </w:tc>
        <w:tc>
          <w:tcPr>
            <w:tcW w:w="1789" w:type="dxa"/>
            <w:tcBorders>
              <w:top w:val="single" w:color="auto" w:sz="4" w:space="0"/>
              <w:left w:val="single" w:color="auto" w:sz="4" w:space="0"/>
              <w:bottom w:val="single" w:color="auto" w:sz="4" w:space="0"/>
              <w:right w:val="single" w:color="auto" w:sz="4" w:space="0"/>
            </w:tcBorders>
            <w:vAlign w:val="center"/>
          </w:tcPr>
          <w:p w14:paraId="158C7E8D">
            <w:pPr>
              <w:spacing w:line="440" w:lineRule="exact"/>
              <w:ind w:firstLine="0" w:firstLineChars="0"/>
              <w:rPr>
                <w:rFonts w:hint="eastAsia" w:hAnsi="Times New Roman"/>
                <w:sz w:val="24"/>
                <w:szCs w:val="24"/>
              </w:rPr>
            </w:pPr>
            <w:r>
              <w:rPr>
                <w:rFonts w:hint="eastAsia" w:hAnsi="Times New Roman"/>
                <w:sz w:val="24"/>
                <w:szCs w:val="24"/>
              </w:rPr>
              <w:t>质量控制</w:t>
            </w:r>
          </w:p>
        </w:tc>
        <w:tc>
          <w:tcPr>
            <w:tcW w:w="7445" w:type="dxa"/>
            <w:gridSpan w:val="4"/>
            <w:tcBorders>
              <w:top w:val="single" w:color="auto" w:sz="4" w:space="0"/>
              <w:left w:val="single" w:color="auto" w:sz="4" w:space="0"/>
              <w:bottom w:val="single" w:color="auto" w:sz="4" w:space="0"/>
              <w:right w:val="single" w:color="auto" w:sz="4" w:space="0"/>
            </w:tcBorders>
            <w:vAlign w:val="center"/>
          </w:tcPr>
          <w:p w14:paraId="5A874551">
            <w:pPr>
              <w:spacing w:line="440" w:lineRule="exact"/>
              <w:ind w:firstLine="0" w:firstLineChars="0"/>
              <w:rPr>
                <w:rFonts w:hint="eastAsia" w:hAnsi="Times New Roman"/>
                <w:sz w:val="24"/>
                <w:szCs w:val="24"/>
              </w:rPr>
            </w:pPr>
            <w:r>
              <w:rPr>
                <w:rFonts w:hint="eastAsia" w:hAnsi="Times New Roman"/>
                <w:sz w:val="24"/>
                <w:szCs w:val="24"/>
              </w:rPr>
              <w:t>第三方机构有质量审核程序。</w:t>
            </w:r>
          </w:p>
        </w:tc>
        <w:tc>
          <w:tcPr>
            <w:tcW w:w="1280" w:type="dxa"/>
            <w:tcBorders>
              <w:top w:val="single" w:color="auto" w:sz="4" w:space="0"/>
              <w:left w:val="single" w:color="auto" w:sz="4" w:space="0"/>
              <w:bottom w:val="single" w:color="auto" w:sz="4" w:space="0"/>
              <w:right w:val="single" w:color="auto" w:sz="4" w:space="0"/>
            </w:tcBorders>
          </w:tcPr>
          <w:p w14:paraId="4EBB6686">
            <w:pPr>
              <w:spacing w:line="440" w:lineRule="exact"/>
              <w:ind w:firstLine="0" w:firstLineChars="0"/>
              <w:rPr>
                <w:rFonts w:hint="eastAsia" w:hAnsi="Times New Roman"/>
                <w:sz w:val="24"/>
                <w:szCs w:val="24"/>
              </w:rPr>
            </w:pPr>
          </w:p>
        </w:tc>
        <w:tc>
          <w:tcPr>
            <w:tcW w:w="1541" w:type="dxa"/>
            <w:tcBorders>
              <w:top w:val="single" w:color="auto" w:sz="4" w:space="0"/>
              <w:left w:val="single" w:color="auto" w:sz="4" w:space="0"/>
              <w:bottom w:val="single" w:color="auto" w:sz="4" w:space="0"/>
              <w:right w:val="single" w:color="auto" w:sz="4" w:space="0"/>
            </w:tcBorders>
          </w:tcPr>
          <w:p w14:paraId="30C52590">
            <w:pPr>
              <w:spacing w:line="440" w:lineRule="exact"/>
              <w:ind w:firstLine="0" w:firstLineChars="0"/>
              <w:rPr>
                <w:rFonts w:hint="eastAsia" w:hAnsi="Times New Roman"/>
                <w:sz w:val="24"/>
                <w:szCs w:val="24"/>
              </w:rPr>
            </w:pPr>
          </w:p>
        </w:tc>
      </w:tr>
      <w:tr w14:paraId="38A2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00" w:type="dxa"/>
            <w:vMerge w:val="continue"/>
            <w:tcBorders>
              <w:top w:val="nil"/>
              <w:left w:val="single" w:color="auto" w:sz="4" w:space="0"/>
              <w:bottom w:val="single" w:color="auto" w:sz="4" w:space="0"/>
              <w:right w:val="single" w:color="auto" w:sz="4" w:space="0"/>
            </w:tcBorders>
            <w:vAlign w:val="center"/>
          </w:tcPr>
          <w:p w14:paraId="36F8DD71">
            <w:pPr>
              <w:spacing w:line="440" w:lineRule="exact"/>
              <w:ind w:firstLine="0" w:firstLineChars="0"/>
              <w:rPr>
                <w:rFonts w:hint="eastAsia" w:hAnsi="Times New Roman"/>
                <w:sz w:val="24"/>
                <w:szCs w:val="24"/>
              </w:rPr>
            </w:pPr>
          </w:p>
        </w:tc>
        <w:tc>
          <w:tcPr>
            <w:tcW w:w="300" w:type="dxa"/>
            <w:vMerge w:val="continue"/>
            <w:tcBorders>
              <w:top w:val="nil"/>
              <w:left w:val="single" w:color="auto" w:sz="4" w:space="0"/>
              <w:bottom w:val="single" w:color="auto" w:sz="4" w:space="0"/>
              <w:right w:val="single" w:color="auto" w:sz="4" w:space="0"/>
            </w:tcBorders>
            <w:vAlign w:val="center"/>
          </w:tcPr>
          <w:p w14:paraId="0B610A93">
            <w:pPr>
              <w:spacing w:line="440" w:lineRule="exact"/>
              <w:ind w:firstLine="0" w:firstLineChars="0"/>
              <w:rPr>
                <w:rFonts w:hint="eastAsia" w:hAnsi="Times New Roman"/>
                <w:sz w:val="24"/>
                <w:szCs w:val="24"/>
              </w:rPr>
            </w:pPr>
          </w:p>
        </w:tc>
        <w:tc>
          <w:tcPr>
            <w:tcW w:w="1789" w:type="dxa"/>
            <w:tcBorders>
              <w:top w:val="single" w:color="auto" w:sz="4" w:space="0"/>
              <w:left w:val="single" w:color="auto" w:sz="4" w:space="0"/>
              <w:bottom w:val="single" w:color="auto" w:sz="4" w:space="0"/>
              <w:right w:val="single" w:color="auto" w:sz="4" w:space="0"/>
            </w:tcBorders>
            <w:vAlign w:val="center"/>
          </w:tcPr>
          <w:p w14:paraId="1E9D4BDA">
            <w:pPr>
              <w:spacing w:line="440" w:lineRule="exact"/>
              <w:ind w:firstLine="0" w:firstLineChars="0"/>
              <w:rPr>
                <w:rFonts w:hint="eastAsia" w:hAnsi="Times New Roman"/>
                <w:sz w:val="24"/>
                <w:szCs w:val="24"/>
              </w:rPr>
            </w:pPr>
            <w:r>
              <w:rPr>
                <w:rFonts w:hint="eastAsia" w:hAnsi="Times New Roman"/>
                <w:sz w:val="24"/>
                <w:szCs w:val="24"/>
              </w:rPr>
              <w:t>交付</w:t>
            </w:r>
          </w:p>
        </w:tc>
        <w:tc>
          <w:tcPr>
            <w:tcW w:w="7445" w:type="dxa"/>
            <w:gridSpan w:val="4"/>
            <w:tcBorders>
              <w:top w:val="single" w:color="auto" w:sz="4" w:space="0"/>
              <w:left w:val="single" w:color="auto" w:sz="4" w:space="0"/>
              <w:bottom w:val="single" w:color="auto" w:sz="4" w:space="0"/>
              <w:right w:val="single" w:color="auto" w:sz="4" w:space="0"/>
            </w:tcBorders>
            <w:vAlign w:val="center"/>
          </w:tcPr>
          <w:p w14:paraId="0E4FE783">
            <w:pPr>
              <w:spacing w:line="440" w:lineRule="exact"/>
              <w:ind w:firstLine="0" w:firstLineChars="0"/>
              <w:rPr>
                <w:rFonts w:hint="eastAsia" w:hAnsi="Times New Roman"/>
                <w:sz w:val="24"/>
                <w:szCs w:val="24"/>
              </w:rPr>
            </w:pPr>
            <w:r>
              <w:rPr>
                <w:rFonts w:hint="eastAsia" w:hAnsi="Times New Roman"/>
                <w:sz w:val="24"/>
                <w:szCs w:val="24"/>
              </w:rPr>
              <w:t>第三方机构交付的文件、资料满足服务业务方的要求。</w:t>
            </w:r>
          </w:p>
        </w:tc>
        <w:tc>
          <w:tcPr>
            <w:tcW w:w="1280" w:type="dxa"/>
            <w:tcBorders>
              <w:top w:val="single" w:color="auto" w:sz="4" w:space="0"/>
              <w:left w:val="single" w:color="auto" w:sz="4" w:space="0"/>
              <w:bottom w:val="single" w:color="auto" w:sz="4" w:space="0"/>
              <w:right w:val="single" w:color="auto" w:sz="4" w:space="0"/>
            </w:tcBorders>
          </w:tcPr>
          <w:p w14:paraId="72826B3C">
            <w:pPr>
              <w:spacing w:line="440" w:lineRule="exact"/>
              <w:ind w:firstLine="0" w:firstLineChars="0"/>
              <w:rPr>
                <w:rFonts w:hint="eastAsia" w:hAnsi="Times New Roman"/>
                <w:sz w:val="24"/>
                <w:szCs w:val="24"/>
              </w:rPr>
            </w:pPr>
          </w:p>
        </w:tc>
        <w:tc>
          <w:tcPr>
            <w:tcW w:w="1541" w:type="dxa"/>
            <w:tcBorders>
              <w:top w:val="single" w:color="auto" w:sz="4" w:space="0"/>
              <w:left w:val="single" w:color="auto" w:sz="4" w:space="0"/>
              <w:bottom w:val="single" w:color="auto" w:sz="4" w:space="0"/>
              <w:right w:val="single" w:color="auto" w:sz="4" w:space="0"/>
            </w:tcBorders>
          </w:tcPr>
          <w:p w14:paraId="5375F225">
            <w:pPr>
              <w:spacing w:line="440" w:lineRule="exact"/>
              <w:ind w:firstLine="0" w:firstLineChars="0"/>
              <w:rPr>
                <w:rFonts w:hint="eastAsia" w:hAnsi="Times New Roman"/>
                <w:sz w:val="24"/>
                <w:szCs w:val="24"/>
              </w:rPr>
            </w:pPr>
          </w:p>
        </w:tc>
      </w:tr>
      <w:tr w14:paraId="5AA39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00" w:type="dxa"/>
            <w:vMerge w:val="continue"/>
            <w:tcBorders>
              <w:top w:val="nil"/>
              <w:left w:val="single" w:color="auto" w:sz="4" w:space="0"/>
              <w:bottom w:val="single" w:color="auto" w:sz="4" w:space="0"/>
              <w:right w:val="single" w:color="auto" w:sz="4" w:space="0"/>
            </w:tcBorders>
            <w:vAlign w:val="center"/>
          </w:tcPr>
          <w:p w14:paraId="53137A1C">
            <w:pPr>
              <w:spacing w:line="440" w:lineRule="exact"/>
              <w:ind w:firstLine="0" w:firstLineChars="0"/>
              <w:rPr>
                <w:rFonts w:hint="eastAsia" w:hAnsi="Times New Roman"/>
                <w:sz w:val="24"/>
                <w:szCs w:val="24"/>
              </w:rPr>
            </w:pPr>
          </w:p>
        </w:tc>
        <w:tc>
          <w:tcPr>
            <w:tcW w:w="300" w:type="dxa"/>
            <w:vMerge w:val="continue"/>
            <w:tcBorders>
              <w:top w:val="nil"/>
              <w:left w:val="single" w:color="auto" w:sz="4" w:space="0"/>
              <w:bottom w:val="single" w:color="auto" w:sz="4" w:space="0"/>
              <w:right w:val="single" w:color="auto" w:sz="4" w:space="0"/>
            </w:tcBorders>
            <w:vAlign w:val="center"/>
          </w:tcPr>
          <w:p w14:paraId="0603D674">
            <w:pPr>
              <w:spacing w:line="440" w:lineRule="exact"/>
              <w:ind w:firstLine="0" w:firstLineChars="0"/>
              <w:rPr>
                <w:rFonts w:hint="eastAsia" w:hAnsi="Times New Roman"/>
                <w:sz w:val="24"/>
                <w:szCs w:val="24"/>
              </w:rPr>
            </w:pPr>
          </w:p>
        </w:tc>
        <w:tc>
          <w:tcPr>
            <w:tcW w:w="1789" w:type="dxa"/>
            <w:tcBorders>
              <w:top w:val="single" w:color="auto" w:sz="4" w:space="0"/>
              <w:left w:val="single" w:color="auto" w:sz="4" w:space="0"/>
              <w:bottom w:val="single" w:color="auto" w:sz="4" w:space="0"/>
              <w:right w:val="single" w:color="auto" w:sz="4" w:space="0"/>
            </w:tcBorders>
            <w:vAlign w:val="center"/>
          </w:tcPr>
          <w:p w14:paraId="1283DD46">
            <w:pPr>
              <w:spacing w:line="440" w:lineRule="exact"/>
              <w:ind w:firstLine="0" w:firstLineChars="0"/>
              <w:rPr>
                <w:rFonts w:hint="eastAsia" w:hAnsi="Times New Roman"/>
                <w:sz w:val="24"/>
                <w:szCs w:val="24"/>
              </w:rPr>
            </w:pPr>
            <w:r>
              <w:rPr>
                <w:rFonts w:hint="eastAsia" w:hAnsi="Times New Roman"/>
                <w:sz w:val="24"/>
                <w:szCs w:val="24"/>
              </w:rPr>
              <w:t>交付</w:t>
            </w:r>
          </w:p>
        </w:tc>
        <w:tc>
          <w:tcPr>
            <w:tcW w:w="7445" w:type="dxa"/>
            <w:gridSpan w:val="4"/>
            <w:tcBorders>
              <w:top w:val="single" w:color="auto" w:sz="4" w:space="0"/>
              <w:left w:val="single" w:color="auto" w:sz="4" w:space="0"/>
              <w:bottom w:val="single" w:color="auto" w:sz="4" w:space="0"/>
              <w:right w:val="single" w:color="auto" w:sz="4" w:space="0"/>
            </w:tcBorders>
            <w:vAlign w:val="center"/>
          </w:tcPr>
          <w:p w14:paraId="68A84F02">
            <w:pPr>
              <w:spacing w:line="440" w:lineRule="exact"/>
              <w:ind w:firstLine="0" w:firstLineChars="0"/>
              <w:rPr>
                <w:rFonts w:hint="eastAsia" w:hAnsi="Times New Roman"/>
                <w:sz w:val="24"/>
                <w:szCs w:val="24"/>
              </w:rPr>
            </w:pPr>
            <w:r>
              <w:rPr>
                <w:rFonts w:hint="eastAsia" w:hAnsi="Times New Roman"/>
                <w:sz w:val="24"/>
                <w:szCs w:val="24"/>
              </w:rPr>
              <w:t>第三方机构提交的文件、报告等顺利通过专家审核。</w:t>
            </w:r>
          </w:p>
        </w:tc>
        <w:tc>
          <w:tcPr>
            <w:tcW w:w="1280" w:type="dxa"/>
            <w:tcBorders>
              <w:top w:val="single" w:color="auto" w:sz="4" w:space="0"/>
              <w:left w:val="single" w:color="auto" w:sz="4" w:space="0"/>
              <w:bottom w:val="single" w:color="auto" w:sz="4" w:space="0"/>
              <w:right w:val="single" w:color="auto" w:sz="4" w:space="0"/>
            </w:tcBorders>
          </w:tcPr>
          <w:p w14:paraId="7381C04F">
            <w:pPr>
              <w:spacing w:line="440" w:lineRule="exact"/>
              <w:ind w:firstLine="0" w:firstLineChars="0"/>
              <w:rPr>
                <w:rFonts w:hint="eastAsia" w:hAnsi="Times New Roman"/>
                <w:sz w:val="24"/>
                <w:szCs w:val="24"/>
              </w:rPr>
            </w:pPr>
          </w:p>
        </w:tc>
        <w:tc>
          <w:tcPr>
            <w:tcW w:w="1541" w:type="dxa"/>
            <w:tcBorders>
              <w:top w:val="single" w:color="auto" w:sz="4" w:space="0"/>
              <w:left w:val="single" w:color="auto" w:sz="4" w:space="0"/>
              <w:bottom w:val="single" w:color="auto" w:sz="4" w:space="0"/>
              <w:right w:val="single" w:color="auto" w:sz="4" w:space="0"/>
            </w:tcBorders>
          </w:tcPr>
          <w:p w14:paraId="4C1F4C69">
            <w:pPr>
              <w:spacing w:line="440" w:lineRule="exact"/>
              <w:ind w:firstLine="0" w:firstLineChars="0"/>
              <w:rPr>
                <w:rFonts w:hint="eastAsia" w:hAnsi="Times New Roman"/>
                <w:sz w:val="24"/>
                <w:szCs w:val="24"/>
              </w:rPr>
            </w:pPr>
          </w:p>
        </w:tc>
      </w:tr>
      <w:tr w14:paraId="7A762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8" w:type="dxa"/>
            <w:tcBorders>
              <w:top w:val="single" w:color="auto" w:sz="4" w:space="0"/>
              <w:left w:val="single" w:color="auto" w:sz="4" w:space="0"/>
              <w:bottom w:val="single" w:color="auto" w:sz="4" w:space="0"/>
              <w:right w:val="single" w:color="auto" w:sz="4" w:space="0"/>
            </w:tcBorders>
            <w:vAlign w:val="center"/>
          </w:tcPr>
          <w:p w14:paraId="5F215F44">
            <w:pPr>
              <w:spacing w:line="440" w:lineRule="exact"/>
              <w:ind w:firstLine="0" w:firstLineChars="0"/>
              <w:rPr>
                <w:rFonts w:hint="eastAsia" w:hAnsi="Times New Roman"/>
                <w:sz w:val="24"/>
                <w:szCs w:val="24"/>
              </w:rPr>
            </w:pPr>
            <w:r>
              <w:rPr>
                <w:rFonts w:hint="eastAsia" w:hAnsi="Times New Roman"/>
                <w:sz w:val="24"/>
                <w:szCs w:val="24"/>
              </w:rPr>
              <w:t>4</w:t>
            </w:r>
          </w:p>
        </w:tc>
        <w:tc>
          <w:tcPr>
            <w:tcW w:w="1472" w:type="dxa"/>
            <w:tcBorders>
              <w:top w:val="single" w:color="auto" w:sz="4" w:space="0"/>
              <w:left w:val="single" w:color="auto" w:sz="4" w:space="0"/>
              <w:bottom w:val="single" w:color="auto" w:sz="4" w:space="0"/>
              <w:right w:val="single" w:color="auto" w:sz="4" w:space="0"/>
            </w:tcBorders>
            <w:vAlign w:val="center"/>
          </w:tcPr>
          <w:p w14:paraId="68C495DE">
            <w:pPr>
              <w:spacing w:line="440" w:lineRule="exact"/>
              <w:ind w:firstLine="0" w:firstLineChars="0"/>
              <w:rPr>
                <w:rFonts w:hint="eastAsia" w:hAnsi="Times New Roman"/>
                <w:sz w:val="24"/>
                <w:szCs w:val="24"/>
              </w:rPr>
            </w:pPr>
            <w:r>
              <w:rPr>
                <w:rFonts w:hint="eastAsia" w:hAnsi="Times New Roman"/>
                <w:sz w:val="24"/>
                <w:szCs w:val="24"/>
              </w:rPr>
              <w:t>服务进度</w:t>
            </w:r>
          </w:p>
        </w:tc>
        <w:tc>
          <w:tcPr>
            <w:tcW w:w="1789" w:type="dxa"/>
            <w:tcBorders>
              <w:top w:val="single" w:color="auto" w:sz="4" w:space="0"/>
              <w:left w:val="single" w:color="auto" w:sz="4" w:space="0"/>
              <w:bottom w:val="single" w:color="auto" w:sz="4" w:space="0"/>
              <w:right w:val="single" w:color="auto" w:sz="4" w:space="0"/>
            </w:tcBorders>
            <w:vAlign w:val="center"/>
          </w:tcPr>
          <w:p w14:paraId="17E2D0DF">
            <w:pPr>
              <w:spacing w:line="440" w:lineRule="exact"/>
              <w:ind w:firstLine="0" w:firstLineChars="0"/>
              <w:rPr>
                <w:rFonts w:hint="eastAsia" w:hAnsi="Times New Roman"/>
                <w:sz w:val="24"/>
                <w:szCs w:val="24"/>
              </w:rPr>
            </w:pPr>
            <w:r>
              <w:rPr>
                <w:rFonts w:hint="eastAsia" w:hAnsi="Times New Roman"/>
                <w:sz w:val="24"/>
                <w:szCs w:val="24"/>
              </w:rPr>
              <w:t>及时交付</w:t>
            </w:r>
          </w:p>
        </w:tc>
        <w:tc>
          <w:tcPr>
            <w:tcW w:w="7445" w:type="dxa"/>
            <w:gridSpan w:val="4"/>
            <w:tcBorders>
              <w:top w:val="single" w:color="auto" w:sz="4" w:space="0"/>
              <w:left w:val="single" w:color="auto" w:sz="4" w:space="0"/>
              <w:bottom w:val="single" w:color="auto" w:sz="4" w:space="0"/>
              <w:right w:val="single" w:color="auto" w:sz="4" w:space="0"/>
            </w:tcBorders>
            <w:vAlign w:val="center"/>
          </w:tcPr>
          <w:p w14:paraId="4C700418">
            <w:pPr>
              <w:spacing w:line="440" w:lineRule="exact"/>
              <w:ind w:firstLine="0" w:firstLineChars="0"/>
              <w:rPr>
                <w:rFonts w:hint="eastAsia" w:hAnsi="Times New Roman"/>
                <w:sz w:val="24"/>
                <w:szCs w:val="24"/>
              </w:rPr>
            </w:pPr>
            <w:r>
              <w:rPr>
                <w:rFonts w:hint="eastAsia" w:hAnsi="Times New Roman"/>
                <w:sz w:val="24"/>
                <w:szCs w:val="24"/>
              </w:rPr>
              <w:t>能否根据合同规定的时间要求完成任务。</w:t>
            </w:r>
          </w:p>
        </w:tc>
        <w:tc>
          <w:tcPr>
            <w:tcW w:w="1280" w:type="dxa"/>
            <w:tcBorders>
              <w:top w:val="single" w:color="auto" w:sz="4" w:space="0"/>
              <w:left w:val="single" w:color="auto" w:sz="4" w:space="0"/>
              <w:bottom w:val="single" w:color="auto" w:sz="4" w:space="0"/>
              <w:right w:val="single" w:color="auto" w:sz="4" w:space="0"/>
            </w:tcBorders>
          </w:tcPr>
          <w:p w14:paraId="5E370E76">
            <w:pPr>
              <w:spacing w:line="440" w:lineRule="exact"/>
              <w:ind w:firstLine="0" w:firstLineChars="0"/>
              <w:rPr>
                <w:rFonts w:hint="eastAsia" w:hAnsi="Times New Roman"/>
                <w:sz w:val="24"/>
                <w:szCs w:val="24"/>
              </w:rPr>
            </w:pPr>
          </w:p>
        </w:tc>
        <w:tc>
          <w:tcPr>
            <w:tcW w:w="1541" w:type="dxa"/>
            <w:tcBorders>
              <w:top w:val="single" w:color="auto" w:sz="4" w:space="0"/>
              <w:left w:val="single" w:color="auto" w:sz="4" w:space="0"/>
              <w:bottom w:val="single" w:color="auto" w:sz="4" w:space="0"/>
              <w:right w:val="single" w:color="auto" w:sz="4" w:space="0"/>
            </w:tcBorders>
          </w:tcPr>
          <w:p w14:paraId="3BE332FA">
            <w:pPr>
              <w:spacing w:line="440" w:lineRule="exact"/>
              <w:ind w:firstLine="0" w:firstLineChars="0"/>
              <w:rPr>
                <w:rFonts w:hint="eastAsia" w:hAnsi="Times New Roman"/>
                <w:sz w:val="24"/>
                <w:szCs w:val="24"/>
              </w:rPr>
            </w:pPr>
          </w:p>
        </w:tc>
      </w:tr>
      <w:tr w14:paraId="759BD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250" w:type="dxa"/>
            <w:gridSpan w:val="2"/>
            <w:tcBorders>
              <w:top w:val="single" w:color="auto" w:sz="4" w:space="0"/>
              <w:left w:val="single" w:color="auto" w:sz="4" w:space="0"/>
              <w:bottom w:val="single" w:color="auto" w:sz="4" w:space="0"/>
              <w:right w:val="single" w:color="auto" w:sz="4" w:space="0"/>
            </w:tcBorders>
            <w:vAlign w:val="center"/>
          </w:tcPr>
          <w:p w14:paraId="6D6AA472">
            <w:pPr>
              <w:spacing w:line="440" w:lineRule="exact"/>
              <w:ind w:firstLine="0" w:firstLineChars="0"/>
              <w:rPr>
                <w:rFonts w:hint="eastAsia" w:hAnsi="Times New Roman"/>
                <w:sz w:val="24"/>
                <w:szCs w:val="24"/>
              </w:rPr>
            </w:pPr>
            <w:r>
              <w:rPr>
                <w:rFonts w:hint="eastAsia" w:hAnsi="Times New Roman"/>
                <w:sz w:val="24"/>
                <w:szCs w:val="24"/>
              </w:rPr>
              <w:t>考核结果</w:t>
            </w:r>
          </w:p>
        </w:tc>
        <w:tc>
          <w:tcPr>
            <w:tcW w:w="12055" w:type="dxa"/>
            <w:gridSpan w:val="7"/>
            <w:tcBorders>
              <w:top w:val="single" w:color="auto" w:sz="4" w:space="0"/>
              <w:left w:val="single" w:color="auto" w:sz="4" w:space="0"/>
              <w:bottom w:val="single" w:color="auto" w:sz="4" w:space="0"/>
              <w:right w:val="single" w:color="auto" w:sz="4" w:space="0"/>
            </w:tcBorders>
            <w:vAlign w:val="center"/>
          </w:tcPr>
          <w:p w14:paraId="400BB7D8">
            <w:pPr>
              <w:spacing w:line="440" w:lineRule="exact"/>
              <w:ind w:firstLine="0" w:firstLineChars="0"/>
              <w:rPr>
                <w:rFonts w:hint="eastAsia" w:hAnsi="Times New Roman"/>
                <w:sz w:val="24"/>
                <w:szCs w:val="24"/>
              </w:rPr>
            </w:pPr>
          </w:p>
        </w:tc>
      </w:tr>
      <w:tr w14:paraId="0060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2250" w:type="dxa"/>
            <w:gridSpan w:val="2"/>
            <w:tcBorders>
              <w:top w:val="single" w:color="auto" w:sz="4" w:space="0"/>
              <w:left w:val="single" w:color="auto" w:sz="4" w:space="0"/>
              <w:bottom w:val="single" w:color="auto" w:sz="4" w:space="0"/>
              <w:right w:val="single" w:color="auto" w:sz="4" w:space="0"/>
            </w:tcBorders>
            <w:vAlign w:val="center"/>
          </w:tcPr>
          <w:p w14:paraId="10906149">
            <w:pPr>
              <w:spacing w:line="440" w:lineRule="exact"/>
              <w:ind w:firstLine="0" w:firstLineChars="0"/>
              <w:rPr>
                <w:rFonts w:hint="eastAsia" w:hAnsi="Times New Roman"/>
                <w:sz w:val="24"/>
                <w:szCs w:val="24"/>
              </w:rPr>
            </w:pPr>
            <w:r>
              <w:rPr>
                <w:rFonts w:hint="eastAsia" w:hAnsi="Times New Roman"/>
                <w:sz w:val="24"/>
                <w:szCs w:val="24"/>
              </w:rPr>
              <w:t>考核单位和考核人</w:t>
            </w:r>
          </w:p>
          <w:p w14:paraId="6925E5D1">
            <w:pPr>
              <w:spacing w:line="440" w:lineRule="exact"/>
              <w:ind w:firstLine="0" w:firstLineChars="0"/>
              <w:rPr>
                <w:rFonts w:hint="eastAsia" w:hAnsi="Times New Roman"/>
                <w:sz w:val="24"/>
                <w:szCs w:val="24"/>
              </w:rPr>
            </w:pPr>
            <w:r>
              <w:rPr>
                <w:rFonts w:hint="eastAsia" w:hAnsi="Times New Roman"/>
                <w:sz w:val="24"/>
                <w:szCs w:val="24"/>
              </w:rPr>
              <w:t>（签字或盖章）</w:t>
            </w:r>
          </w:p>
        </w:tc>
        <w:tc>
          <w:tcPr>
            <w:tcW w:w="6358" w:type="dxa"/>
            <w:gridSpan w:val="4"/>
            <w:tcBorders>
              <w:top w:val="single" w:color="auto" w:sz="4" w:space="0"/>
              <w:left w:val="single" w:color="auto" w:sz="4" w:space="0"/>
              <w:bottom w:val="single" w:color="auto" w:sz="4" w:space="0"/>
              <w:right w:val="single" w:color="auto" w:sz="4" w:space="0"/>
            </w:tcBorders>
            <w:vAlign w:val="center"/>
          </w:tcPr>
          <w:p w14:paraId="1E33317A">
            <w:pPr>
              <w:spacing w:line="440" w:lineRule="exact"/>
              <w:ind w:firstLine="0" w:firstLineChars="0"/>
              <w:rPr>
                <w:rFonts w:hint="eastAsia" w:hAnsi="Times New Roman"/>
                <w:sz w:val="24"/>
                <w:szCs w:val="24"/>
              </w:rPr>
            </w:pPr>
          </w:p>
        </w:tc>
        <w:tc>
          <w:tcPr>
            <w:tcW w:w="5697" w:type="dxa"/>
            <w:gridSpan w:val="3"/>
            <w:tcBorders>
              <w:top w:val="single" w:color="auto" w:sz="4" w:space="0"/>
              <w:left w:val="single" w:color="auto" w:sz="4" w:space="0"/>
              <w:bottom w:val="single" w:color="auto" w:sz="4" w:space="0"/>
              <w:right w:val="single" w:color="auto" w:sz="4" w:space="0"/>
            </w:tcBorders>
            <w:vAlign w:val="center"/>
          </w:tcPr>
          <w:p w14:paraId="4336AC47">
            <w:pPr>
              <w:spacing w:line="440" w:lineRule="exact"/>
              <w:ind w:firstLine="0" w:firstLineChars="0"/>
              <w:rPr>
                <w:rFonts w:hint="eastAsia" w:hAnsi="Times New Roman"/>
                <w:sz w:val="24"/>
                <w:szCs w:val="24"/>
              </w:rPr>
            </w:pPr>
            <w:r>
              <w:rPr>
                <w:rFonts w:hint="eastAsia" w:hAnsi="Times New Roman"/>
                <w:sz w:val="24"/>
                <w:szCs w:val="24"/>
              </w:rPr>
              <w:t>备注：</w:t>
            </w:r>
          </w:p>
        </w:tc>
      </w:tr>
    </w:tbl>
    <w:p w14:paraId="70EF5941">
      <w:pPr>
        <w:ind w:firstLine="0" w:firstLineChars="0"/>
        <w:rPr>
          <w:rFonts w:ascii="Times New Roman" w:hAnsi="Times New Roman"/>
        </w:rPr>
      </w:pPr>
    </w:p>
    <w:p w14:paraId="2D0DA5F4">
      <w:pPr>
        <w:ind w:firstLine="0" w:firstLineChars="0"/>
        <w:rPr>
          <w:rFonts w:hint="eastAsia" w:ascii="Times New Roman" w:hAnsi="Times New Roman"/>
        </w:rPr>
        <w:sectPr>
          <w:pgSz w:w="16838" w:h="11906" w:orient="landscape"/>
          <w:pgMar w:top="1531" w:right="2098" w:bottom="1531" w:left="1984" w:header="851" w:footer="1417" w:gutter="0"/>
          <w:cols w:space="720" w:num="1"/>
          <w:docGrid w:type="lines" w:linePitch="439" w:charSpace="0"/>
        </w:sectPr>
      </w:pPr>
    </w:p>
    <w:p w14:paraId="26359CB0">
      <w:pPr>
        <w:pStyle w:val="2"/>
        <w:spacing w:before="0" w:after="0" w:line="600" w:lineRule="exact"/>
        <w:rPr>
          <w:rFonts w:ascii="Times New Roman" w:hAnsi="Times New Roman"/>
        </w:rPr>
      </w:pPr>
      <w:bookmarkStart w:id="61" w:name="_Toc1383"/>
      <w:bookmarkStart w:id="62" w:name="_Toc26088"/>
      <w:r>
        <w:rPr>
          <w:rFonts w:ascii="Times New Roman" w:hAnsi="Times New Roman"/>
        </w:rPr>
        <w:t>第十</w:t>
      </w:r>
      <w:r>
        <w:rPr>
          <w:rFonts w:hint="eastAsia" w:ascii="Times New Roman" w:hAnsi="Times New Roman"/>
        </w:rPr>
        <w:t>二</w:t>
      </w:r>
      <w:r>
        <w:rPr>
          <w:rFonts w:ascii="Times New Roman" w:hAnsi="Times New Roman"/>
        </w:rPr>
        <w:t>章</w:t>
      </w:r>
      <w:r>
        <w:rPr>
          <w:rFonts w:hint="eastAsia" w:ascii="Times New Roman" w:hAnsi="Times New Roman"/>
          <w:lang w:val="en-US" w:eastAsia="zh-CN"/>
        </w:rPr>
        <w:t xml:space="preserve"> </w:t>
      </w:r>
      <w:r>
        <w:rPr>
          <w:rFonts w:ascii="Times New Roman" w:hAnsi="Times New Roman"/>
        </w:rPr>
        <w:t xml:space="preserve"> 园区配套公用工程管理</w:t>
      </w:r>
      <w:bookmarkEnd w:id="61"/>
      <w:bookmarkEnd w:id="62"/>
    </w:p>
    <w:p w14:paraId="36D29737">
      <w:pPr>
        <w:spacing w:line="600" w:lineRule="exact"/>
        <w:ind w:firstLine="640"/>
        <w:rPr>
          <w:rFonts w:ascii="Times New Roman" w:hAnsi="Times New Roman"/>
        </w:rPr>
      </w:pPr>
    </w:p>
    <w:p w14:paraId="660147FB">
      <w:pPr>
        <w:pStyle w:val="3"/>
        <w:spacing w:line="600" w:lineRule="exact"/>
        <w:ind w:firstLine="640"/>
        <w:jc w:val="left"/>
        <w:rPr>
          <w:rFonts w:ascii="黑体" w:hAnsi="黑体" w:eastAsia="黑体"/>
          <w:b w:val="0"/>
          <w:bCs/>
          <w:sz w:val="32"/>
          <w:szCs w:val="21"/>
        </w:rPr>
      </w:pPr>
      <w:bookmarkStart w:id="63" w:name="_Toc24092"/>
      <w:bookmarkStart w:id="64" w:name="_Toc30685"/>
      <w:r>
        <w:rPr>
          <w:rFonts w:hint="eastAsia" w:ascii="黑体" w:hAnsi="黑体" w:eastAsia="黑体"/>
          <w:b w:val="0"/>
          <w:bCs/>
          <w:sz w:val="32"/>
          <w:szCs w:val="21"/>
        </w:rPr>
        <w:t>三十</w:t>
      </w:r>
      <w:r>
        <w:rPr>
          <w:rFonts w:ascii="黑体" w:hAnsi="黑体" w:eastAsia="黑体"/>
          <w:b w:val="0"/>
          <w:bCs/>
          <w:sz w:val="32"/>
          <w:szCs w:val="21"/>
        </w:rPr>
        <w:t>、公共管廊管理制度</w:t>
      </w:r>
      <w:bookmarkEnd w:id="63"/>
      <w:bookmarkEnd w:id="64"/>
    </w:p>
    <w:p w14:paraId="0F66BBCF">
      <w:pPr>
        <w:pStyle w:val="4"/>
        <w:ind w:firstLine="643"/>
        <w:rPr>
          <w:rFonts w:hint="eastAsia"/>
          <w:shd w:val="clear" w:color="auto" w:fill="FFFFFF"/>
        </w:rPr>
      </w:pPr>
      <w:r>
        <w:rPr>
          <w:rFonts w:hint="eastAsia"/>
          <w:shd w:val="clear" w:color="auto" w:fill="FFFFFF"/>
        </w:rPr>
        <w:t>（一）总则</w:t>
      </w:r>
    </w:p>
    <w:p w14:paraId="442F81C7">
      <w:pPr>
        <w:overflowPunct w:val="0"/>
        <w:autoSpaceDE w:val="0"/>
        <w:autoSpaceDN w:val="0"/>
        <w:spacing w:line="640" w:lineRule="exact"/>
        <w:ind w:firstLine="640"/>
        <w:rPr>
          <w:rFonts w:hint="eastAsia" w:cs="仿宋_GB2312"/>
          <w:color w:val="000000"/>
          <w:szCs w:val="32"/>
          <w:lang w:bidi="zh-CN"/>
        </w:rPr>
      </w:pPr>
      <w:r>
        <w:rPr>
          <w:rFonts w:hint="eastAsia" w:hAnsi="楷体_GB2312" w:cs="楷体_GB2312"/>
          <w:color w:val="000000"/>
          <w:szCs w:val="32"/>
          <w:lang w:bidi="zh-CN"/>
        </w:rPr>
        <w:t>1.</w:t>
      </w:r>
      <w:r>
        <w:rPr>
          <w:rFonts w:hint="eastAsia" w:cs="仿宋_GB2312"/>
          <w:color w:val="000000"/>
          <w:szCs w:val="32"/>
          <w:lang w:bidi="zh-CN"/>
        </w:rPr>
        <w:t>为加强青春化工工业园基础设施一体化建设，管好用好公共管廊，实现公共管廊专业化、规范化管理运营，根据《中华人民共和国安全生产法》《化工园区公共管廊管理规程》《危险化学品输送管道安全管理规定》等相关法律法规，结合青春化工工业园实际，制定本办法。</w:t>
      </w:r>
    </w:p>
    <w:p w14:paraId="6E82202F">
      <w:pPr>
        <w:overflowPunct w:val="0"/>
        <w:autoSpaceDE w:val="0"/>
        <w:autoSpaceDN w:val="0"/>
        <w:spacing w:line="640" w:lineRule="exact"/>
        <w:ind w:firstLine="640"/>
        <w:rPr>
          <w:rFonts w:hint="eastAsia" w:cs="仿宋_GB2312"/>
          <w:color w:val="000000"/>
          <w:szCs w:val="32"/>
          <w:lang w:bidi="zh-CN"/>
        </w:rPr>
      </w:pPr>
      <w:r>
        <w:rPr>
          <w:rFonts w:hint="eastAsia" w:hAnsi="楷体_GB2312" w:cs="楷体_GB2312"/>
          <w:color w:val="000000"/>
          <w:szCs w:val="32"/>
          <w:lang w:bidi="zh-CN"/>
        </w:rPr>
        <w:t>2.</w:t>
      </w:r>
      <w:r>
        <w:rPr>
          <w:rFonts w:hint="eastAsia" w:cs="仿宋_GB2312"/>
          <w:color w:val="000000"/>
          <w:szCs w:val="32"/>
          <w:lang w:bidi="zh-CN"/>
        </w:rPr>
        <w:t>本办法所述公共管廊专指管廊区域敷设管道的管架（钢筋砼和钢桁架）及其附属设施，本办法所述管道专指敷设在公共管廊上的管道。</w:t>
      </w:r>
    </w:p>
    <w:p w14:paraId="0CEFE744">
      <w:pPr>
        <w:overflowPunct w:val="0"/>
        <w:autoSpaceDE w:val="0"/>
        <w:autoSpaceDN w:val="0"/>
        <w:spacing w:line="640" w:lineRule="exact"/>
        <w:ind w:firstLine="640"/>
        <w:rPr>
          <w:rFonts w:hint="eastAsia" w:cs="仿宋_GB2312"/>
          <w:color w:val="000000"/>
          <w:szCs w:val="32"/>
          <w:lang w:bidi="zh-CN"/>
        </w:rPr>
      </w:pPr>
      <w:r>
        <w:rPr>
          <w:rFonts w:hint="eastAsia" w:hAnsi="楷体_GB2312" w:cs="楷体_GB2312"/>
          <w:color w:val="000000"/>
          <w:szCs w:val="32"/>
          <w:lang w:bidi="zh-CN"/>
        </w:rPr>
        <w:t>3.</w:t>
      </w:r>
      <w:r>
        <w:rPr>
          <w:rFonts w:hint="eastAsia" w:cs="仿宋_GB2312"/>
          <w:color w:val="000000"/>
          <w:szCs w:val="32"/>
          <w:lang w:bidi="zh-CN"/>
        </w:rPr>
        <w:t>凡在青春化工工业园内从事公共管廊管理、使用的单位，以及申请从事公共管廊管道敷设及其他作业的企业，均应遵守本办法。</w:t>
      </w:r>
    </w:p>
    <w:p w14:paraId="502F5D1D">
      <w:pPr>
        <w:overflowPunct w:val="0"/>
        <w:autoSpaceDE w:val="0"/>
        <w:autoSpaceDN w:val="0"/>
        <w:spacing w:line="640" w:lineRule="exact"/>
        <w:ind w:firstLine="640"/>
        <w:rPr>
          <w:rFonts w:hint="eastAsia" w:ascii="黑体" w:hAnsi="黑体" w:eastAsia="黑体" w:cs="黑体"/>
          <w:color w:val="000000"/>
          <w:szCs w:val="32"/>
        </w:rPr>
      </w:pPr>
      <w:r>
        <w:rPr>
          <w:rFonts w:hint="eastAsia" w:hAnsi="楷体_GB2312" w:cs="楷体_GB2312"/>
          <w:color w:val="000000"/>
          <w:szCs w:val="32"/>
          <w:lang w:bidi="zh-CN"/>
        </w:rPr>
        <w:t>4.</w:t>
      </w:r>
      <w:r>
        <w:rPr>
          <w:rFonts w:hint="eastAsia" w:cs="仿宋_GB2312"/>
          <w:color w:val="000000"/>
          <w:szCs w:val="32"/>
          <w:lang w:bidi="zh-CN"/>
        </w:rPr>
        <w:t>申请使用公共管廊并获批准使用的单位（以下简称管廊使用单位），作为公共管廊使用主体，按照与管廊管理单位的安全、环保责任约定，配合管廊管理单位运营、维护及管理管廊，负责所使用管道的安全运营及日常维护，承担所使用管道安全、环境方面的主体责任。</w:t>
      </w:r>
    </w:p>
    <w:p w14:paraId="214C7B63">
      <w:pPr>
        <w:pStyle w:val="4"/>
        <w:ind w:firstLine="643"/>
        <w:rPr>
          <w:rFonts w:hint="eastAsia"/>
        </w:rPr>
      </w:pPr>
      <w:r>
        <w:rPr>
          <w:rFonts w:hint="eastAsia"/>
        </w:rPr>
        <w:t>（二）职责分工</w:t>
      </w:r>
    </w:p>
    <w:p w14:paraId="056C696B">
      <w:pPr>
        <w:overflowPunct w:val="0"/>
        <w:autoSpaceDE w:val="0"/>
        <w:autoSpaceDN w:val="0"/>
        <w:spacing w:line="640" w:lineRule="exact"/>
        <w:ind w:firstLine="640"/>
        <w:rPr>
          <w:rFonts w:hint="eastAsia" w:cs="仿宋_GB2312"/>
          <w:color w:val="000000"/>
          <w:szCs w:val="32"/>
          <w:lang w:bidi="zh-CN"/>
        </w:rPr>
      </w:pPr>
      <w:r>
        <w:rPr>
          <w:rFonts w:hint="eastAsia" w:hAnsi="楷体_GB2312" w:cs="楷体_GB2312"/>
          <w:color w:val="000000"/>
          <w:szCs w:val="32"/>
          <w:lang w:bidi="zh-CN"/>
        </w:rPr>
        <w:t>1.</w:t>
      </w:r>
      <w:r>
        <w:rPr>
          <w:rFonts w:hint="eastAsia" w:cs="仿宋_GB2312"/>
          <w:color w:val="000000"/>
          <w:szCs w:val="32"/>
          <w:lang w:bidi="zh-CN"/>
        </w:rPr>
        <w:t>公共管廊及管道管理所涉及各方的安全责任，原则上依照安全管理的职责分工，以岗定责，以责论事，权责明确。</w:t>
      </w:r>
    </w:p>
    <w:p w14:paraId="23447CC2">
      <w:pPr>
        <w:overflowPunct w:val="0"/>
        <w:autoSpaceDE w:val="0"/>
        <w:autoSpaceDN w:val="0"/>
        <w:spacing w:line="640" w:lineRule="exact"/>
        <w:ind w:firstLine="640"/>
        <w:rPr>
          <w:rFonts w:hint="eastAsia" w:cs="仿宋_GB2312"/>
          <w:color w:val="000000"/>
          <w:szCs w:val="32"/>
          <w:lang w:bidi="zh-CN"/>
        </w:rPr>
      </w:pPr>
      <w:r>
        <w:rPr>
          <w:rFonts w:hint="eastAsia" w:hAnsi="楷体_GB2312" w:cs="楷体_GB2312"/>
          <w:color w:val="000000"/>
          <w:szCs w:val="32"/>
          <w:lang w:bidi="zh-CN"/>
        </w:rPr>
        <w:t>2.</w:t>
      </w:r>
      <w:r>
        <w:rPr>
          <w:rFonts w:hint="eastAsia" w:cs="仿宋_GB2312"/>
          <w:color w:val="000000"/>
          <w:szCs w:val="32"/>
          <w:lang w:bidi="zh-CN"/>
        </w:rPr>
        <w:t>建设管理部门负责对管廊管理单位的管理、指导，以及工程项目审批管理；应急管理局负责对公共管廊区域安全的监督指导和应急状态中的各方协调；生态环境服务中心负责公共管廊、管道的环保监管工作，并落实园区“一企一管，雨污分流”的管理工作。</w:t>
      </w:r>
    </w:p>
    <w:p w14:paraId="421C96B2">
      <w:pPr>
        <w:overflowPunct w:val="0"/>
        <w:autoSpaceDE w:val="0"/>
        <w:autoSpaceDN w:val="0"/>
        <w:spacing w:line="640" w:lineRule="exact"/>
        <w:ind w:firstLine="640"/>
        <w:rPr>
          <w:rFonts w:hint="eastAsia" w:ascii="黑体" w:hAnsi="黑体" w:eastAsia="黑体" w:cs="黑体"/>
          <w:color w:val="000000"/>
          <w:szCs w:val="32"/>
        </w:rPr>
      </w:pPr>
      <w:r>
        <w:rPr>
          <w:rFonts w:hint="eastAsia" w:hAnsi="楷体_GB2312" w:cs="楷体_GB2312"/>
          <w:color w:val="000000"/>
          <w:szCs w:val="32"/>
          <w:lang w:bidi="zh-CN"/>
        </w:rPr>
        <w:t>3.</w:t>
      </w:r>
      <w:r>
        <w:rPr>
          <w:rFonts w:hint="eastAsia" w:cs="仿宋_GB2312"/>
          <w:color w:val="000000"/>
          <w:szCs w:val="32"/>
          <w:lang w:bidi="zh-CN"/>
        </w:rPr>
        <w:t>管廊使用单位按照设计规范设计、敷设管道，向管廊管理单位支付管廊租赁费用，并负责自用管道的安全运营、日常维护及拆除，承担管道安全责任。</w:t>
      </w:r>
    </w:p>
    <w:p w14:paraId="7DA59421">
      <w:pPr>
        <w:pStyle w:val="4"/>
        <w:ind w:firstLine="643"/>
        <w:rPr>
          <w:rFonts w:hint="eastAsia"/>
        </w:rPr>
      </w:pPr>
      <w:r>
        <w:rPr>
          <w:rFonts w:hint="eastAsia"/>
        </w:rPr>
        <w:t>（三）公共管廊的规划和设计</w:t>
      </w:r>
    </w:p>
    <w:p w14:paraId="0CAB5097">
      <w:pPr>
        <w:overflowPunct w:val="0"/>
        <w:autoSpaceDE w:val="0"/>
        <w:autoSpaceDN w:val="0"/>
        <w:spacing w:line="640" w:lineRule="exact"/>
        <w:ind w:firstLine="640"/>
        <w:rPr>
          <w:rFonts w:hint="eastAsia" w:cs="仿宋_GB2312"/>
          <w:color w:val="000000"/>
          <w:szCs w:val="32"/>
          <w:lang w:bidi="zh-CN"/>
        </w:rPr>
      </w:pPr>
      <w:r>
        <w:rPr>
          <w:rFonts w:hint="eastAsia" w:hAnsi="楷体_GB2312" w:cs="楷体_GB2312"/>
          <w:color w:val="000000"/>
          <w:szCs w:val="32"/>
          <w:lang w:bidi="zh-CN"/>
        </w:rPr>
        <w:t>1.</w:t>
      </w:r>
      <w:r>
        <w:rPr>
          <w:rFonts w:hint="eastAsia" w:cs="仿宋_GB2312"/>
          <w:color w:val="000000"/>
          <w:szCs w:val="32"/>
          <w:lang w:bidi="zh-CN"/>
        </w:rPr>
        <w:t>公共管廊规划应当遵循安全第一、节约用地和经济合理的原则，并按照总体规划与相关国家标准、行业标准和技术规范进行科学规划。</w:t>
      </w:r>
    </w:p>
    <w:p w14:paraId="4208A3D6">
      <w:pPr>
        <w:overflowPunct w:val="0"/>
        <w:autoSpaceDE w:val="0"/>
        <w:autoSpaceDN w:val="0"/>
        <w:spacing w:line="640" w:lineRule="exact"/>
        <w:ind w:firstLine="640"/>
        <w:rPr>
          <w:rFonts w:hint="eastAsia" w:cs="仿宋_GB2312"/>
          <w:color w:val="000000"/>
          <w:szCs w:val="32"/>
          <w:lang w:bidi="zh-CN"/>
        </w:rPr>
      </w:pPr>
      <w:r>
        <w:rPr>
          <w:rFonts w:hint="eastAsia" w:hAnsi="楷体_GB2312" w:cs="楷体_GB2312"/>
          <w:color w:val="000000"/>
          <w:szCs w:val="32"/>
          <w:lang w:bidi="zh-CN"/>
        </w:rPr>
        <w:t>2.</w:t>
      </w:r>
      <w:r>
        <w:rPr>
          <w:rFonts w:hint="eastAsia" w:cs="仿宋_GB2312"/>
          <w:color w:val="000000"/>
          <w:szCs w:val="32"/>
          <w:lang w:bidi="zh-CN"/>
        </w:rPr>
        <w:t>公共管廊宜采用地上建设。</w:t>
      </w:r>
    </w:p>
    <w:p w14:paraId="046D70AB">
      <w:pPr>
        <w:overflowPunct w:val="0"/>
        <w:autoSpaceDE w:val="0"/>
        <w:autoSpaceDN w:val="0"/>
        <w:spacing w:line="640" w:lineRule="exact"/>
        <w:ind w:firstLine="640"/>
        <w:rPr>
          <w:rFonts w:hint="eastAsia" w:cs="仿宋_GB2312"/>
          <w:color w:val="000000"/>
          <w:szCs w:val="32"/>
          <w:lang w:bidi="zh-CN"/>
        </w:rPr>
      </w:pPr>
      <w:r>
        <w:rPr>
          <w:rFonts w:hint="eastAsia" w:hAnsi="楷体_GB2312" w:cs="楷体_GB2312"/>
          <w:color w:val="000000"/>
          <w:szCs w:val="32"/>
          <w:lang w:bidi="zh-CN"/>
        </w:rPr>
        <w:t>3.</w:t>
      </w:r>
      <w:r>
        <w:rPr>
          <w:rFonts w:hint="eastAsia" w:cs="仿宋_GB2312"/>
          <w:color w:val="000000"/>
          <w:szCs w:val="32"/>
          <w:lang w:bidi="zh-CN"/>
        </w:rPr>
        <w:t>管廊管理单位根据青春化工工业园的发展，及时收集、了解企业对管廊发展的需求，结合管廊的使用情况，根据社会效益、环境效益、经济效益三统一的原则，提出管廊新建、改建和扩建方案，供高新区管委会决策参考。</w:t>
      </w:r>
    </w:p>
    <w:p w14:paraId="2A86DEB6">
      <w:pPr>
        <w:overflowPunct w:val="0"/>
        <w:autoSpaceDE w:val="0"/>
        <w:autoSpaceDN w:val="0"/>
        <w:spacing w:line="640" w:lineRule="exact"/>
        <w:ind w:firstLine="640"/>
        <w:rPr>
          <w:rFonts w:hint="eastAsia" w:cs="仿宋_GB2312"/>
          <w:color w:val="000000"/>
          <w:szCs w:val="32"/>
          <w:lang w:bidi="zh-CN"/>
        </w:rPr>
      </w:pPr>
      <w:r>
        <w:rPr>
          <w:rFonts w:hint="eastAsia" w:hAnsi="楷体_GB2312" w:cs="楷体_GB2312"/>
          <w:color w:val="000000"/>
          <w:szCs w:val="32"/>
          <w:lang w:bidi="zh-CN"/>
        </w:rPr>
        <w:t>4.</w:t>
      </w:r>
      <w:r>
        <w:rPr>
          <w:rFonts w:hint="eastAsia" w:cs="仿宋_GB2312"/>
          <w:color w:val="000000"/>
          <w:szCs w:val="32"/>
          <w:lang w:bidi="zh-CN"/>
        </w:rPr>
        <w:t>除下列情形外，建设、规划等部门按照管廊专项规划的要求，对已建设管廊的线段，不再批准管廊使用单位开挖铺设管道：</w:t>
      </w:r>
    </w:p>
    <w:p w14:paraId="0ED472D4">
      <w:pPr>
        <w:overflowPunct w:val="0"/>
        <w:autoSpaceDE w:val="0"/>
        <w:autoSpaceDN w:val="0"/>
        <w:spacing w:line="640" w:lineRule="exact"/>
        <w:ind w:firstLine="640"/>
        <w:rPr>
          <w:rFonts w:hint="eastAsia" w:cs="仿宋_GB2312"/>
          <w:color w:val="000000"/>
          <w:szCs w:val="32"/>
          <w:lang w:bidi="zh-CN"/>
        </w:rPr>
      </w:pPr>
      <w:r>
        <w:rPr>
          <w:rFonts w:hint="eastAsia" w:cs="仿宋_GB2312"/>
          <w:color w:val="000000"/>
          <w:szCs w:val="32"/>
          <w:lang w:bidi="zh-CN"/>
        </w:rPr>
        <w:t>（1）无法纳入管廊的管道；</w:t>
      </w:r>
    </w:p>
    <w:p w14:paraId="66F5C851">
      <w:pPr>
        <w:overflowPunct w:val="0"/>
        <w:autoSpaceDE w:val="0"/>
        <w:autoSpaceDN w:val="0"/>
        <w:spacing w:line="640" w:lineRule="exact"/>
        <w:ind w:firstLine="640"/>
        <w:rPr>
          <w:rFonts w:hint="eastAsia" w:cs="仿宋_GB2312"/>
          <w:color w:val="000000"/>
          <w:szCs w:val="32"/>
          <w:lang w:bidi="zh-CN"/>
        </w:rPr>
      </w:pPr>
      <w:r>
        <w:rPr>
          <w:rFonts w:hint="eastAsia" w:cs="仿宋_GB2312"/>
          <w:color w:val="000000"/>
          <w:szCs w:val="32"/>
          <w:lang w:bidi="zh-CN"/>
        </w:rPr>
        <w:t>（2）管廊与外部用户的连接管道。</w:t>
      </w:r>
    </w:p>
    <w:p w14:paraId="54ADE159">
      <w:pPr>
        <w:overflowPunct w:val="0"/>
        <w:autoSpaceDE w:val="0"/>
        <w:autoSpaceDN w:val="0"/>
        <w:spacing w:line="640" w:lineRule="exact"/>
        <w:ind w:firstLine="640"/>
        <w:rPr>
          <w:rFonts w:hint="eastAsia" w:cs="仿宋_GB2312"/>
          <w:color w:val="000000"/>
          <w:szCs w:val="32"/>
          <w:lang w:bidi="zh-CN"/>
        </w:rPr>
      </w:pPr>
      <w:r>
        <w:rPr>
          <w:rFonts w:hint="eastAsia" w:hAnsi="楷体_GB2312" w:cs="楷体_GB2312"/>
          <w:color w:val="000000"/>
          <w:szCs w:val="32"/>
          <w:lang w:bidi="zh-CN"/>
        </w:rPr>
        <w:t>5.</w:t>
      </w:r>
      <w:r>
        <w:rPr>
          <w:rFonts w:hint="eastAsia" w:cs="仿宋_GB2312"/>
          <w:color w:val="000000"/>
          <w:szCs w:val="32"/>
          <w:lang w:bidi="zh-CN"/>
        </w:rPr>
        <w:t>公共管廊宜与铁路、道路等中心线平行，减少与铁路、道路的交叉，必须交叉时应采用跨越方式，交叉角、跨越高度和跨度应符合有关标准及规范要求。</w:t>
      </w:r>
    </w:p>
    <w:p w14:paraId="3C5881F5">
      <w:pPr>
        <w:pStyle w:val="4"/>
        <w:ind w:firstLine="643"/>
        <w:rPr>
          <w:rFonts w:hint="eastAsia"/>
        </w:rPr>
      </w:pPr>
      <w:r>
        <w:rPr>
          <w:rFonts w:hint="eastAsia"/>
        </w:rPr>
        <w:t>（四）公共管廊的建设</w:t>
      </w:r>
    </w:p>
    <w:p w14:paraId="3ECA283D">
      <w:pPr>
        <w:overflowPunct w:val="0"/>
        <w:autoSpaceDE w:val="0"/>
        <w:autoSpaceDN w:val="0"/>
        <w:spacing w:line="640" w:lineRule="exact"/>
        <w:ind w:firstLine="640"/>
        <w:rPr>
          <w:rFonts w:hint="eastAsia" w:cs="仿宋_GB2312"/>
          <w:color w:val="000000"/>
          <w:szCs w:val="32"/>
          <w:lang w:bidi="zh-CN"/>
        </w:rPr>
      </w:pPr>
      <w:r>
        <w:rPr>
          <w:rFonts w:hint="eastAsia" w:hAnsi="楷体_GB2312" w:cs="楷体_GB2312"/>
          <w:color w:val="000000"/>
          <w:szCs w:val="32"/>
          <w:lang w:bidi="zh-CN"/>
        </w:rPr>
        <w:t>1.</w:t>
      </w:r>
      <w:r>
        <w:rPr>
          <w:rFonts w:hint="eastAsia" w:cs="仿宋_GB2312"/>
          <w:color w:val="000000"/>
          <w:szCs w:val="32"/>
          <w:lang w:bidi="zh-CN"/>
        </w:rPr>
        <w:t>公共管廊的建设单位应建立公共管廊建设管理制度，对公共管廊的总体建设质量进行全过程的监督，并对总体建设质量负责。</w:t>
      </w:r>
    </w:p>
    <w:p w14:paraId="16EC87A5">
      <w:pPr>
        <w:overflowPunct w:val="0"/>
        <w:autoSpaceDE w:val="0"/>
        <w:autoSpaceDN w:val="0"/>
        <w:spacing w:line="640" w:lineRule="exact"/>
        <w:ind w:firstLine="640"/>
        <w:rPr>
          <w:rFonts w:hint="eastAsia" w:cs="仿宋_GB2312"/>
          <w:color w:val="000000"/>
          <w:szCs w:val="32"/>
          <w:lang w:bidi="zh-CN"/>
        </w:rPr>
      </w:pPr>
      <w:r>
        <w:rPr>
          <w:rFonts w:hint="eastAsia" w:hAnsi="楷体_GB2312" w:cs="楷体_GB2312"/>
          <w:color w:val="000000"/>
          <w:szCs w:val="32"/>
          <w:lang w:bidi="zh-CN"/>
        </w:rPr>
        <w:t>2.</w:t>
      </w:r>
      <w:r>
        <w:rPr>
          <w:rFonts w:hint="eastAsia" w:cs="仿宋_GB2312"/>
          <w:color w:val="000000"/>
          <w:szCs w:val="32"/>
          <w:lang w:bidi="zh-CN"/>
        </w:rPr>
        <w:t>公共管廊的建设单位对建设所用的原材料组织进场验收，验收合格方可使用。</w:t>
      </w:r>
    </w:p>
    <w:p w14:paraId="4904F3DE">
      <w:pPr>
        <w:overflowPunct w:val="0"/>
        <w:autoSpaceDE w:val="0"/>
        <w:autoSpaceDN w:val="0"/>
        <w:spacing w:line="640" w:lineRule="exact"/>
        <w:ind w:firstLine="640"/>
        <w:rPr>
          <w:rFonts w:hint="eastAsia" w:ascii="黑体" w:hAnsi="黑体" w:eastAsia="黑体" w:cs="黑体"/>
          <w:color w:val="000000"/>
          <w:szCs w:val="32"/>
        </w:rPr>
      </w:pPr>
      <w:r>
        <w:rPr>
          <w:rFonts w:hint="eastAsia" w:hAnsi="楷体_GB2312" w:cs="楷体_GB2312"/>
          <w:color w:val="000000"/>
          <w:szCs w:val="32"/>
          <w:lang w:bidi="zh-CN"/>
        </w:rPr>
        <w:t>3.</w:t>
      </w:r>
      <w:r>
        <w:rPr>
          <w:rFonts w:hint="eastAsia" w:cs="仿宋_GB2312"/>
          <w:color w:val="000000"/>
          <w:szCs w:val="32"/>
          <w:lang w:bidi="zh-CN"/>
        </w:rPr>
        <w:t>公共管廊的施工和监理单位必须具备相应的资质，按照有关法律法规、技术规范，以及经过批准的设计进行施工，并对工程质量负责。</w:t>
      </w:r>
    </w:p>
    <w:p w14:paraId="47FBF35A">
      <w:pPr>
        <w:pStyle w:val="4"/>
        <w:ind w:firstLine="643"/>
        <w:rPr>
          <w:rFonts w:hint="eastAsia"/>
        </w:rPr>
      </w:pPr>
      <w:r>
        <w:rPr>
          <w:rFonts w:hint="eastAsia"/>
        </w:rPr>
        <w:t>（五）公共管廊准入及使用</w:t>
      </w:r>
    </w:p>
    <w:p w14:paraId="4D2BBBDC">
      <w:pPr>
        <w:overflowPunct w:val="0"/>
        <w:autoSpaceDE w:val="0"/>
        <w:autoSpaceDN w:val="0"/>
        <w:spacing w:line="640" w:lineRule="exact"/>
        <w:ind w:firstLine="640"/>
        <w:rPr>
          <w:rFonts w:hint="eastAsia" w:cs="仿宋_GB2312"/>
          <w:color w:val="000000"/>
          <w:szCs w:val="32"/>
          <w:lang w:bidi="zh-CN"/>
        </w:rPr>
      </w:pPr>
      <w:r>
        <w:rPr>
          <w:rFonts w:hint="eastAsia" w:hAnsi="楷体_GB2312" w:cs="楷体_GB2312"/>
          <w:color w:val="000000"/>
          <w:szCs w:val="32"/>
          <w:lang w:bidi="zh-CN"/>
        </w:rPr>
        <w:t>1.</w:t>
      </w:r>
      <w:r>
        <w:rPr>
          <w:rFonts w:hint="eastAsia" w:cs="仿宋_GB2312"/>
          <w:color w:val="000000"/>
          <w:szCs w:val="32"/>
          <w:lang w:bidi="zh-CN"/>
        </w:rPr>
        <w:t>管廊使用单位准入条件：</w:t>
      </w:r>
    </w:p>
    <w:p w14:paraId="390702EB">
      <w:pPr>
        <w:overflowPunct w:val="0"/>
        <w:autoSpaceDE w:val="0"/>
        <w:autoSpaceDN w:val="0"/>
        <w:spacing w:line="640" w:lineRule="exact"/>
        <w:ind w:firstLine="640"/>
        <w:rPr>
          <w:rFonts w:hint="eastAsia" w:cs="仿宋_GB2312"/>
          <w:color w:val="000000"/>
          <w:szCs w:val="32"/>
          <w:lang w:bidi="zh-CN"/>
        </w:rPr>
      </w:pPr>
      <w:r>
        <w:rPr>
          <w:rFonts w:hint="eastAsia" w:cs="仿宋_GB2312"/>
          <w:color w:val="000000"/>
          <w:szCs w:val="32"/>
          <w:lang w:bidi="zh-CN"/>
        </w:rPr>
        <w:t>（1）在工商行政部门正式注册；</w:t>
      </w:r>
    </w:p>
    <w:p w14:paraId="02848653">
      <w:pPr>
        <w:overflowPunct w:val="0"/>
        <w:autoSpaceDE w:val="0"/>
        <w:autoSpaceDN w:val="0"/>
        <w:spacing w:line="640" w:lineRule="exact"/>
        <w:ind w:firstLine="640"/>
        <w:rPr>
          <w:rFonts w:hint="eastAsia" w:cs="仿宋_GB2312"/>
          <w:color w:val="000000"/>
          <w:szCs w:val="32"/>
          <w:lang w:bidi="zh-CN"/>
        </w:rPr>
      </w:pPr>
      <w:r>
        <w:rPr>
          <w:rFonts w:hint="eastAsia" w:cs="仿宋_GB2312"/>
          <w:color w:val="000000"/>
          <w:szCs w:val="32"/>
          <w:lang w:bidi="zh-CN"/>
        </w:rPr>
        <w:t>（2）所输送介质符合国家产业政策，并经发部门正式批准立项；</w:t>
      </w:r>
    </w:p>
    <w:p w14:paraId="70010B94">
      <w:pPr>
        <w:overflowPunct w:val="0"/>
        <w:autoSpaceDE w:val="0"/>
        <w:autoSpaceDN w:val="0"/>
        <w:spacing w:line="640" w:lineRule="exact"/>
        <w:ind w:firstLine="640"/>
        <w:rPr>
          <w:rFonts w:hint="eastAsia" w:cs="仿宋_GB2312"/>
          <w:color w:val="000000"/>
          <w:szCs w:val="32"/>
          <w:lang w:bidi="zh-CN"/>
        </w:rPr>
      </w:pPr>
      <w:r>
        <w:rPr>
          <w:rFonts w:hint="eastAsia" w:cs="仿宋_GB2312"/>
          <w:color w:val="000000"/>
          <w:szCs w:val="32"/>
          <w:lang w:bidi="zh-CN"/>
        </w:rPr>
        <w:t>（3）管道项目原则上与主体项目合并立项，如主体项目立项时没有涵盖管道项目，则应对管道项目单独立项；</w:t>
      </w:r>
    </w:p>
    <w:p w14:paraId="4CA6EB15">
      <w:pPr>
        <w:overflowPunct w:val="0"/>
        <w:autoSpaceDE w:val="0"/>
        <w:autoSpaceDN w:val="0"/>
        <w:spacing w:line="640" w:lineRule="exact"/>
        <w:ind w:firstLine="640"/>
        <w:rPr>
          <w:rFonts w:hint="eastAsia" w:cs="仿宋_GB2312"/>
          <w:color w:val="000000"/>
          <w:szCs w:val="32"/>
          <w:lang w:bidi="zh-CN"/>
        </w:rPr>
      </w:pPr>
      <w:r>
        <w:rPr>
          <w:rFonts w:hint="eastAsia" w:cs="仿宋_GB2312"/>
          <w:color w:val="000000"/>
          <w:szCs w:val="32"/>
          <w:lang w:bidi="zh-CN"/>
        </w:rPr>
        <w:t>（4）管道项目应向建设、规划等部门申请办理建设施工许可证与规划许可证，并经应急、生态环境部门通过安全环保评估并备案；</w:t>
      </w:r>
    </w:p>
    <w:p w14:paraId="3F465CA1">
      <w:pPr>
        <w:overflowPunct w:val="0"/>
        <w:autoSpaceDE w:val="0"/>
        <w:autoSpaceDN w:val="0"/>
        <w:spacing w:line="640" w:lineRule="exact"/>
        <w:ind w:firstLine="640"/>
        <w:rPr>
          <w:rFonts w:hint="eastAsia" w:cs="仿宋_GB2312"/>
          <w:color w:val="000000"/>
          <w:szCs w:val="32"/>
          <w:lang w:bidi="zh-CN"/>
        </w:rPr>
      </w:pPr>
      <w:r>
        <w:rPr>
          <w:rFonts w:hint="eastAsia" w:cs="仿宋_GB2312"/>
          <w:color w:val="000000"/>
          <w:szCs w:val="32"/>
          <w:lang w:bidi="zh-CN"/>
        </w:rPr>
        <w:t>（5）按照管廊管理单位相关要求进行管道的设计和施工。</w:t>
      </w:r>
    </w:p>
    <w:p w14:paraId="73577E93">
      <w:pPr>
        <w:overflowPunct w:val="0"/>
        <w:autoSpaceDE w:val="0"/>
        <w:autoSpaceDN w:val="0"/>
        <w:spacing w:line="640" w:lineRule="exact"/>
        <w:ind w:firstLine="640"/>
        <w:rPr>
          <w:rFonts w:hint="eastAsia" w:hAnsi="黑体" w:cs="黑体"/>
          <w:color w:val="000000"/>
          <w:szCs w:val="32"/>
        </w:rPr>
      </w:pPr>
      <w:r>
        <w:rPr>
          <w:rFonts w:hint="eastAsia" w:hAnsi="楷体_GB2312" w:cs="楷体_GB2312"/>
          <w:color w:val="000000"/>
          <w:szCs w:val="32"/>
          <w:lang w:bidi="zh-CN"/>
        </w:rPr>
        <w:t>2.</w:t>
      </w:r>
      <w:r>
        <w:rPr>
          <w:rFonts w:hint="eastAsia" w:cs="仿宋_GB2312"/>
          <w:color w:val="000000"/>
          <w:szCs w:val="32"/>
          <w:lang w:bidi="zh-CN"/>
        </w:rPr>
        <w:t>管廊使用单位不得擅自将管道转让或转租。</w:t>
      </w:r>
    </w:p>
    <w:p w14:paraId="242DE267">
      <w:pPr>
        <w:pStyle w:val="4"/>
        <w:ind w:firstLine="643"/>
        <w:rPr>
          <w:rFonts w:hint="eastAsia"/>
        </w:rPr>
      </w:pPr>
      <w:r>
        <w:rPr>
          <w:rFonts w:hint="eastAsia"/>
        </w:rPr>
        <w:t>（六）管道的设计及施工</w:t>
      </w:r>
    </w:p>
    <w:p w14:paraId="54AF8BF2">
      <w:pPr>
        <w:overflowPunct w:val="0"/>
        <w:autoSpaceDE w:val="0"/>
        <w:autoSpaceDN w:val="0"/>
        <w:spacing w:line="640" w:lineRule="exact"/>
        <w:ind w:firstLine="640"/>
        <w:rPr>
          <w:rFonts w:hint="eastAsia" w:cs="仿宋_GB2312"/>
          <w:color w:val="000000"/>
          <w:szCs w:val="32"/>
          <w:lang w:bidi="zh-CN"/>
        </w:rPr>
      </w:pPr>
      <w:r>
        <w:rPr>
          <w:rFonts w:hint="eastAsia" w:hAnsi="楷体_GB2312" w:cs="楷体_GB2312"/>
          <w:color w:val="000000"/>
          <w:szCs w:val="32"/>
          <w:lang w:bidi="zh-CN"/>
        </w:rPr>
        <w:t>1.</w:t>
      </w:r>
      <w:r>
        <w:rPr>
          <w:rFonts w:hint="eastAsia" w:cs="仿宋_GB2312"/>
          <w:color w:val="000000"/>
          <w:szCs w:val="32"/>
          <w:lang w:bidi="zh-CN"/>
        </w:rPr>
        <w:t>管廊使用申请(含改建、扩建的管道)获得批准后，管廊使用单位应当将管道运输的介质性质、管道材质、年输送量、起止位置、公共管廊管道管位规划和管道设计要求等相关数据提供给具备相应资质的设计单位组织详细设计。</w:t>
      </w:r>
    </w:p>
    <w:p w14:paraId="584455C6">
      <w:pPr>
        <w:overflowPunct w:val="0"/>
        <w:autoSpaceDE w:val="0"/>
        <w:autoSpaceDN w:val="0"/>
        <w:spacing w:line="640" w:lineRule="exact"/>
        <w:ind w:firstLine="640"/>
        <w:rPr>
          <w:rFonts w:hint="eastAsia" w:cs="仿宋_GB2312"/>
          <w:color w:val="000000"/>
          <w:szCs w:val="32"/>
          <w:lang w:bidi="zh-CN"/>
        </w:rPr>
      </w:pPr>
      <w:r>
        <w:rPr>
          <w:rFonts w:hint="eastAsia" w:hAnsi="楷体_GB2312" w:cs="楷体_GB2312"/>
          <w:color w:val="000000"/>
          <w:szCs w:val="32"/>
          <w:lang w:bidi="zh-CN"/>
        </w:rPr>
        <w:t>2.</w:t>
      </w:r>
      <w:r>
        <w:rPr>
          <w:rFonts w:hint="eastAsia" w:cs="仿宋_GB2312"/>
          <w:color w:val="000000"/>
          <w:szCs w:val="32"/>
          <w:lang w:bidi="zh-CN"/>
        </w:rPr>
        <w:t>管道的施工管理主体应当委托专业并有相应资质的单位进行施工，施工单位应当按照有关法律、法规、国家标准、行业标准和技术规范的规定，以及经批准的设计图纸进行施工，并对工程质量负责。参加管道焊接、防腐、无损检测等作业的人员应当具备相应的操作资格证书。</w:t>
      </w:r>
    </w:p>
    <w:p w14:paraId="74866AAC">
      <w:pPr>
        <w:overflowPunct w:val="0"/>
        <w:autoSpaceDE w:val="0"/>
        <w:autoSpaceDN w:val="0"/>
        <w:spacing w:line="640" w:lineRule="exact"/>
        <w:ind w:firstLine="640"/>
        <w:rPr>
          <w:rFonts w:hint="eastAsia" w:cs="仿宋_GB2312"/>
          <w:color w:val="000000"/>
          <w:szCs w:val="32"/>
          <w:lang w:bidi="zh-CN"/>
        </w:rPr>
      </w:pPr>
      <w:r>
        <w:rPr>
          <w:rFonts w:hint="eastAsia" w:hAnsi="楷体_GB2312" w:cs="楷体_GB2312"/>
          <w:color w:val="000000"/>
          <w:szCs w:val="32"/>
          <w:lang w:bidi="zh-CN"/>
        </w:rPr>
        <w:t>3.</w:t>
      </w:r>
      <w:r>
        <w:rPr>
          <w:rFonts w:hint="eastAsia" w:cs="仿宋_GB2312"/>
          <w:color w:val="000000"/>
          <w:szCs w:val="32"/>
          <w:lang w:bidi="zh-CN"/>
        </w:rPr>
        <w:t>公共管廊区域内管道的现场施工、验收等工作应符合相关标准及规范要求。</w:t>
      </w:r>
    </w:p>
    <w:p w14:paraId="3866465B">
      <w:pPr>
        <w:overflowPunct w:val="0"/>
        <w:autoSpaceDE w:val="0"/>
        <w:autoSpaceDN w:val="0"/>
        <w:spacing w:line="640" w:lineRule="exact"/>
        <w:ind w:firstLine="640"/>
        <w:rPr>
          <w:rFonts w:hint="eastAsia" w:ascii="黑体" w:hAnsi="黑体" w:eastAsia="黑体" w:cs="黑体"/>
          <w:color w:val="000000"/>
          <w:szCs w:val="32"/>
        </w:rPr>
      </w:pPr>
      <w:r>
        <w:rPr>
          <w:rFonts w:hint="eastAsia" w:hAnsi="楷体_GB2312" w:cs="楷体_GB2312"/>
          <w:color w:val="000000"/>
          <w:szCs w:val="32"/>
          <w:lang w:bidi="zh-CN"/>
        </w:rPr>
        <w:t>4.</w:t>
      </w:r>
      <w:r>
        <w:rPr>
          <w:rFonts w:hint="eastAsia" w:cs="仿宋_GB2312"/>
          <w:color w:val="000000"/>
          <w:szCs w:val="32"/>
          <w:lang w:bidi="zh-CN"/>
        </w:rPr>
        <w:t>敷设在公共管廊上的管道均应设置标识。</w:t>
      </w:r>
    </w:p>
    <w:p w14:paraId="4F8906FF">
      <w:pPr>
        <w:pStyle w:val="4"/>
        <w:ind w:firstLine="643"/>
        <w:rPr>
          <w:rFonts w:hint="eastAsia"/>
        </w:rPr>
      </w:pPr>
      <w:r>
        <w:rPr>
          <w:rFonts w:hint="eastAsia"/>
        </w:rPr>
        <w:t>（七）公共管廊的运营及维护</w:t>
      </w:r>
    </w:p>
    <w:p w14:paraId="5951E4E3">
      <w:pPr>
        <w:overflowPunct w:val="0"/>
        <w:autoSpaceDE w:val="0"/>
        <w:autoSpaceDN w:val="0"/>
        <w:spacing w:line="640" w:lineRule="exact"/>
        <w:ind w:firstLine="640"/>
        <w:rPr>
          <w:rFonts w:hint="eastAsia" w:cs="仿宋_GB2312"/>
          <w:color w:val="000000"/>
          <w:szCs w:val="32"/>
          <w:lang w:bidi="zh-CN"/>
        </w:rPr>
      </w:pPr>
      <w:r>
        <w:rPr>
          <w:rFonts w:hint="eastAsia" w:hAnsi="楷体_GB2312" w:cs="楷体_GB2312"/>
          <w:color w:val="000000"/>
          <w:szCs w:val="32"/>
          <w:lang w:bidi="zh-CN"/>
        </w:rPr>
        <w:t>1.</w:t>
      </w:r>
      <w:r>
        <w:rPr>
          <w:rFonts w:hint="eastAsia" w:cs="仿宋_GB2312"/>
          <w:color w:val="000000"/>
          <w:szCs w:val="32"/>
          <w:lang w:bidi="zh-CN"/>
        </w:rPr>
        <w:t>管廊管理单位职责：</w:t>
      </w:r>
    </w:p>
    <w:p w14:paraId="35A9322C">
      <w:pPr>
        <w:overflowPunct w:val="0"/>
        <w:autoSpaceDE w:val="0"/>
        <w:autoSpaceDN w:val="0"/>
        <w:spacing w:line="640" w:lineRule="exact"/>
        <w:ind w:firstLine="640"/>
        <w:rPr>
          <w:rFonts w:hint="eastAsia" w:cs="仿宋_GB2312"/>
          <w:color w:val="000000"/>
          <w:szCs w:val="32"/>
          <w:lang w:bidi="zh-CN"/>
        </w:rPr>
      </w:pPr>
      <w:r>
        <w:rPr>
          <w:rFonts w:hint="eastAsia" w:cs="仿宋_GB2312"/>
          <w:color w:val="000000"/>
          <w:szCs w:val="32"/>
          <w:lang w:bidi="zh-CN"/>
        </w:rPr>
        <w:t>（1）建立健全管廊管理制度，做好管廊安全监控和巡查等安保工作；</w:t>
      </w:r>
    </w:p>
    <w:p w14:paraId="37D8ED81">
      <w:pPr>
        <w:overflowPunct w:val="0"/>
        <w:autoSpaceDE w:val="0"/>
        <w:autoSpaceDN w:val="0"/>
        <w:spacing w:line="640" w:lineRule="exact"/>
        <w:ind w:firstLine="640"/>
        <w:rPr>
          <w:rFonts w:hint="eastAsia" w:cs="仿宋_GB2312"/>
          <w:color w:val="000000"/>
          <w:szCs w:val="32"/>
          <w:lang w:bidi="zh-CN"/>
        </w:rPr>
      </w:pPr>
      <w:r>
        <w:rPr>
          <w:rFonts w:hint="eastAsia" w:cs="仿宋_GB2312"/>
          <w:color w:val="000000"/>
          <w:szCs w:val="32"/>
          <w:lang w:bidi="zh-CN"/>
        </w:rPr>
        <w:t>（2）完善管廊沿线防撞措施；</w:t>
      </w:r>
    </w:p>
    <w:p w14:paraId="3DDF724A">
      <w:pPr>
        <w:overflowPunct w:val="0"/>
        <w:autoSpaceDE w:val="0"/>
        <w:autoSpaceDN w:val="0"/>
        <w:spacing w:line="640" w:lineRule="exact"/>
        <w:ind w:firstLine="640"/>
        <w:rPr>
          <w:rFonts w:hint="eastAsia" w:cs="仿宋_GB2312"/>
          <w:color w:val="000000"/>
          <w:szCs w:val="32"/>
          <w:lang w:bidi="zh-CN"/>
        </w:rPr>
      </w:pPr>
      <w:r>
        <w:rPr>
          <w:rFonts w:hint="eastAsia" w:cs="仿宋_GB2312"/>
          <w:color w:val="000000"/>
          <w:szCs w:val="32"/>
          <w:lang w:bidi="zh-CN"/>
        </w:rPr>
        <w:t>（3）协调配合相关部门监督检查管廊使用单位的巡查、施工、维护和维修情况；</w:t>
      </w:r>
    </w:p>
    <w:p w14:paraId="35607F5E">
      <w:pPr>
        <w:overflowPunct w:val="0"/>
        <w:autoSpaceDE w:val="0"/>
        <w:autoSpaceDN w:val="0"/>
        <w:spacing w:line="640" w:lineRule="exact"/>
        <w:ind w:firstLine="640"/>
        <w:rPr>
          <w:rFonts w:hint="eastAsia" w:cs="仿宋_GB2312"/>
          <w:color w:val="000000"/>
          <w:szCs w:val="32"/>
          <w:lang w:bidi="zh-CN"/>
        </w:rPr>
      </w:pPr>
      <w:r>
        <w:rPr>
          <w:rFonts w:hint="eastAsia" w:cs="仿宋_GB2312"/>
          <w:color w:val="000000"/>
          <w:szCs w:val="32"/>
          <w:lang w:bidi="zh-CN"/>
        </w:rPr>
        <w:t>（4）参加相关部门组织的安全生产、环保事故应急演练。管廊区域发生险情时，应当采取紧急措施并及时通知管廊使用单位进行抢险抢修。</w:t>
      </w:r>
    </w:p>
    <w:p w14:paraId="0C159F65">
      <w:pPr>
        <w:overflowPunct w:val="0"/>
        <w:autoSpaceDE w:val="0"/>
        <w:autoSpaceDN w:val="0"/>
        <w:spacing w:line="640" w:lineRule="exact"/>
        <w:ind w:firstLine="640"/>
        <w:rPr>
          <w:rFonts w:hint="eastAsia" w:cs="仿宋_GB2312"/>
          <w:color w:val="000000"/>
          <w:szCs w:val="32"/>
          <w:lang w:bidi="zh-CN"/>
        </w:rPr>
      </w:pPr>
      <w:r>
        <w:rPr>
          <w:rFonts w:hint="eastAsia" w:hAnsi="楷体_GB2312" w:cs="楷体_GB2312"/>
          <w:color w:val="000000"/>
          <w:szCs w:val="32"/>
          <w:lang w:bidi="zh-CN"/>
        </w:rPr>
        <w:t>2.</w:t>
      </w:r>
      <w:r>
        <w:rPr>
          <w:rFonts w:hint="eastAsia" w:cs="仿宋_GB2312"/>
          <w:color w:val="000000"/>
          <w:szCs w:val="32"/>
          <w:lang w:bidi="zh-CN"/>
        </w:rPr>
        <w:t>管廊使用单位是所属管道的安全生产、环境保护的责任主体，并履行以下职责或义务：</w:t>
      </w:r>
    </w:p>
    <w:p w14:paraId="3D43C6E3">
      <w:pPr>
        <w:overflowPunct w:val="0"/>
        <w:autoSpaceDE w:val="0"/>
        <w:autoSpaceDN w:val="0"/>
        <w:spacing w:line="640" w:lineRule="exact"/>
        <w:ind w:firstLine="640"/>
        <w:rPr>
          <w:rFonts w:hint="eastAsia" w:cs="仿宋_GB2312"/>
          <w:color w:val="000000"/>
          <w:szCs w:val="32"/>
          <w:lang w:bidi="zh-CN"/>
        </w:rPr>
      </w:pPr>
      <w:r>
        <w:rPr>
          <w:rFonts w:hint="eastAsia" w:cs="仿宋_GB2312"/>
          <w:color w:val="000000"/>
          <w:szCs w:val="32"/>
          <w:lang w:bidi="zh-CN"/>
        </w:rPr>
        <w:t>（1）建立健全安全责任制度，做好管道的安全生产和环境保护工作，保障管道安全运行，配合管廊管理单位实施管廊区域安全管理工作；</w:t>
      </w:r>
    </w:p>
    <w:p w14:paraId="4EF05E48">
      <w:pPr>
        <w:overflowPunct w:val="0"/>
        <w:autoSpaceDE w:val="0"/>
        <w:autoSpaceDN w:val="0"/>
        <w:spacing w:line="640" w:lineRule="exact"/>
        <w:ind w:firstLine="640"/>
        <w:rPr>
          <w:rFonts w:hint="eastAsia" w:cs="仿宋_GB2312"/>
          <w:color w:val="000000"/>
          <w:szCs w:val="32"/>
          <w:lang w:bidi="zh-CN"/>
        </w:rPr>
      </w:pPr>
      <w:r>
        <w:rPr>
          <w:rFonts w:hint="eastAsia" w:cs="仿宋_GB2312"/>
          <w:color w:val="000000"/>
          <w:szCs w:val="32"/>
          <w:lang w:bidi="zh-CN"/>
        </w:rPr>
        <w:t>（2）管道的使用和维护、检修，应当执行相关安全技术规程；维护管道所产生的废弃物应当由有相应资质的单位进行处理；</w:t>
      </w:r>
    </w:p>
    <w:p w14:paraId="097C0CE0">
      <w:pPr>
        <w:overflowPunct w:val="0"/>
        <w:autoSpaceDE w:val="0"/>
        <w:autoSpaceDN w:val="0"/>
        <w:spacing w:line="640" w:lineRule="exact"/>
        <w:ind w:firstLine="640"/>
        <w:rPr>
          <w:rFonts w:hint="eastAsia" w:cs="仿宋_GB2312"/>
          <w:color w:val="000000"/>
          <w:szCs w:val="32"/>
          <w:lang w:bidi="zh-CN"/>
        </w:rPr>
      </w:pPr>
      <w:r>
        <w:rPr>
          <w:rFonts w:hint="eastAsia" w:cs="仿宋_GB2312"/>
          <w:color w:val="000000"/>
          <w:szCs w:val="32"/>
          <w:lang w:bidi="zh-CN"/>
        </w:rPr>
        <w:t>（3）建立管道定期巡查记录，记录内容应当包括巡查人员（数）、巡查时间、地点（范围）、发现问题与处理措施、报告记录及巡查人员签名等；</w:t>
      </w:r>
    </w:p>
    <w:p w14:paraId="436101BF">
      <w:pPr>
        <w:overflowPunct w:val="0"/>
        <w:autoSpaceDE w:val="0"/>
        <w:autoSpaceDN w:val="0"/>
        <w:spacing w:line="640" w:lineRule="exact"/>
        <w:ind w:firstLine="640"/>
        <w:rPr>
          <w:rFonts w:hint="eastAsia" w:cs="仿宋_GB2312"/>
          <w:color w:val="000000"/>
          <w:szCs w:val="32"/>
          <w:lang w:bidi="zh-CN"/>
        </w:rPr>
      </w:pPr>
      <w:r>
        <w:rPr>
          <w:rFonts w:hint="eastAsia" w:cs="仿宋_GB2312"/>
          <w:color w:val="000000"/>
          <w:szCs w:val="32"/>
          <w:lang w:bidi="zh-CN"/>
        </w:rPr>
        <w:t>（4）危险化学品管道试压检测合格半年后一直未投入使用的，管道使用单位应当在其投入使用前重新进行气密性试验；</w:t>
      </w:r>
    </w:p>
    <w:p w14:paraId="4023F69D">
      <w:pPr>
        <w:overflowPunct w:val="0"/>
        <w:autoSpaceDE w:val="0"/>
        <w:autoSpaceDN w:val="0"/>
        <w:spacing w:line="640" w:lineRule="exact"/>
        <w:ind w:firstLine="640"/>
        <w:rPr>
          <w:rFonts w:hint="eastAsia" w:cs="仿宋_GB2312"/>
          <w:color w:val="000000"/>
          <w:szCs w:val="32"/>
          <w:lang w:bidi="zh-CN"/>
        </w:rPr>
      </w:pPr>
      <w:r>
        <w:rPr>
          <w:rFonts w:hint="eastAsia" w:cs="仿宋_GB2312"/>
          <w:color w:val="000000"/>
          <w:szCs w:val="32"/>
          <w:lang w:bidi="zh-CN"/>
        </w:rPr>
        <w:t>（5）对所属管道进行标识（介质名称、流向等）；</w:t>
      </w:r>
    </w:p>
    <w:p w14:paraId="06711874">
      <w:pPr>
        <w:overflowPunct w:val="0"/>
        <w:autoSpaceDE w:val="0"/>
        <w:autoSpaceDN w:val="0"/>
        <w:spacing w:line="640" w:lineRule="exact"/>
        <w:ind w:firstLine="640"/>
        <w:rPr>
          <w:rFonts w:hint="eastAsia" w:cs="仿宋_GB2312"/>
          <w:color w:val="000000"/>
          <w:szCs w:val="32"/>
          <w:lang w:bidi="zh-CN"/>
        </w:rPr>
      </w:pPr>
      <w:r>
        <w:rPr>
          <w:rFonts w:hint="eastAsia" w:cs="仿宋_GB2312"/>
          <w:color w:val="000000"/>
          <w:szCs w:val="32"/>
          <w:lang w:bidi="zh-CN"/>
        </w:rPr>
        <w:t>（6）如改变管道输送介质，须向行政管理部门和管廊管理单位办理变更手续；</w:t>
      </w:r>
    </w:p>
    <w:p w14:paraId="3602DBC2">
      <w:pPr>
        <w:overflowPunct w:val="0"/>
        <w:autoSpaceDE w:val="0"/>
        <w:autoSpaceDN w:val="0"/>
        <w:spacing w:line="640" w:lineRule="exact"/>
        <w:ind w:firstLine="640"/>
        <w:rPr>
          <w:rFonts w:hint="eastAsia" w:cs="仿宋_GB2312"/>
          <w:color w:val="000000"/>
          <w:szCs w:val="32"/>
          <w:lang w:bidi="zh-CN"/>
        </w:rPr>
      </w:pPr>
      <w:r>
        <w:rPr>
          <w:rFonts w:hint="eastAsia" w:cs="仿宋_GB2312"/>
          <w:color w:val="000000"/>
          <w:szCs w:val="32"/>
          <w:lang w:bidi="zh-CN"/>
        </w:rPr>
        <w:t>（7）为保障管廊管道安全运行应履行的其他职责或义务。</w:t>
      </w:r>
    </w:p>
    <w:p w14:paraId="0A27CA3F">
      <w:pPr>
        <w:overflowPunct w:val="0"/>
        <w:autoSpaceDE w:val="0"/>
        <w:autoSpaceDN w:val="0"/>
        <w:spacing w:line="640" w:lineRule="exact"/>
        <w:ind w:firstLine="643"/>
        <w:rPr>
          <w:rFonts w:hint="eastAsia" w:cs="仿宋_GB2312"/>
          <w:color w:val="000000"/>
          <w:szCs w:val="32"/>
          <w:lang w:bidi="zh-CN"/>
        </w:rPr>
      </w:pPr>
      <w:r>
        <w:rPr>
          <w:rFonts w:hint="eastAsia" w:ascii="楷体_GB2312" w:hAnsi="楷体_GB2312" w:eastAsia="楷体_GB2312" w:cs="楷体_GB2312"/>
          <w:b/>
          <w:bCs/>
          <w:color w:val="000000"/>
          <w:szCs w:val="32"/>
          <w:lang w:bidi="zh-CN"/>
        </w:rPr>
        <w:t>3.</w:t>
      </w:r>
      <w:r>
        <w:rPr>
          <w:rFonts w:hint="eastAsia" w:cs="仿宋_GB2312"/>
          <w:color w:val="000000"/>
          <w:szCs w:val="32"/>
          <w:lang w:bidi="zh-CN"/>
        </w:rPr>
        <w:t>巡查人员发现有危害管廊、管道安全的行为时，应立即进行制止，无法处置时，应向公安部门报告。</w:t>
      </w:r>
    </w:p>
    <w:p w14:paraId="3EC21AA8">
      <w:pPr>
        <w:overflowPunct w:val="0"/>
        <w:autoSpaceDE w:val="0"/>
        <w:autoSpaceDN w:val="0"/>
        <w:spacing w:line="640" w:lineRule="exact"/>
        <w:ind w:firstLine="640"/>
        <w:rPr>
          <w:rFonts w:hint="eastAsia" w:cs="仿宋_GB2312"/>
          <w:color w:val="000000"/>
          <w:szCs w:val="32"/>
          <w:lang w:bidi="zh-CN"/>
        </w:rPr>
      </w:pPr>
      <w:r>
        <w:rPr>
          <w:rFonts w:hint="eastAsia" w:hAnsi="楷体_GB2312" w:cs="楷体_GB2312"/>
          <w:color w:val="000000"/>
          <w:szCs w:val="32"/>
          <w:lang w:bidi="zh-CN"/>
        </w:rPr>
        <w:t>4.</w:t>
      </w:r>
      <w:r>
        <w:rPr>
          <w:rFonts w:hint="eastAsia" w:cs="仿宋_GB2312"/>
          <w:color w:val="000000"/>
          <w:szCs w:val="32"/>
          <w:lang w:bidi="zh-CN"/>
        </w:rPr>
        <w:t>在公共管廊区域的安全保护范围内，禁止下列行为：</w:t>
      </w:r>
    </w:p>
    <w:p w14:paraId="48AA26E5">
      <w:pPr>
        <w:overflowPunct w:val="0"/>
        <w:autoSpaceDE w:val="0"/>
        <w:autoSpaceDN w:val="0"/>
        <w:spacing w:line="640" w:lineRule="exact"/>
        <w:ind w:firstLine="640"/>
        <w:rPr>
          <w:rFonts w:hint="eastAsia" w:cs="仿宋_GB2312"/>
          <w:color w:val="000000"/>
          <w:szCs w:val="32"/>
          <w:lang w:bidi="zh-CN"/>
        </w:rPr>
      </w:pPr>
      <w:r>
        <w:rPr>
          <w:rFonts w:hint="eastAsia" w:cs="仿宋_GB2312"/>
          <w:color w:val="000000"/>
          <w:szCs w:val="32"/>
          <w:lang w:bidi="zh-CN"/>
        </w:rPr>
        <w:t>（1）任何闲杂人员不得在管廊区域内滞留，不得无故进入管廊红线外警戒线范围内，严禁在该区域内吸烟或进行其他未经批准的能产生明火的作业及活动；</w:t>
      </w:r>
    </w:p>
    <w:p w14:paraId="2FB41D18">
      <w:pPr>
        <w:overflowPunct w:val="0"/>
        <w:autoSpaceDE w:val="0"/>
        <w:autoSpaceDN w:val="0"/>
        <w:spacing w:line="640" w:lineRule="exact"/>
        <w:ind w:firstLine="640"/>
        <w:rPr>
          <w:rFonts w:hint="eastAsia" w:cs="仿宋_GB2312"/>
          <w:color w:val="000000"/>
          <w:szCs w:val="32"/>
          <w:lang w:bidi="zh-CN"/>
        </w:rPr>
      </w:pPr>
      <w:r>
        <w:rPr>
          <w:rFonts w:hint="eastAsia" w:cs="仿宋_GB2312"/>
          <w:color w:val="000000"/>
          <w:szCs w:val="32"/>
          <w:lang w:bidi="zh-CN"/>
        </w:rPr>
        <w:t>（2）管廊外缘两侧3米范围内禁止排放腐蚀性液体、气体；</w:t>
      </w:r>
    </w:p>
    <w:p w14:paraId="5C3F7670">
      <w:pPr>
        <w:overflowPunct w:val="0"/>
        <w:autoSpaceDE w:val="0"/>
        <w:autoSpaceDN w:val="0"/>
        <w:spacing w:line="640" w:lineRule="exact"/>
        <w:ind w:firstLine="640"/>
        <w:rPr>
          <w:rFonts w:hint="eastAsia" w:cs="仿宋_GB2312"/>
          <w:color w:val="000000"/>
          <w:szCs w:val="32"/>
          <w:lang w:bidi="zh-CN"/>
        </w:rPr>
      </w:pPr>
      <w:r>
        <w:rPr>
          <w:rFonts w:hint="eastAsia" w:cs="仿宋_GB2312"/>
          <w:color w:val="000000"/>
          <w:szCs w:val="32"/>
          <w:lang w:bidi="zh-CN"/>
        </w:rPr>
        <w:t>（3）禁止移动、覆盖、拆除或者毁损公共管廊设施的安全警示标志。</w:t>
      </w:r>
    </w:p>
    <w:p w14:paraId="48D56B62">
      <w:pPr>
        <w:pStyle w:val="4"/>
        <w:ind w:firstLine="643"/>
        <w:rPr>
          <w:rFonts w:hint="eastAsia"/>
        </w:rPr>
      </w:pPr>
      <w:r>
        <w:rPr>
          <w:rFonts w:hint="eastAsia"/>
        </w:rPr>
        <w:t>（八）公共管廊的安全管理</w:t>
      </w:r>
    </w:p>
    <w:p w14:paraId="6E5E3E5C">
      <w:pPr>
        <w:overflowPunct w:val="0"/>
        <w:autoSpaceDE w:val="0"/>
        <w:autoSpaceDN w:val="0"/>
        <w:spacing w:line="640" w:lineRule="exact"/>
        <w:ind w:firstLine="640"/>
        <w:rPr>
          <w:rFonts w:hint="eastAsia" w:cs="仿宋_GB2312"/>
          <w:color w:val="000000"/>
          <w:szCs w:val="32"/>
          <w:lang w:bidi="zh-CN"/>
        </w:rPr>
      </w:pPr>
      <w:r>
        <w:rPr>
          <w:rFonts w:hint="eastAsia" w:hAnsi="楷体_GB2312" w:cs="楷体_GB2312"/>
          <w:color w:val="000000"/>
          <w:szCs w:val="32"/>
          <w:lang w:bidi="zh-CN"/>
        </w:rPr>
        <w:t>1.</w:t>
      </w:r>
      <w:r>
        <w:rPr>
          <w:rFonts w:hint="eastAsia" w:cs="仿宋_GB2312"/>
          <w:color w:val="000000"/>
          <w:szCs w:val="32"/>
          <w:lang w:bidi="zh-CN"/>
        </w:rPr>
        <w:t>管廊管理单位应对公共管廊区域运行状况进行日常检查，跟踪隐患整改结果。</w:t>
      </w:r>
    </w:p>
    <w:p w14:paraId="5C4FB353">
      <w:pPr>
        <w:overflowPunct w:val="0"/>
        <w:autoSpaceDE w:val="0"/>
        <w:autoSpaceDN w:val="0"/>
        <w:spacing w:line="640" w:lineRule="exact"/>
        <w:ind w:firstLine="640"/>
        <w:rPr>
          <w:rFonts w:hint="eastAsia" w:cs="仿宋_GB2312"/>
          <w:color w:val="000000"/>
          <w:szCs w:val="32"/>
          <w:lang w:bidi="zh-CN"/>
        </w:rPr>
      </w:pPr>
      <w:r>
        <w:rPr>
          <w:rFonts w:hint="eastAsia" w:hAnsi="楷体_GB2312" w:cs="楷体_GB2312"/>
          <w:color w:val="000000"/>
          <w:szCs w:val="32"/>
          <w:lang w:bidi="zh-CN"/>
        </w:rPr>
        <w:t>2.</w:t>
      </w:r>
      <w:r>
        <w:rPr>
          <w:rFonts w:hint="eastAsia" w:cs="仿宋_GB2312"/>
          <w:color w:val="000000"/>
          <w:szCs w:val="32"/>
          <w:lang w:bidi="zh-CN"/>
        </w:rPr>
        <w:t>公共管廊（包含公共管道、单独敷设的未入廊管道）及附属设施由管廊管理单位负责抢修和检维修；公共管廊内的管道由管廊使用单位负责抢修和检维修。</w:t>
      </w:r>
    </w:p>
    <w:p w14:paraId="6709B4EB">
      <w:pPr>
        <w:overflowPunct w:val="0"/>
        <w:autoSpaceDE w:val="0"/>
        <w:autoSpaceDN w:val="0"/>
        <w:spacing w:line="640" w:lineRule="exact"/>
        <w:ind w:firstLine="640"/>
        <w:rPr>
          <w:rFonts w:cs="仿宋_GB2312"/>
          <w:color w:val="000000"/>
          <w:szCs w:val="32"/>
          <w:lang w:bidi="zh-CN"/>
        </w:rPr>
      </w:pPr>
      <w:r>
        <w:rPr>
          <w:rFonts w:hint="eastAsia" w:hAnsi="楷体_GB2312" w:cs="楷体_GB2312"/>
          <w:color w:val="000000"/>
          <w:szCs w:val="32"/>
          <w:lang w:bidi="zh-CN"/>
        </w:rPr>
        <w:t>3.</w:t>
      </w:r>
      <w:r>
        <w:rPr>
          <w:rFonts w:hint="eastAsia" w:cs="仿宋_GB2312"/>
          <w:color w:val="000000"/>
          <w:szCs w:val="32"/>
          <w:lang w:bidi="zh-CN"/>
        </w:rPr>
        <w:t>公共管廊区域发生事故时，管廊管理单位和管廊使用单位须服从应急管理局统一调度，有序开展事故处理工作。</w:t>
      </w:r>
    </w:p>
    <w:p w14:paraId="4C677060">
      <w:pPr>
        <w:overflowPunct w:val="0"/>
        <w:autoSpaceDE w:val="0"/>
        <w:autoSpaceDN w:val="0"/>
        <w:spacing w:line="640" w:lineRule="exact"/>
        <w:ind w:firstLine="640"/>
        <w:rPr>
          <w:rFonts w:hint="eastAsia" w:cs="仿宋_GB2312"/>
          <w:color w:val="000000"/>
          <w:szCs w:val="32"/>
          <w:lang w:bidi="zh-CN"/>
        </w:rPr>
      </w:pPr>
    </w:p>
    <w:p w14:paraId="25ADFAF8">
      <w:pPr>
        <w:pStyle w:val="3"/>
        <w:ind w:firstLine="640"/>
        <w:jc w:val="left"/>
        <w:rPr>
          <w:rFonts w:ascii="黑体" w:hAnsi="黑体" w:eastAsia="黑体"/>
          <w:b w:val="0"/>
          <w:bCs/>
          <w:sz w:val="32"/>
          <w:szCs w:val="21"/>
        </w:rPr>
      </w:pPr>
      <w:bookmarkStart w:id="65" w:name="_Toc22121"/>
      <w:r>
        <w:rPr>
          <w:rFonts w:hint="eastAsia" w:ascii="黑体" w:hAnsi="黑体" w:eastAsia="黑体"/>
          <w:b w:val="0"/>
          <w:bCs/>
          <w:sz w:val="32"/>
          <w:szCs w:val="21"/>
        </w:rPr>
        <w:t>三十</w:t>
      </w:r>
      <w:r>
        <w:rPr>
          <w:rFonts w:hint="eastAsia" w:ascii="黑体" w:hAnsi="黑体" w:eastAsia="黑体"/>
          <w:b w:val="0"/>
          <w:bCs/>
          <w:sz w:val="32"/>
          <w:szCs w:val="21"/>
          <w:lang w:val="en-US" w:eastAsia="zh-CN"/>
        </w:rPr>
        <w:t>一</w:t>
      </w:r>
      <w:r>
        <w:rPr>
          <w:rFonts w:ascii="黑体" w:hAnsi="黑体" w:eastAsia="黑体"/>
          <w:b w:val="0"/>
          <w:bCs/>
          <w:sz w:val="32"/>
          <w:szCs w:val="21"/>
        </w:rPr>
        <w:t>、供水安全管理制度</w:t>
      </w:r>
      <w:bookmarkEnd w:id="65"/>
    </w:p>
    <w:p w14:paraId="5DAEE7C2">
      <w:pPr>
        <w:pStyle w:val="4"/>
        <w:ind w:firstLine="643"/>
      </w:pPr>
      <w:r>
        <w:rPr>
          <w:rFonts w:hint="eastAsia"/>
        </w:rPr>
        <w:t>（一）</w:t>
      </w:r>
      <w:r>
        <w:t>供水要求</w:t>
      </w:r>
    </w:p>
    <w:p w14:paraId="27632EB5">
      <w:pPr>
        <w:ind w:firstLine="640"/>
        <w:rPr>
          <w:rFonts w:hint="eastAsia" w:hAnsi="Times New Roman"/>
        </w:rPr>
      </w:pPr>
      <w:r>
        <w:rPr>
          <w:rFonts w:hint="eastAsia" w:hAnsi="Times New Roman"/>
        </w:rPr>
        <w:t>1.化工园区供水水源应充足、可靠，建设统一集中的供水设施和管网，满足企业和化工园区配套设施生产、生活、消防用水的需求。化工园区附近有天然水源的，应设置供消防车取水的消防车道和取水码头。</w:t>
      </w:r>
    </w:p>
    <w:p w14:paraId="0429C3D0">
      <w:pPr>
        <w:ind w:firstLine="640"/>
        <w:rPr>
          <w:rFonts w:hint="eastAsia" w:hAnsi="Times New Roman"/>
        </w:rPr>
      </w:pPr>
      <w:r>
        <w:rPr>
          <w:rFonts w:hint="eastAsia" w:hAnsi="Times New Roman"/>
        </w:rPr>
        <w:t>2.供水宜兼顾现状和未来发展需求，统筹规划，分期建设，以保证给水工程的经济性、安全性和可靠性。</w:t>
      </w:r>
    </w:p>
    <w:p w14:paraId="3EB82554">
      <w:pPr>
        <w:ind w:firstLine="640"/>
        <w:rPr>
          <w:rFonts w:hint="eastAsia" w:hAnsi="Times New Roman"/>
        </w:rPr>
      </w:pPr>
      <w:r>
        <w:rPr>
          <w:rFonts w:hint="eastAsia" w:hAnsi="Times New Roman"/>
        </w:rPr>
        <w:t>3.“分质供水、优水优用、一水多用、中水回用”，最大限度提高工业用水的重复利用率，实现水资源高效利用。</w:t>
      </w:r>
    </w:p>
    <w:p w14:paraId="553B5D21">
      <w:pPr>
        <w:ind w:firstLine="640"/>
        <w:rPr>
          <w:rFonts w:hint="eastAsia" w:hAnsi="Times New Roman"/>
        </w:rPr>
      </w:pPr>
      <w:r>
        <w:rPr>
          <w:rFonts w:hint="eastAsia" w:hAnsi="Times New Roman"/>
        </w:rPr>
        <w:t>4.设置项目入园准入门槛，宜引进技术先进、节水降耗的清洁生产项目，严禁高耗水项目入园。已入园项目应挖掘其节水潜力，宜采用节水型工艺、设备、建立节水型企业。最终，建成生态节水型化工园区。</w:t>
      </w:r>
    </w:p>
    <w:p w14:paraId="23A0CBD8">
      <w:pPr>
        <w:ind w:firstLine="640"/>
        <w:rPr>
          <w:rFonts w:hint="eastAsia" w:hAnsi="Times New Roman"/>
        </w:rPr>
      </w:pPr>
      <w:r>
        <w:rPr>
          <w:rFonts w:hint="eastAsia" w:hAnsi="Times New Roman"/>
        </w:rPr>
        <w:t>5.合理配置水资源，以水定产，推行以计划用水和定额管理相结合的严格节水管理制度。</w:t>
      </w:r>
    </w:p>
    <w:p w14:paraId="528DAD31">
      <w:pPr>
        <w:ind w:firstLine="640"/>
        <w:rPr>
          <w:rFonts w:ascii="Times New Roman" w:hAnsi="Times New Roman"/>
        </w:rPr>
      </w:pPr>
      <w:r>
        <w:rPr>
          <w:rFonts w:hint="eastAsia" w:hAnsi="Times New Roman"/>
        </w:rPr>
        <w:t>6.地下水资源匮乏的地区，不应使用地下水作为园区供水水源；地下水超采的地区，生产用水禁止取用地下水。供水规划应符合现行的国</w:t>
      </w:r>
      <w:r>
        <w:rPr>
          <w:rFonts w:ascii="Times New Roman" w:hAnsi="Times New Roman"/>
        </w:rPr>
        <w:t>家用水和取水政策，需考虑地下水取水的合法性。</w:t>
      </w:r>
    </w:p>
    <w:p w14:paraId="17B5BD5F">
      <w:pPr>
        <w:pStyle w:val="4"/>
        <w:ind w:firstLine="643"/>
      </w:pPr>
      <w:r>
        <w:rPr>
          <w:rFonts w:hint="eastAsia"/>
        </w:rPr>
        <w:t>（二）</w:t>
      </w:r>
      <w:r>
        <w:t>供水部门职责</w:t>
      </w:r>
    </w:p>
    <w:p w14:paraId="03798BAB">
      <w:pPr>
        <w:ind w:firstLine="640"/>
        <w:rPr>
          <w:rFonts w:hint="eastAsia" w:hAnsi="Times New Roman"/>
        </w:rPr>
      </w:pPr>
      <w:r>
        <w:rPr>
          <w:rFonts w:hint="eastAsia" w:hAnsi="Times New Roman"/>
        </w:rPr>
        <w:t>1.严格执行国家供水有关政策、法规和公司各项制度，加强内部管理，保证各项工作有序开展，不断提升生产工艺，切实达到节能降耗，完成各项经济指标。</w:t>
      </w:r>
    </w:p>
    <w:p w14:paraId="5B4410B8">
      <w:pPr>
        <w:ind w:firstLine="640"/>
        <w:rPr>
          <w:rFonts w:hint="eastAsia" w:hAnsi="Times New Roman"/>
        </w:rPr>
      </w:pPr>
      <w:r>
        <w:rPr>
          <w:rFonts w:hint="eastAsia" w:hAnsi="Times New Roman"/>
        </w:rPr>
        <w:t>2.落实供水生产计划，根据园区用水需求与供水设备的生产能力，科学合理调度机组，各厂站应协调运行，提高生产效益。</w:t>
      </w:r>
    </w:p>
    <w:p w14:paraId="565C6924">
      <w:pPr>
        <w:ind w:firstLine="640"/>
        <w:rPr>
          <w:rFonts w:hint="eastAsia" w:hAnsi="Times New Roman"/>
        </w:rPr>
      </w:pPr>
      <w:r>
        <w:rPr>
          <w:rFonts w:hint="eastAsia" w:hAnsi="Times New Roman"/>
        </w:rPr>
        <w:t>3.定期对供水生产环节和供水设施进行安全检查，消除不安全因素，确保供水安全，并做好巡查记录。</w:t>
      </w:r>
    </w:p>
    <w:p w14:paraId="2CB3498C">
      <w:pPr>
        <w:ind w:firstLine="640"/>
        <w:rPr>
          <w:rFonts w:hint="eastAsia" w:hAnsi="Times New Roman"/>
        </w:rPr>
      </w:pPr>
      <w:r>
        <w:rPr>
          <w:rFonts w:hint="eastAsia" w:hAnsi="Times New Roman"/>
        </w:rPr>
        <w:t>4.搞好水厂净化设施运行管理，与水质检测办公室配合，把好水质关，保证出厂水和管网水水质符合相关标准。</w:t>
      </w:r>
    </w:p>
    <w:p w14:paraId="5E6C5BA9">
      <w:pPr>
        <w:ind w:firstLine="640"/>
        <w:rPr>
          <w:rFonts w:hint="eastAsia" w:hAnsi="Times New Roman"/>
        </w:rPr>
      </w:pPr>
      <w:r>
        <w:rPr>
          <w:rFonts w:hint="eastAsia" w:hAnsi="Times New Roman"/>
        </w:rPr>
        <w:t>5.搞好各水厂消毒杀菌设备的管理，保证供水生产安全。</w:t>
      </w:r>
    </w:p>
    <w:p w14:paraId="0409191F">
      <w:pPr>
        <w:ind w:firstLine="640"/>
        <w:rPr>
          <w:rFonts w:hint="eastAsia" w:hAnsi="Times New Roman"/>
        </w:rPr>
      </w:pPr>
      <w:r>
        <w:rPr>
          <w:rFonts w:hint="eastAsia" w:hAnsi="Times New Roman"/>
        </w:rPr>
        <w:t>6.负责水源地和水厂的安全保卫工作。</w:t>
      </w:r>
    </w:p>
    <w:p w14:paraId="5BDBD63B">
      <w:pPr>
        <w:ind w:firstLine="640"/>
        <w:rPr>
          <w:rFonts w:ascii="Times New Roman" w:hAnsi="Times New Roman"/>
        </w:rPr>
      </w:pPr>
      <w:r>
        <w:rPr>
          <w:rFonts w:hint="eastAsia" w:hAnsi="Times New Roman"/>
        </w:rPr>
        <w:t>7.与各相</w:t>
      </w:r>
      <w:r>
        <w:rPr>
          <w:rFonts w:ascii="Times New Roman" w:hAnsi="Times New Roman"/>
        </w:rPr>
        <w:t>关部门搞好配合协调，不得出现推诿扯皮现象。</w:t>
      </w:r>
    </w:p>
    <w:p w14:paraId="6DB85FCB">
      <w:pPr>
        <w:ind w:firstLine="640"/>
        <w:rPr>
          <w:rFonts w:ascii="Times New Roman" w:hAnsi="Times New Roman"/>
        </w:rPr>
      </w:pPr>
    </w:p>
    <w:p w14:paraId="1D412DD0">
      <w:pPr>
        <w:pStyle w:val="3"/>
        <w:ind w:firstLine="640"/>
        <w:jc w:val="left"/>
        <w:rPr>
          <w:rFonts w:ascii="黑体" w:hAnsi="黑体" w:eastAsia="黑体"/>
          <w:b w:val="0"/>
          <w:bCs/>
          <w:sz w:val="32"/>
          <w:szCs w:val="21"/>
        </w:rPr>
      </w:pPr>
      <w:bookmarkStart w:id="66" w:name="_Toc28723"/>
      <w:r>
        <w:rPr>
          <w:rFonts w:hint="eastAsia" w:ascii="黑体" w:hAnsi="黑体" w:eastAsia="黑体"/>
          <w:b w:val="0"/>
          <w:bCs/>
          <w:sz w:val="32"/>
          <w:szCs w:val="21"/>
        </w:rPr>
        <w:t>三十</w:t>
      </w:r>
      <w:r>
        <w:rPr>
          <w:rFonts w:hint="eastAsia" w:ascii="黑体" w:hAnsi="黑体" w:eastAsia="黑体"/>
          <w:b w:val="0"/>
          <w:bCs/>
          <w:sz w:val="32"/>
          <w:szCs w:val="21"/>
          <w:lang w:val="en-US" w:eastAsia="zh-CN"/>
        </w:rPr>
        <w:t>二</w:t>
      </w:r>
      <w:r>
        <w:rPr>
          <w:rFonts w:ascii="黑体" w:hAnsi="黑体" w:eastAsia="黑体"/>
          <w:b w:val="0"/>
          <w:bCs/>
          <w:sz w:val="32"/>
          <w:szCs w:val="21"/>
        </w:rPr>
        <w:t>、供电安全管理制度</w:t>
      </w:r>
      <w:bookmarkEnd w:id="66"/>
    </w:p>
    <w:p w14:paraId="1310AEDD">
      <w:pPr>
        <w:pStyle w:val="4"/>
        <w:ind w:firstLine="643"/>
      </w:pPr>
      <w:r>
        <w:rPr>
          <w:rFonts w:hint="eastAsia"/>
        </w:rPr>
        <w:t>（一）</w:t>
      </w:r>
      <w:r>
        <w:t>供电要求</w:t>
      </w:r>
    </w:p>
    <w:p w14:paraId="3DD47AAD">
      <w:pPr>
        <w:spacing w:line="520" w:lineRule="exact"/>
        <w:ind w:firstLine="640"/>
        <w:rPr>
          <w:rFonts w:hint="eastAsia" w:hAnsi="Times New Roman"/>
        </w:rPr>
      </w:pPr>
      <w:r>
        <w:rPr>
          <w:rFonts w:hint="eastAsia" w:hAnsi="Times New Roman"/>
        </w:rPr>
        <w:t>1.化工园区应能保障双电源供电。供电应满足化工园区各企业和化工园区配套设施生产、生活和应急用电需求，电源可靠。</w:t>
      </w:r>
    </w:p>
    <w:p w14:paraId="27936031">
      <w:pPr>
        <w:spacing w:line="520" w:lineRule="exact"/>
        <w:ind w:firstLine="640"/>
        <w:rPr>
          <w:rFonts w:hint="eastAsia" w:hAnsi="Times New Roman"/>
        </w:rPr>
      </w:pPr>
      <w:r>
        <w:rPr>
          <w:rFonts w:hint="eastAsia" w:hAnsi="Times New Roman"/>
        </w:rPr>
        <w:t>2.结合当地的电力资源状况，依据国家的电力政策，考虑送电容量、送电距离、运行方式的影响，合理规划变电站、供电线路，确保化工园区电力供应的稳定性和安全性。</w:t>
      </w:r>
    </w:p>
    <w:p w14:paraId="323621AE">
      <w:pPr>
        <w:spacing w:line="520" w:lineRule="exact"/>
        <w:ind w:firstLine="640"/>
        <w:rPr>
          <w:rFonts w:hint="eastAsia" w:hAnsi="Times New Roman"/>
        </w:rPr>
      </w:pPr>
      <w:r>
        <w:rPr>
          <w:rFonts w:hint="eastAsia" w:hAnsi="Times New Roman"/>
        </w:rPr>
        <w:t>3.与当地电网规划相结合，统筹设置供电设施及各级输配电线路。</w:t>
      </w:r>
    </w:p>
    <w:p w14:paraId="24F086BA">
      <w:pPr>
        <w:spacing w:line="520" w:lineRule="exact"/>
        <w:ind w:firstLine="640"/>
        <w:rPr>
          <w:rFonts w:hint="eastAsia" w:hAnsi="Times New Roman"/>
        </w:rPr>
      </w:pPr>
      <w:r>
        <w:rPr>
          <w:rFonts w:hint="eastAsia" w:hAnsi="Times New Roman"/>
        </w:rPr>
        <w:t>4.电网电压等级不宜过多，以减少变电重复容量，电网建设应满足运行安全可靠、技术先进、调度灵活、经济合理要求。</w:t>
      </w:r>
    </w:p>
    <w:p w14:paraId="4DA804C9">
      <w:pPr>
        <w:spacing w:line="520" w:lineRule="exact"/>
        <w:ind w:firstLine="640"/>
        <w:rPr>
          <w:rFonts w:ascii="Times New Roman" w:hAnsi="Times New Roman"/>
        </w:rPr>
      </w:pPr>
      <w:r>
        <w:rPr>
          <w:rFonts w:hint="eastAsia" w:hAnsi="Times New Roman"/>
        </w:rPr>
        <w:t>5.供电工程方</w:t>
      </w:r>
      <w:r>
        <w:rPr>
          <w:rFonts w:ascii="Times New Roman" w:hAnsi="Times New Roman"/>
        </w:rPr>
        <w:t>案中考虑分期建设、便于实施、便于操作。</w:t>
      </w:r>
    </w:p>
    <w:p w14:paraId="77EA592E">
      <w:pPr>
        <w:pStyle w:val="4"/>
        <w:ind w:firstLine="643"/>
      </w:pPr>
      <w:r>
        <w:rPr>
          <w:rFonts w:hint="eastAsia"/>
        </w:rPr>
        <w:t>（二）</w:t>
      </w:r>
      <w:r>
        <w:t>供电部门职责</w:t>
      </w:r>
    </w:p>
    <w:p w14:paraId="7C12D8B0">
      <w:pPr>
        <w:spacing w:line="520" w:lineRule="exact"/>
        <w:ind w:firstLine="640"/>
        <w:rPr>
          <w:rFonts w:hint="eastAsia" w:hAnsi="Times New Roman"/>
        </w:rPr>
      </w:pPr>
      <w:r>
        <w:rPr>
          <w:rFonts w:hint="eastAsia" w:hAnsi="Times New Roman"/>
        </w:rPr>
        <w:t>1.负责园区范围内的供电服务。</w:t>
      </w:r>
    </w:p>
    <w:p w14:paraId="034B3E1F">
      <w:pPr>
        <w:spacing w:line="520" w:lineRule="exact"/>
        <w:ind w:firstLine="640"/>
        <w:rPr>
          <w:rFonts w:hint="eastAsia" w:hAnsi="Times New Roman"/>
        </w:rPr>
      </w:pPr>
      <w:r>
        <w:rPr>
          <w:rFonts w:hint="eastAsia" w:hAnsi="Times New Roman"/>
        </w:rPr>
        <w:t>2.负责园区的电网运维工作。</w:t>
      </w:r>
    </w:p>
    <w:p w14:paraId="5D0EB363">
      <w:pPr>
        <w:spacing w:line="520" w:lineRule="exact"/>
        <w:ind w:firstLine="640"/>
        <w:rPr>
          <w:rFonts w:hint="eastAsia" w:hAnsi="Times New Roman"/>
        </w:rPr>
      </w:pPr>
      <w:r>
        <w:rPr>
          <w:rFonts w:hint="eastAsia" w:hAnsi="Times New Roman"/>
        </w:rPr>
        <w:t>3.负责园区公共区域内输变电工程建设。</w:t>
      </w:r>
    </w:p>
    <w:p w14:paraId="55A255DF">
      <w:pPr>
        <w:spacing w:line="520" w:lineRule="exact"/>
        <w:ind w:firstLine="640"/>
        <w:rPr>
          <w:rFonts w:hint="eastAsia" w:hAnsi="Times New Roman"/>
        </w:rPr>
      </w:pPr>
      <w:r>
        <w:rPr>
          <w:rFonts w:hint="eastAsia" w:hAnsi="Times New Roman"/>
        </w:rPr>
        <w:t>4.负责园区内电力调控、调度计划、运行方式、水电及新能源、继电保护、调度自动化和电力通信等专业管理。</w:t>
      </w:r>
    </w:p>
    <w:p w14:paraId="70D0931B">
      <w:pPr>
        <w:spacing w:line="520" w:lineRule="exact"/>
        <w:ind w:firstLine="640"/>
        <w:rPr>
          <w:rFonts w:hint="eastAsia" w:hAnsi="Times New Roman"/>
        </w:rPr>
      </w:pPr>
      <w:r>
        <w:rPr>
          <w:rFonts w:hint="eastAsia" w:hAnsi="Times New Roman"/>
        </w:rPr>
        <w:t>5.贯彻执行国家有关安全生产的各项政策和法规，严格执行有关安全规程，抓好中低压配网的安全生产，并负责中低压配网的运行维护工作。</w:t>
      </w:r>
    </w:p>
    <w:p w14:paraId="360AE4C5">
      <w:pPr>
        <w:spacing w:line="520" w:lineRule="exact"/>
        <w:ind w:firstLine="640"/>
        <w:rPr>
          <w:rFonts w:hint="eastAsia" w:hAnsi="Times New Roman"/>
        </w:rPr>
      </w:pPr>
      <w:r>
        <w:rPr>
          <w:rFonts w:hint="eastAsia" w:hAnsi="Times New Roman"/>
        </w:rPr>
        <w:t>6.负责制定园区电网发展规划和整改工作，合理解决线路负荷布局。</w:t>
      </w:r>
    </w:p>
    <w:p w14:paraId="32EB28AD">
      <w:pPr>
        <w:ind w:firstLine="640"/>
        <w:rPr>
          <w:rFonts w:ascii="Times New Roman" w:hAnsi="Times New Roman"/>
        </w:rPr>
        <w:sectPr>
          <w:pgSz w:w="11906" w:h="16838"/>
          <w:pgMar w:top="2098" w:right="1531" w:bottom="1984" w:left="1531" w:header="851" w:footer="1417" w:gutter="0"/>
          <w:cols w:space="720" w:num="1"/>
          <w:docGrid w:type="lines" w:linePitch="439" w:charSpace="0"/>
        </w:sectPr>
      </w:pPr>
    </w:p>
    <w:p w14:paraId="6D505B6A">
      <w:pPr>
        <w:pStyle w:val="2"/>
        <w:spacing w:before="0" w:after="0" w:line="600" w:lineRule="exact"/>
        <w:rPr>
          <w:rFonts w:ascii="Times New Roman" w:hAnsi="Times New Roman"/>
        </w:rPr>
      </w:pPr>
      <w:bookmarkStart w:id="67" w:name="_Toc27252"/>
      <w:r>
        <w:rPr>
          <w:rFonts w:ascii="Times New Roman" w:hAnsi="Times New Roman"/>
        </w:rPr>
        <w:t>第十</w:t>
      </w:r>
      <w:r>
        <w:rPr>
          <w:rFonts w:hint="eastAsia" w:ascii="Times New Roman" w:hAnsi="Times New Roman"/>
        </w:rPr>
        <w:t>三</w:t>
      </w:r>
      <w:r>
        <w:rPr>
          <w:rFonts w:ascii="Times New Roman" w:hAnsi="Times New Roman"/>
        </w:rPr>
        <w:t xml:space="preserve">章 </w:t>
      </w:r>
      <w:r>
        <w:rPr>
          <w:rFonts w:hint="eastAsia" w:ascii="Times New Roman" w:hAnsi="Times New Roman"/>
          <w:lang w:val="en-US" w:eastAsia="zh-CN"/>
        </w:rPr>
        <w:t xml:space="preserve"> </w:t>
      </w:r>
      <w:r>
        <w:rPr>
          <w:rFonts w:ascii="Times New Roman" w:hAnsi="Times New Roman"/>
        </w:rPr>
        <w:t>消防与应急管理</w:t>
      </w:r>
      <w:bookmarkEnd w:id="67"/>
    </w:p>
    <w:p w14:paraId="38844198">
      <w:pPr>
        <w:spacing w:line="600" w:lineRule="exact"/>
        <w:ind w:firstLine="640"/>
        <w:rPr>
          <w:rFonts w:hint="eastAsia"/>
        </w:rPr>
      </w:pPr>
    </w:p>
    <w:p w14:paraId="06B92EAF">
      <w:pPr>
        <w:pStyle w:val="3"/>
        <w:spacing w:line="600" w:lineRule="exact"/>
        <w:ind w:firstLine="640"/>
        <w:jc w:val="left"/>
        <w:rPr>
          <w:rFonts w:ascii="黑体" w:hAnsi="黑体" w:eastAsia="黑体"/>
          <w:b w:val="0"/>
          <w:bCs/>
          <w:sz w:val="32"/>
          <w:szCs w:val="21"/>
        </w:rPr>
      </w:pPr>
      <w:bookmarkStart w:id="68" w:name="_Toc30146"/>
      <w:r>
        <w:rPr>
          <w:rFonts w:hint="eastAsia" w:ascii="黑体" w:hAnsi="黑体" w:eastAsia="黑体"/>
          <w:b w:val="0"/>
          <w:bCs/>
          <w:sz w:val="32"/>
          <w:szCs w:val="21"/>
        </w:rPr>
        <w:t>三十</w:t>
      </w:r>
      <w:r>
        <w:rPr>
          <w:rFonts w:hint="eastAsia" w:ascii="黑体" w:hAnsi="黑体" w:eastAsia="黑体"/>
          <w:b w:val="0"/>
          <w:bCs/>
          <w:sz w:val="32"/>
          <w:szCs w:val="21"/>
          <w:lang w:val="en-US" w:eastAsia="zh-CN"/>
        </w:rPr>
        <w:t>三</w:t>
      </w:r>
      <w:r>
        <w:rPr>
          <w:rFonts w:ascii="黑体" w:hAnsi="黑体" w:eastAsia="黑体"/>
          <w:b w:val="0"/>
          <w:bCs/>
          <w:sz w:val="32"/>
          <w:szCs w:val="21"/>
        </w:rPr>
        <w:t>、应急预案编制要求</w:t>
      </w:r>
      <w:bookmarkEnd w:id="68"/>
    </w:p>
    <w:p w14:paraId="579B81FC">
      <w:pPr>
        <w:pStyle w:val="4"/>
        <w:ind w:firstLine="643"/>
      </w:pPr>
      <w:r>
        <w:rPr>
          <w:rFonts w:hint="eastAsia"/>
        </w:rPr>
        <w:t>（一）</w:t>
      </w:r>
      <w:r>
        <w:t>园区应急预案</w:t>
      </w:r>
    </w:p>
    <w:p w14:paraId="34DD4311">
      <w:pPr>
        <w:ind w:firstLine="640"/>
        <w:rPr>
          <w:rFonts w:hint="eastAsia" w:hAnsi="Times New Roman"/>
        </w:rPr>
      </w:pPr>
      <w:r>
        <w:rPr>
          <w:rFonts w:hint="eastAsia" w:hAnsi="Times New Roman"/>
        </w:rPr>
        <w:t>1.化工园区办应根据《中华人民共和国突发事件应对法》（主席令第69号）、《生产安全事故应急条例》（国务院令第708号）、《突发事件应急预案管理办法》等规范的相关要求，编制随州市青春化工工业园区总体应急预案及专项预案。</w:t>
      </w:r>
    </w:p>
    <w:p w14:paraId="053D7852">
      <w:pPr>
        <w:ind w:firstLine="640"/>
        <w:rPr>
          <w:rFonts w:hint="eastAsia" w:hAnsi="Times New Roman"/>
        </w:rPr>
      </w:pPr>
      <w:r>
        <w:rPr>
          <w:rFonts w:hint="eastAsia" w:hAnsi="Times New Roman"/>
        </w:rPr>
        <w:t>2.总体应急预案应明确青春化工工业园应急预案的适用范围、应急预案体系、应急工作原则、应急组织机构及职责、应急保障措施、突发事件预警及信息报告、应急响应、后期处置以及应急预案培训和演练等信息。</w:t>
      </w:r>
    </w:p>
    <w:p w14:paraId="1ED9BBC7">
      <w:pPr>
        <w:ind w:firstLine="640"/>
        <w:rPr>
          <w:rFonts w:hint="eastAsia" w:hAnsi="Times New Roman"/>
        </w:rPr>
      </w:pPr>
      <w:r>
        <w:rPr>
          <w:rFonts w:hint="eastAsia" w:hAnsi="Times New Roman"/>
        </w:rPr>
        <w:t>3.编制应急预案前，编制单位应当进行事故风险评估和应急资源调查。</w:t>
      </w:r>
    </w:p>
    <w:p w14:paraId="30DC3D60">
      <w:pPr>
        <w:ind w:firstLine="640"/>
        <w:rPr>
          <w:rFonts w:hint="eastAsia" w:hAnsi="Times New Roman"/>
        </w:rPr>
      </w:pPr>
      <w:r>
        <w:rPr>
          <w:rFonts w:hint="eastAsia" w:hAnsi="Times New Roman"/>
        </w:rPr>
        <w:t>4.《专项应急预案》应包括但不限于火灾爆炸事故、中毒窒息事故、特种设备事故、园区公辅设施事故、园区交通运输事故、自然灾害事故、园区建设施工事故等专项应急预案。</w:t>
      </w:r>
    </w:p>
    <w:p w14:paraId="0D309C4B">
      <w:pPr>
        <w:ind w:firstLine="640"/>
        <w:rPr>
          <w:rFonts w:hint="eastAsia" w:hAnsi="Times New Roman"/>
        </w:rPr>
      </w:pPr>
      <w:r>
        <w:rPr>
          <w:rFonts w:hint="eastAsia" w:hAnsi="Times New Roman"/>
        </w:rPr>
        <w:t>5.园区应急预案应在组织园区专业技术人员审核及聘请外部专家评审的基础上，经过修改完善后发布。并按照有关规定向区应急管理局备案。</w:t>
      </w:r>
    </w:p>
    <w:p w14:paraId="3E7FAA49">
      <w:pPr>
        <w:ind w:firstLine="640"/>
        <w:rPr>
          <w:rFonts w:ascii="Times New Roman" w:hAnsi="Times New Roman"/>
        </w:rPr>
      </w:pPr>
      <w:r>
        <w:rPr>
          <w:rFonts w:hint="eastAsia" w:hAnsi="Times New Roman"/>
        </w:rPr>
        <w:t>6.园区每</w:t>
      </w:r>
      <w:r>
        <w:rPr>
          <w:rFonts w:ascii="Times New Roman" w:hAnsi="Times New Roman"/>
        </w:rPr>
        <w:t>两年至少组织一次园区总体应急救援演练；应急</w:t>
      </w:r>
      <w:r>
        <w:rPr>
          <w:rFonts w:hint="eastAsia" w:ascii="Times New Roman" w:hAnsi="Times New Roman"/>
        </w:rPr>
        <w:t>救援部室</w:t>
      </w:r>
      <w:r>
        <w:rPr>
          <w:rFonts w:ascii="Times New Roman" w:hAnsi="Times New Roman"/>
        </w:rPr>
        <w:t>负责应急演练方案，留存演练记录，将演练资料归档；演练结束后对演练过程进行评估，分析演练过程中存在的问题，提出改进措施。</w:t>
      </w:r>
    </w:p>
    <w:p w14:paraId="325546BA">
      <w:pPr>
        <w:ind w:firstLine="640"/>
        <w:rPr>
          <w:rFonts w:hint="eastAsia" w:hAnsi="Times New Roman"/>
        </w:rPr>
      </w:pPr>
      <w:r>
        <w:rPr>
          <w:rFonts w:hint="eastAsia" w:hAnsi="Times New Roman"/>
        </w:rPr>
        <w:t>7.应急预案原则上每三年至少修订一次。随着相关法律法规的制定、修改，机构调整或应急资源发生变化，以及应急处置过程和演练中发现的问题和出现的新情况等，要适时对本预案进行修订。附件变动，修订附件即可，不需重新发布本预案，但要发布附件变动的通知。</w:t>
      </w:r>
    </w:p>
    <w:p w14:paraId="1A63659C">
      <w:pPr>
        <w:ind w:firstLine="640"/>
        <w:rPr>
          <w:rFonts w:ascii="Times New Roman" w:hAnsi="Times New Roman"/>
        </w:rPr>
      </w:pPr>
      <w:r>
        <w:rPr>
          <w:rFonts w:hint="eastAsia" w:hAnsi="Times New Roman"/>
        </w:rPr>
        <w:t>8.园区智能管控平台应对应急预案进行编制管理、备案管理、电子保存、综合查</w:t>
      </w:r>
      <w:r>
        <w:rPr>
          <w:rFonts w:ascii="Times New Roman" w:hAnsi="Times New Roman"/>
        </w:rPr>
        <w:t>询等数字化管理，并能对应急预案进行结构化管理。</w:t>
      </w:r>
    </w:p>
    <w:p w14:paraId="5B755C14">
      <w:pPr>
        <w:pStyle w:val="4"/>
        <w:ind w:firstLine="643"/>
      </w:pPr>
      <w:r>
        <w:rPr>
          <w:rFonts w:hint="eastAsia"/>
        </w:rPr>
        <w:t>（二）</w:t>
      </w:r>
      <w:r>
        <w:t>企业应急预案</w:t>
      </w:r>
    </w:p>
    <w:p w14:paraId="5F272AAE">
      <w:pPr>
        <w:ind w:firstLine="640"/>
        <w:rPr>
          <w:rFonts w:hint="eastAsia" w:hAnsi="Times New Roman"/>
        </w:rPr>
      </w:pPr>
      <w:r>
        <w:rPr>
          <w:rFonts w:hint="eastAsia" w:hAnsi="Times New Roman"/>
        </w:rPr>
        <w:t>1.为保护企业员工的生命安全，减少财产损失，使事故发生后能够快速、有序地实施应急救援，企业应根据《生产安全事故应急预案管理办法》（国家安全安监总局88号，应急管理部令第2号修正）第三十六条及《生产经营单位生产安全事故应急预案编制导则》（GBT29639-2020）的要求编制《生产安全事故应急预案》。</w:t>
      </w:r>
    </w:p>
    <w:p w14:paraId="2F1F6089">
      <w:pPr>
        <w:ind w:firstLine="640"/>
        <w:rPr>
          <w:rFonts w:hint="eastAsia" w:hAnsi="Times New Roman"/>
        </w:rPr>
      </w:pPr>
      <w:r>
        <w:rPr>
          <w:rFonts w:hint="eastAsia" w:hAnsi="Times New Roman"/>
        </w:rPr>
        <w:t>2.《生产安全事故应急预案》是企业实施应急救援工作的规范性文件，用于规范、指导该企业生产安全事故的应急救援。《生产安全事故应急预案》应包括综合应急预案、专项应急预案和现场处置方案。</w:t>
      </w:r>
    </w:p>
    <w:p w14:paraId="27B90734">
      <w:pPr>
        <w:ind w:firstLine="640"/>
        <w:rPr>
          <w:rFonts w:ascii="Times New Roman" w:hAnsi="Times New Roman"/>
        </w:rPr>
      </w:pPr>
      <w:r>
        <w:rPr>
          <w:rFonts w:hint="eastAsia" w:hAnsi="Times New Roman"/>
        </w:rPr>
        <w:t>3.企业</w:t>
      </w:r>
      <w:r>
        <w:rPr>
          <w:rFonts w:ascii="Times New Roman" w:hAnsi="Times New Roman"/>
        </w:rPr>
        <w:t>主要负责人负责组织编制和实施本单位的应急预案，并对应急预案的真实性和实用性负责；各分管负责人应当按照职责分工落实应急预案规定的职责。</w:t>
      </w:r>
    </w:p>
    <w:p w14:paraId="7C3B5A37">
      <w:pPr>
        <w:ind w:firstLine="640"/>
        <w:rPr>
          <w:rFonts w:hint="eastAsia" w:hAnsi="Times New Roman"/>
        </w:rPr>
      </w:pPr>
      <w:r>
        <w:rPr>
          <w:rFonts w:hint="eastAsia" w:hAnsi="Times New Roman"/>
        </w:rPr>
        <w:t>4.应急预案的编制应当符合下列基本要求：</w:t>
      </w:r>
    </w:p>
    <w:p w14:paraId="38FA33E5">
      <w:pPr>
        <w:ind w:firstLine="640"/>
        <w:rPr>
          <w:rFonts w:hint="eastAsia" w:hAnsi="Times New Roman"/>
        </w:rPr>
      </w:pPr>
      <w:r>
        <w:rPr>
          <w:rFonts w:hint="eastAsia" w:hAnsi="Times New Roman"/>
        </w:rPr>
        <w:t>（1）有关法律、法规、规章和标准的规定；</w:t>
      </w:r>
    </w:p>
    <w:p w14:paraId="6FD07EE5">
      <w:pPr>
        <w:ind w:firstLine="640"/>
        <w:rPr>
          <w:rFonts w:hint="eastAsia" w:hAnsi="Times New Roman"/>
        </w:rPr>
      </w:pPr>
      <w:r>
        <w:rPr>
          <w:rFonts w:hint="eastAsia" w:hAnsi="Times New Roman"/>
        </w:rPr>
        <w:t>（2）本单位的安全生产实际情况；</w:t>
      </w:r>
    </w:p>
    <w:p w14:paraId="56315D56">
      <w:pPr>
        <w:ind w:firstLine="640"/>
        <w:rPr>
          <w:rFonts w:hint="eastAsia" w:hAnsi="Times New Roman"/>
        </w:rPr>
      </w:pPr>
      <w:r>
        <w:rPr>
          <w:rFonts w:hint="eastAsia" w:hAnsi="Times New Roman"/>
        </w:rPr>
        <w:t>（3）本单位的危险性分析情况；</w:t>
      </w:r>
    </w:p>
    <w:p w14:paraId="4D0C091A">
      <w:pPr>
        <w:ind w:firstLine="640"/>
        <w:rPr>
          <w:rFonts w:hint="eastAsia" w:hAnsi="Times New Roman"/>
        </w:rPr>
      </w:pPr>
      <w:r>
        <w:rPr>
          <w:rFonts w:hint="eastAsia" w:hAnsi="Times New Roman"/>
        </w:rPr>
        <w:t>（4）应急组织和人员的职责分工明确，并有具体的落实措施；</w:t>
      </w:r>
    </w:p>
    <w:p w14:paraId="3BE9A97D">
      <w:pPr>
        <w:ind w:firstLine="640"/>
        <w:rPr>
          <w:rFonts w:hint="eastAsia" w:hAnsi="Times New Roman"/>
        </w:rPr>
      </w:pPr>
      <w:r>
        <w:rPr>
          <w:rFonts w:hint="eastAsia" w:hAnsi="Times New Roman"/>
        </w:rPr>
        <w:t>（5）有明确、具体的应急程序和处置措施，并与其应急能力相适应；</w:t>
      </w:r>
    </w:p>
    <w:p w14:paraId="61782AA6">
      <w:pPr>
        <w:ind w:firstLine="640"/>
        <w:rPr>
          <w:rFonts w:hint="eastAsia" w:hAnsi="Times New Roman"/>
        </w:rPr>
      </w:pPr>
      <w:r>
        <w:rPr>
          <w:rFonts w:hint="eastAsia" w:hAnsi="Times New Roman"/>
        </w:rPr>
        <w:t>（6）有明确的应急保障措施，满足园区、本单位的应急工作需要；</w:t>
      </w:r>
    </w:p>
    <w:p w14:paraId="15F845DA">
      <w:pPr>
        <w:ind w:firstLine="640"/>
        <w:rPr>
          <w:rFonts w:hint="eastAsia" w:hAnsi="Times New Roman"/>
        </w:rPr>
      </w:pPr>
      <w:r>
        <w:rPr>
          <w:rFonts w:hint="eastAsia" w:hAnsi="Times New Roman"/>
        </w:rPr>
        <w:t>（7）应急预案基本要素齐全、完整，应急预案附件提供的信息准确；</w:t>
      </w:r>
    </w:p>
    <w:p w14:paraId="10D33A6F">
      <w:pPr>
        <w:ind w:firstLine="640"/>
        <w:rPr>
          <w:rFonts w:hint="eastAsia" w:hAnsi="Times New Roman"/>
        </w:rPr>
      </w:pPr>
      <w:r>
        <w:rPr>
          <w:rFonts w:hint="eastAsia" w:hAnsi="Times New Roman"/>
        </w:rPr>
        <w:t>（8）应急预案内容与相关应急预案相互衔接。</w:t>
      </w:r>
    </w:p>
    <w:p w14:paraId="2623C653">
      <w:pPr>
        <w:ind w:firstLine="640"/>
        <w:rPr>
          <w:rFonts w:hint="eastAsia" w:hAnsi="Times New Roman"/>
        </w:rPr>
      </w:pPr>
      <w:r>
        <w:rPr>
          <w:rFonts w:hint="eastAsia" w:hAnsi="Times New Roman"/>
        </w:rPr>
        <w:t>5.编制应急预案应当成立编制工作小组，由本单位有关负责人任组长，吸收与应急预案有关的职能部门和单位的人员，以及有现场处置经验的人员参加。</w:t>
      </w:r>
    </w:p>
    <w:p w14:paraId="6530A362">
      <w:pPr>
        <w:ind w:firstLine="640"/>
        <w:rPr>
          <w:rFonts w:hint="eastAsia" w:hAnsi="Times New Roman"/>
        </w:rPr>
      </w:pPr>
      <w:r>
        <w:rPr>
          <w:rFonts w:hint="eastAsia" w:hAnsi="Times New Roman"/>
        </w:rPr>
        <w:t>6.编制应急预案前，编制单位应当进行事故风险辨识、评估和应急资源调查。</w:t>
      </w:r>
    </w:p>
    <w:p w14:paraId="22B8EDA9">
      <w:pPr>
        <w:ind w:firstLine="640"/>
        <w:rPr>
          <w:rFonts w:ascii="Times New Roman" w:hAnsi="Times New Roman"/>
        </w:rPr>
      </w:pPr>
      <w:r>
        <w:rPr>
          <w:rFonts w:hint="eastAsia" w:hAnsi="Times New Roman"/>
        </w:rPr>
        <w:t>7.化工</w:t>
      </w:r>
      <w:r>
        <w:rPr>
          <w:rFonts w:ascii="Times New Roman" w:hAnsi="Times New Roman"/>
        </w:rPr>
        <w:t>企业应当对本单位编制的应急预案进行评审，并形成书面评审纪要。评审的人员应当包括有关安全生产、应急管理及化工方面的专家。评审人员与所评审应急预案的企业有利害关系的，应当回避。</w:t>
      </w:r>
    </w:p>
    <w:p w14:paraId="7D03EDF9">
      <w:pPr>
        <w:ind w:firstLine="640"/>
        <w:rPr>
          <w:rFonts w:hint="eastAsia" w:hAnsi="Times New Roman"/>
        </w:rPr>
      </w:pPr>
      <w:r>
        <w:rPr>
          <w:rFonts w:hint="eastAsia" w:hAnsi="Times New Roman"/>
        </w:rPr>
        <w:t>8.应急预案的评审或者论证应当注重基本要素的完整性、组织体系的合理性、应急处置程序和措施的针对性、应急保障措施的可行性、应急预案的衔接性等内容。</w:t>
      </w:r>
    </w:p>
    <w:p w14:paraId="472B18A2">
      <w:pPr>
        <w:ind w:firstLine="640"/>
        <w:rPr>
          <w:rFonts w:hint="eastAsia" w:hAnsi="Times New Roman"/>
        </w:rPr>
      </w:pPr>
      <w:r>
        <w:rPr>
          <w:rFonts w:hint="eastAsia" w:hAnsi="Times New Roman"/>
        </w:rPr>
        <w:t>9.生产经营单位的应急预案经评审或者论证后，由本单位主要负责人签署，向本单位从业人员公布，并及时发放到本单位有关部门、岗位和相关应急救援队伍。事故风险可能影响周边其他单位、人员的，生产经营单位应当将有关事故风险的性质、影响范围和应急防范措施告知周边的其他单位和人员。</w:t>
      </w:r>
    </w:p>
    <w:p w14:paraId="7F6E1FE9">
      <w:pPr>
        <w:ind w:firstLine="640"/>
        <w:rPr>
          <w:rFonts w:hint="eastAsia" w:hAnsi="Times New Roman"/>
        </w:rPr>
      </w:pPr>
      <w:r>
        <w:rPr>
          <w:rFonts w:hint="eastAsia" w:hAnsi="Times New Roman"/>
        </w:rPr>
        <w:t>10.企业应当制定本单位的应急预案演练计划，每半年至少组织一次生产安全事故应急预案演练，并将演练情况报送市应急管理局和应急办公室。</w:t>
      </w:r>
    </w:p>
    <w:p w14:paraId="09ABA094">
      <w:pPr>
        <w:ind w:firstLine="640"/>
        <w:rPr>
          <w:rFonts w:hint="eastAsia" w:hAnsi="Times New Roman"/>
        </w:rPr>
      </w:pPr>
      <w:r>
        <w:rPr>
          <w:rFonts w:hint="eastAsia" w:hAnsi="Times New Roman"/>
        </w:rPr>
        <w:t>11.演练前要制定演练进程控制一览表和演练记录表，由专人对演练进程实施情况进行观察，记录演练进度情况和处置实施情况，及时发现演练过程中存在的问题。演练结束后，参加演练的人员应对演练过程进行总结评估，提出演练过程存在的问题，根据演练情况对本部门的应急资源、应急程序和应急能力做出评价，提出改进意见。评估和总结情况要形成记录并及时改进。</w:t>
      </w:r>
    </w:p>
    <w:p w14:paraId="61682222">
      <w:pPr>
        <w:ind w:firstLine="640"/>
        <w:rPr>
          <w:rFonts w:hint="eastAsia" w:hAnsi="Times New Roman"/>
        </w:rPr>
      </w:pPr>
      <w:r>
        <w:rPr>
          <w:rFonts w:hint="eastAsia" w:hAnsi="Times New Roman"/>
        </w:rPr>
        <w:t>12.应急</w:t>
      </w:r>
      <w:r>
        <w:rPr>
          <w:rFonts w:ascii="Times New Roman" w:hAnsi="Times New Roman"/>
        </w:rPr>
        <w:t>预案每三年修订一次，并按照《生产安全事故应急条例》（国务院令第708号）第六条和《生产安全事故应急预案管理办法》（安监总局88号令，应急管理部令第2号修订）第三十</w:t>
      </w:r>
      <w:r>
        <w:rPr>
          <w:rFonts w:hint="eastAsia" w:hAnsi="Times New Roman"/>
        </w:rPr>
        <w:t>六条规定的下列7种情况及时修订预案。</w:t>
      </w:r>
    </w:p>
    <w:p w14:paraId="50818FF2">
      <w:pPr>
        <w:ind w:firstLine="640"/>
        <w:rPr>
          <w:rFonts w:hint="eastAsia" w:hAnsi="Times New Roman"/>
        </w:rPr>
      </w:pPr>
      <w:r>
        <w:rPr>
          <w:rFonts w:hint="eastAsia" w:hAnsi="Times New Roman"/>
        </w:rPr>
        <w:t>（1）依据的法律、法规、规章、标准及上位预案中的有关规定发生重大变化的；</w:t>
      </w:r>
    </w:p>
    <w:p w14:paraId="4E7BABD9">
      <w:pPr>
        <w:ind w:firstLine="640"/>
        <w:rPr>
          <w:rFonts w:hint="eastAsia" w:hAnsi="Times New Roman"/>
        </w:rPr>
      </w:pPr>
      <w:r>
        <w:rPr>
          <w:rFonts w:hint="eastAsia" w:hAnsi="Times New Roman"/>
        </w:rPr>
        <w:t>（2）应急指挥机构及其职责发生调整的；</w:t>
      </w:r>
    </w:p>
    <w:p w14:paraId="24CC6619">
      <w:pPr>
        <w:ind w:firstLine="640"/>
        <w:rPr>
          <w:rFonts w:hint="eastAsia" w:hAnsi="Times New Roman"/>
        </w:rPr>
      </w:pPr>
      <w:r>
        <w:rPr>
          <w:rFonts w:hint="eastAsia" w:hAnsi="Times New Roman"/>
        </w:rPr>
        <w:t>（3）面临的事故风险发生重大变化的；</w:t>
      </w:r>
    </w:p>
    <w:p w14:paraId="6669E3F4">
      <w:pPr>
        <w:ind w:firstLine="640"/>
        <w:rPr>
          <w:rFonts w:hint="eastAsia" w:hAnsi="Times New Roman"/>
        </w:rPr>
      </w:pPr>
      <w:r>
        <w:rPr>
          <w:rFonts w:hint="eastAsia" w:hAnsi="Times New Roman"/>
        </w:rPr>
        <w:t>（4）重要应急资源发生重大变化的；</w:t>
      </w:r>
    </w:p>
    <w:p w14:paraId="0D10C4F6">
      <w:pPr>
        <w:ind w:firstLine="640"/>
        <w:rPr>
          <w:rFonts w:hint="eastAsia" w:hAnsi="Times New Roman"/>
        </w:rPr>
      </w:pPr>
      <w:r>
        <w:rPr>
          <w:rFonts w:hint="eastAsia" w:hAnsi="Times New Roman"/>
        </w:rPr>
        <w:t>（5）预案中的其他重要信息发生变化的；</w:t>
      </w:r>
    </w:p>
    <w:p w14:paraId="607CDB94">
      <w:pPr>
        <w:ind w:firstLine="640"/>
        <w:rPr>
          <w:rFonts w:hint="eastAsia" w:hAnsi="Times New Roman"/>
        </w:rPr>
      </w:pPr>
      <w:r>
        <w:rPr>
          <w:rFonts w:hint="eastAsia" w:hAnsi="Times New Roman"/>
        </w:rPr>
        <w:t>（6）在应急演练和事故应急救援中发现问题需要修订的；</w:t>
      </w:r>
    </w:p>
    <w:p w14:paraId="76DFE65E">
      <w:pPr>
        <w:ind w:firstLine="640"/>
        <w:rPr>
          <w:rFonts w:hint="eastAsia" w:hAnsi="Times New Roman"/>
        </w:rPr>
      </w:pPr>
      <w:r>
        <w:rPr>
          <w:rFonts w:hint="eastAsia" w:hAnsi="Times New Roman"/>
        </w:rPr>
        <w:t>（7）编制单位认为应当修订的其他情况。</w:t>
      </w:r>
    </w:p>
    <w:p w14:paraId="0540B436">
      <w:pPr>
        <w:ind w:firstLine="640"/>
        <w:rPr>
          <w:rFonts w:hint="eastAsia" w:hAnsi="Times New Roman"/>
        </w:rPr>
      </w:pPr>
      <w:r>
        <w:rPr>
          <w:rFonts w:hint="eastAsia" w:hAnsi="Times New Roman"/>
        </w:rPr>
        <w:t>预案修订完成后，及时请专家进行评审，依据专家意见修订完善，进行报备。</w:t>
      </w:r>
    </w:p>
    <w:p w14:paraId="1E78BE88">
      <w:pPr>
        <w:ind w:firstLine="640"/>
        <w:rPr>
          <w:rFonts w:ascii="Times New Roman" w:hAnsi="Times New Roman"/>
        </w:rPr>
      </w:pPr>
      <w:r>
        <w:rPr>
          <w:rFonts w:hint="eastAsia" w:hAnsi="Times New Roman"/>
        </w:rPr>
        <w:t>13.预案编</w:t>
      </w:r>
      <w:r>
        <w:rPr>
          <w:rFonts w:ascii="Times New Roman" w:hAnsi="Times New Roman"/>
        </w:rPr>
        <w:t>制完成后，由主要负责人组织相关部门及人员进行内部评审。修订后由主要负责人组织外部有关机构、专家和人员进行评审。评审合格后，主要负责人签署发布实施，报送</w:t>
      </w:r>
      <w:r>
        <w:rPr>
          <w:rFonts w:hint="eastAsia" w:ascii="Times New Roman" w:hAnsi="Times New Roman"/>
        </w:rPr>
        <w:t>区</w:t>
      </w:r>
      <w:r>
        <w:rPr>
          <w:rFonts w:ascii="Times New Roman" w:hAnsi="Times New Roman"/>
        </w:rPr>
        <w:t>应急管理局备案。</w:t>
      </w:r>
    </w:p>
    <w:p w14:paraId="0D65E468">
      <w:pPr>
        <w:ind w:firstLine="640"/>
        <w:rPr>
          <w:rFonts w:ascii="Times New Roman" w:hAnsi="Times New Roman"/>
        </w:rPr>
      </w:pPr>
    </w:p>
    <w:p w14:paraId="293B7EA5">
      <w:pPr>
        <w:pStyle w:val="3"/>
        <w:ind w:firstLine="640"/>
        <w:jc w:val="left"/>
        <w:rPr>
          <w:rFonts w:ascii="黑体" w:hAnsi="黑体" w:eastAsia="黑体"/>
          <w:b w:val="0"/>
          <w:bCs/>
          <w:sz w:val="32"/>
          <w:szCs w:val="21"/>
        </w:rPr>
      </w:pPr>
      <w:bookmarkStart w:id="69" w:name="_Toc13013"/>
      <w:r>
        <w:rPr>
          <w:rFonts w:hint="eastAsia" w:ascii="黑体" w:hAnsi="黑体" w:eastAsia="黑体"/>
          <w:b w:val="0"/>
          <w:bCs/>
          <w:sz w:val="32"/>
          <w:szCs w:val="21"/>
        </w:rPr>
        <w:t>三十</w:t>
      </w:r>
      <w:r>
        <w:rPr>
          <w:rFonts w:hint="eastAsia" w:ascii="黑体" w:hAnsi="黑体" w:eastAsia="黑体"/>
          <w:b w:val="0"/>
          <w:bCs/>
          <w:sz w:val="32"/>
          <w:szCs w:val="21"/>
          <w:lang w:val="en-US" w:eastAsia="zh-CN"/>
        </w:rPr>
        <w:t>四</w:t>
      </w:r>
      <w:r>
        <w:rPr>
          <w:rFonts w:ascii="黑体" w:hAnsi="黑体" w:eastAsia="黑体"/>
          <w:b w:val="0"/>
          <w:bCs/>
          <w:sz w:val="32"/>
          <w:szCs w:val="21"/>
        </w:rPr>
        <w:t>、园区及企业应急物资保障制度</w:t>
      </w:r>
      <w:bookmarkEnd w:id="69"/>
    </w:p>
    <w:p w14:paraId="604531B5">
      <w:pPr>
        <w:pStyle w:val="4"/>
        <w:ind w:firstLine="643"/>
      </w:pPr>
      <w:r>
        <w:rPr>
          <w:rFonts w:hint="eastAsia"/>
        </w:rPr>
        <w:t>（一）原则</w:t>
      </w:r>
    </w:p>
    <w:p w14:paraId="72BA2C74">
      <w:pPr>
        <w:ind w:firstLine="640"/>
        <w:rPr>
          <w:rFonts w:ascii="Times New Roman" w:hAnsi="Times New Roman"/>
        </w:rPr>
      </w:pPr>
      <w:r>
        <w:rPr>
          <w:rFonts w:ascii="Times New Roman" w:hAnsi="Times New Roman"/>
        </w:rPr>
        <w:t>为加强</w:t>
      </w:r>
      <w:r>
        <w:rPr>
          <w:rFonts w:hint="eastAsia" w:ascii="Times New Roman" w:hAnsi="Times New Roman"/>
        </w:rPr>
        <w:t>青春</w:t>
      </w:r>
      <w:r>
        <w:rPr>
          <w:rFonts w:ascii="Times New Roman" w:hAnsi="Times New Roman"/>
        </w:rPr>
        <w:t>化工工业园区应急物资储备工作，建立健全完备的应急物资储备体系，提高预防和处置突发事件的物资保障能力，根据《中华人民共和国突发事件应对法》《湖北省突发事件应对法》《随州市突发事件总体应急预案》等规定，制定本制度。</w:t>
      </w:r>
    </w:p>
    <w:p w14:paraId="0ED8DF20">
      <w:pPr>
        <w:pStyle w:val="4"/>
        <w:ind w:firstLine="643"/>
      </w:pPr>
      <w:r>
        <w:rPr>
          <w:rFonts w:hint="eastAsia"/>
        </w:rPr>
        <w:t>（二）适用范围</w:t>
      </w:r>
    </w:p>
    <w:p w14:paraId="58502069">
      <w:pPr>
        <w:ind w:firstLine="640"/>
        <w:rPr>
          <w:rFonts w:ascii="Times New Roman" w:hAnsi="Times New Roman"/>
        </w:rPr>
      </w:pPr>
      <w:r>
        <w:rPr>
          <w:rFonts w:ascii="Times New Roman" w:hAnsi="Times New Roman"/>
        </w:rPr>
        <w:t>本制度适用于随州市青春化工工业园范围内应对和处置自然灾害、事故灾难、公共卫生事件和社会安全事件等突发事件的各类应急物资储备。</w:t>
      </w:r>
    </w:p>
    <w:p w14:paraId="07A6F530">
      <w:pPr>
        <w:pStyle w:val="4"/>
        <w:ind w:firstLine="643"/>
      </w:pPr>
      <w:r>
        <w:rPr>
          <w:rFonts w:hint="eastAsia" w:ascii="楷体_GB2312" w:hAnsi="楷体_GB2312" w:cs="楷体_GB2312"/>
          <w:bCs/>
        </w:rPr>
        <w:t>（三）</w:t>
      </w:r>
      <w:r>
        <w:t>应急物资储备和调用管理基本原则</w:t>
      </w:r>
    </w:p>
    <w:p w14:paraId="12EE9ABF">
      <w:pPr>
        <w:ind w:firstLine="640"/>
        <w:rPr>
          <w:rFonts w:hint="eastAsia" w:hAnsi="Times New Roman"/>
        </w:rPr>
      </w:pPr>
      <w:r>
        <w:rPr>
          <w:rFonts w:hint="eastAsia" w:hAnsi="Times New Roman"/>
        </w:rPr>
        <w:t>1.以人为本、维护稳定。以保障人民群众的生命财产安全和维护稳定为宗旨，通过建立健全应对突发事件的应急物资保障机制，确保突发事件发生后物资准备充足，及时到位。</w:t>
      </w:r>
    </w:p>
    <w:p w14:paraId="566CE94D">
      <w:pPr>
        <w:ind w:firstLine="640"/>
        <w:rPr>
          <w:rFonts w:hint="eastAsia" w:hAnsi="Times New Roman"/>
        </w:rPr>
      </w:pPr>
      <w:r>
        <w:rPr>
          <w:rFonts w:hint="eastAsia" w:hAnsi="Times New Roman"/>
        </w:rPr>
        <w:t>2.统筹协调、突出重点。应急物资储备要统筹规划，统一调配，资源共享。要紧密结合园区实际，针对常发的、影响大的灾种确定物资储备的种类，先急后缓，保证重点。</w:t>
      </w:r>
    </w:p>
    <w:p w14:paraId="6D11A519">
      <w:pPr>
        <w:ind w:firstLine="640"/>
        <w:rPr>
          <w:rFonts w:hint="eastAsia" w:hAnsi="Times New Roman"/>
        </w:rPr>
      </w:pPr>
      <w:r>
        <w:rPr>
          <w:rFonts w:hint="eastAsia" w:hAnsi="Times New Roman"/>
        </w:rPr>
        <w:t>3.明确责任、各负其责。园区办、应急管理、消防救援大队（园区消防救援站）、各专业应急机构和各类突发事件应急主责部门负责储备处置突发事件所需的应急救援物资和装备。各企业分别负责本单位的应急物资储备。</w:t>
      </w:r>
    </w:p>
    <w:p w14:paraId="04299E5B">
      <w:pPr>
        <w:ind w:firstLine="640"/>
        <w:rPr>
          <w:rFonts w:ascii="Times New Roman" w:hAnsi="Times New Roman"/>
        </w:rPr>
      </w:pPr>
      <w:r>
        <w:rPr>
          <w:rFonts w:hint="eastAsia" w:hAnsi="Times New Roman"/>
        </w:rPr>
        <w:t>4.拓展形式、节约实效原则。充分发挥社会力量，利用市场资源，积极</w:t>
      </w:r>
      <w:r>
        <w:rPr>
          <w:rFonts w:ascii="Times New Roman" w:hAnsi="Times New Roman"/>
        </w:rPr>
        <w:t>探索政府储备与企业储备相结合、实物储备和生产能力储备相结合等多样化的应急物资储备方式。充分发挥投入资金的放大效应，提高资金的使用效能。</w:t>
      </w:r>
    </w:p>
    <w:p w14:paraId="68A14308">
      <w:pPr>
        <w:pStyle w:val="4"/>
        <w:ind w:firstLine="643"/>
      </w:pPr>
      <w:r>
        <w:rPr>
          <w:rFonts w:hint="eastAsia" w:ascii="楷体_GB2312" w:hAnsi="楷体_GB2312" w:cs="楷体_GB2312"/>
          <w:bCs/>
        </w:rPr>
        <w:t>（四）</w:t>
      </w:r>
      <w:r>
        <w:rPr>
          <w:rFonts w:hint="eastAsia"/>
        </w:rPr>
        <w:t>应急物资储备管理职责</w:t>
      </w:r>
    </w:p>
    <w:p w14:paraId="099B97E3">
      <w:pPr>
        <w:ind w:firstLine="643"/>
        <w:rPr>
          <w:rFonts w:ascii="Times New Roman" w:hAnsi="Times New Roman"/>
        </w:rPr>
      </w:pPr>
      <w:r>
        <w:rPr>
          <w:rFonts w:ascii="Times New Roman" w:hAnsi="Times New Roman"/>
          <w:b/>
          <w:bCs/>
        </w:rPr>
        <w:t>化工园</w:t>
      </w:r>
      <w:r>
        <w:rPr>
          <w:rFonts w:hint="eastAsia" w:ascii="Times New Roman" w:hAnsi="Times New Roman"/>
          <w:b/>
          <w:bCs/>
        </w:rPr>
        <w:t>区</w:t>
      </w:r>
      <w:r>
        <w:rPr>
          <w:rFonts w:ascii="Times New Roman" w:hAnsi="Times New Roman"/>
          <w:b/>
          <w:bCs/>
        </w:rPr>
        <w:t>办：</w:t>
      </w:r>
      <w:r>
        <w:rPr>
          <w:rFonts w:ascii="Times New Roman" w:hAnsi="Times New Roman"/>
        </w:rPr>
        <w:t>负责申报园区公共应急物资资金预算，制定园区公共应急物资储备种类、数量计划，组织落实应急物资储备及管理工作。掌握园区所有应急物资状态，并及时、准确提供应急物资储备动态。</w:t>
      </w:r>
    </w:p>
    <w:p w14:paraId="10C38051">
      <w:pPr>
        <w:ind w:firstLine="643"/>
        <w:rPr>
          <w:rFonts w:ascii="Times New Roman" w:hAnsi="Times New Roman"/>
        </w:rPr>
      </w:pPr>
      <w:r>
        <w:rPr>
          <w:rFonts w:hint="eastAsia" w:ascii="Times New Roman" w:hAnsi="Times New Roman"/>
          <w:b/>
          <w:bCs/>
        </w:rPr>
        <w:t>区应急管理局：</w:t>
      </w:r>
      <w:r>
        <w:rPr>
          <w:rFonts w:hint="eastAsia" w:ascii="Times New Roman" w:hAnsi="Times New Roman"/>
        </w:rPr>
        <w:t>根据园区内化工产业结构特点，以及易发的、影响大的突发生产安全事故灾难的种类和特点，指导、审核园区公共应急储备物资、各企业应急储备物资等情况，并委托消防队对一些主要应急救援工具、设备、器材等物资实行定点储备管理。掌握园区所有应急物资状态，并及时、准确提供应急物资储备动态。</w:t>
      </w:r>
    </w:p>
    <w:p w14:paraId="2EB2E64C">
      <w:pPr>
        <w:ind w:firstLine="643"/>
      </w:pPr>
      <w:r>
        <w:rPr>
          <w:rFonts w:hint="eastAsia" w:ascii="Times New Roman" w:hAnsi="Times New Roman"/>
          <w:b/>
          <w:bCs/>
        </w:rPr>
        <w:t>区消防大队、园区专兼职应急救援队：</w:t>
      </w:r>
      <w:r>
        <w:rPr>
          <w:rFonts w:hint="eastAsia"/>
        </w:rPr>
        <w:t>根据职责要求和本行业领域应急物资的实际需要，建立本单位应急物资库，储备足够的应急物资，并保持良好状态。</w:t>
      </w:r>
    </w:p>
    <w:p w14:paraId="443D6B49">
      <w:pPr>
        <w:ind w:firstLine="643"/>
        <w:rPr>
          <w:rFonts w:ascii="Times New Roman" w:hAnsi="Times New Roman"/>
        </w:rPr>
      </w:pPr>
      <w:r>
        <w:rPr>
          <w:rFonts w:hint="eastAsia" w:ascii="Times New Roman" w:hAnsi="Times New Roman"/>
          <w:b/>
          <w:bCs/>
        </w:rPr>
        <w:t>区经发局</w:t>
      </w:r>
      <w:r>
        <w:rPr>
          <w:rFonts w:ascii="Times New Roman" w:hAnsi="Times New Roman"/>
          <w:b/>
          <w:bCs/>
        </w:rPr>
        <w:t>：</w:t>
      </w:r>
      <w:r>
        <w:rPr>
          <w:rFonts w:ascii="Times New Roman" w:hAnsi="Times New Roman"/>
        </w:rPr>
        <w:t>负责饮用水、粮食、食盐、成品油、燃气等与人民群众生活相关的重要物资储备。</w:t>
      </w:r>
    </w:p>
    <w:p w14:paraId="7DCF54DD">
      <w:pPr>
        <w:ind w:firstLine="643"/>
        <w:rPr>
          <w:rFonts w:ascii="Times New Roman" w:hAnsi="Times New Roman"/>
        </w:rPr>
      </w:pPr>
      <w:r>
        <w:rPr>
          <w:rFonts w:hint="eastAsia" w:ascii="Times New Roman" w:hAnsi="Times New Roman"/>
          <w:b/>
          <w:bCs/>
        </w:rPr>
        <w:t>区建设局</w:t>
      </w:r>
      <w:r>
        <w:rPr>
          <w:rFonts w:ascii="Times New Roman" w:hAnsi="Times New Roman"/>
          <w:b/>
          <w:bCs/>
        </w:rPr>
        <w:t>：</w:t>
      </w:r>
      <w:r>
        <w:rPr>
          <w:rFonts w:ascii="Times New Roman" w:hAnsi="Times New Roman"/>
        </w:rPr>
        <w:t>负责救援、救灾所需的建筑材料及工程机械储备。</w:t>
      </w:r>
    </w:p>
    <w:p w14:paraId="01190E05">
      <w:pPr>
        <w:ind w:firstLine="643"/>
        <w:rPr>
          <w:rFonts w:ascii="Times New Roman" w:hAnsi="Times New Roman"/>
        </w:rPr>
      </w:pPr>
      <w:r>
        <w:rPr>
          <w:rFonts w:hint="eastAsia" w:ascii="Times New Roman" w:hAnsi="Times New Roman"/>
          <w:b/>
          <w:bCs/>
        </w:rPr>
        <w:t>城东工作局</w:t>
      </w:r>
      <w:r>
        <w:rPr>
          <w:rFonts w:ascii="Times New Roman" w:hAnsi="Times New Roman"/>
          <w:b/>
          <w:bCs/>
        </w:rPr>
        <w:t>：</w:t>
      </w:r>
      <w:r>
        <w:rPr>
          <w:rFonts w:hint="eastAsia" w:ascii="Times New Roman" w:hAnsi="Times New Roman"/>
        </w:rPr>
        <w:t>联系对接交通部门</w:t>
      </w:r>
      <w:r>
        <w:rPr>
          <w:rFonts w:ascii="Times New Roman" w:hAnsi="Times New Roman"/>
        </w:rPr>
        <w:t>落实相关职责</w:t>
      </w:r>
      <w:r>
        <w:rPr>
          <w:rFonts w:hint="eastAsia" w:ascii="Times New Roman" w:hAnsi="Times New Roman"/>
        </w:rPr>
        <w:t>，</w:t>
      </w:r>
      <w:r>
        <w:rPr>
          <w:rFonts w:ascii="Times New Roman" w:hAnsi="Times New Roman"/>
        </w:rPr>
        <w:t>负责雨雪冰冻天气等极端天气下道路交通运输，市政设施的抢修、城市内涝抢险应急物资的储备。</w:t>
      </w:r>
    </w:p>
    <w:p w14:paraId="4BFF6C73">
      <w:pPr>
        <w:ind w:firstLine="643"/>
        <w:rPr>
          <w:rFonts w:ascii="Times New Roman" w:hAnsi="Times New Roman"/>
        </w:rPr>
      </w:pPr>
      <w:r>
        <w:rPr>
          <w:rFonts w:hint="eastAsia" w:ascii="Times New Roman" w:hAnsi="Times New Roman"/>
          <w:b/>
          <w:bCs/>
        </w:rPr>
        <w:t>区财政金融局</w:t>
      </w:r>
      <w:r>
        <w:rPr>
          <w:rFonts w:ascii="Times New Roman" w:hAnsi="Times New Roman"/>
          <w:b/>
          <w:bCs/>
        </w:rPr>
        <w:t>：</w:t>
      </w:r>
      <w:r>
        <w:rPr>
          <w:rFonts w:ascii="Times New Roman" w:hAnsi="Times New Roman"/>
        </w:rPr>
        <w:t>负责全区突发事件应急物资储备资金的</w:t>
      </w:r>
      <w:r>
        <w:rPr>
          <w:rFonts w:hint="eastAsia" w:ascii="Times New Roman" w:hAnsi="Times New Roman"/>
        </w:rPr>
        <w:t>预算</w:t>
      </w:r>
      <w:r>
        <w:rPr>
          <w:rFonts w:ascii="Times New Roman" w:hAnsi="Times New Roman"/>
        </w:rPr>
        <w:t>安排、</w:t>
      </w:r>
      <w:r>
        <w:rPr>
          <w:rFonts w:hint="eastAsia" w:ascii="Times New Roman" w:hAnsi="Times New Roman"/>
        </w:rPr>
        <w:t>资金</w:t>
      </w:r>
      <w:r>
        <w:rPr>
          <w:rFonts w:ascii="Times New Roman" w:hAnsi="Times New Roman"/>
        </w:rPr>
        <w:t>拨付。</w:t>
      </w:r>
    </w:p>
    <w:p w14:paraId="3AE893DF">
      <w:pPr>
        <w:ind w:firstLine="643"/>
        <w:rPr>
          <w:rFonts w:ascii="Times New Roman" w:hAnsi="Times New Roman"/>
        </w:rPr>
      </w:pPr>
      <w:r>
        <w:rPr>
          <w:rFonts w:hint="eastAsia" w:ascii="Times New Roman" w:hAnsi="Times New Roman"/>
          <w:b/>
          <w:bCs/>
        </w:rPr>
        <w:t>区综合执法中心</w:t>
      </w:r>
      <w:r>
        <w:rPr>
          <w:rFonts w:ascii="Times New Roman" w:hAnsi="Times New Roman"/>
          <w:b/>
          <w:bCs/>
        </w:rPr>
        <w:t>：</w:t>
      </w:r>
      <w:r>
        <w:rPr>
          <w:rFonts w:ascii="Times New Roman" w:hAnsi="Times New Roman"/>
        </w:rPr>
        <w:t>负责市政设施的抢修、城市内涝抢险应急物资储备。</w:t>
      </w:r>
    </w:p>
    <w:p w14:paraId="749A98F9">
      <w:pPr>
        <w:ind w:firstLine="643"/>
        <w:rPr>
          <w:rFonts w:ascii="Times New Roman" w:hAnsi="Times New Roman"/>
        </w:rPr>
      </w:pPr>
      <w:r>
        <w:rPr>
          <w:rFonts w:hint="eastAsia" w:ascii="Times New Roman" w:hAnsi="Times New Roman"/>
          <w:b/>
          <w:bCs/>
        </w:rPr>
        <w:t>区社会事务局</w:t>
      </w:r>
      <w:r>
        <w:rPr>
          <w:rFonts w:ascii="Times New Roman" w:hAnsi="Times New Roman"/>
          <w:b/>
          <w:bCs/>
        </w:rPr>
        <w:t>：</w:t>
      </w:r>
      <w:r>
        <w:rPr>
          <w:rFonts w:ascii="Times New Roman" w:hAnsi="Times New Roman"/>
        </w:rPr>
        <w:t>负责</w:t>
      </w:r>
      <w:r>
        <w:rPr>
          <w:rFonts w:hint="eastAsia" w:ascii="Times New Roman" w:hAnsi="Times New Roman"/>
        </w:rPr>
        <w:t>联系对接园区救护站及曾都区中医医院，</w:t>
      </w:r>
      <w:r>
        <w:rPr>
          <w:rFonts w:ascii="Times New Roman" w:hAnsi="Times New Roman"/>
        </w:rPr>
        <w:t>储备各类应急药品、救护设备、疫苗及相关防护物资。</w:t>
      </w:r>
    </w:p>
    <w:p w14:paraId="198F0737">
      <w:pPr>
        <w:ind w:firstLine="643"/>
        <w:rPr>
          <w:rFonts w:ascii="Times New Roman" w:hAnsi="Times New Roman"/>
        </w:rPr>
      </w:pPr>
      <w:r>
        <w:rPr>
          <w:rFonts w:ascii="Times New Roman" w:hAnsi="Times New Roman"/>
          <w:b/>
          <w:bCs/>
        </w:rPr>
        <w:t>淅河派出所：</w:t>
      </w:r>
      <w:r>
        <w:rPr>
          <w:rFonts w:ascii="Times New Roman" w:hAnsi="Times New Roman"/>
        </w:rPr>
        <w:t>负责反恐、防爆等应急物资储备。</w:t>
      </w:r>
    </w:p>
    <w:p w14:paraId="6AE72443">
      <w:pPr>
        <w:ind w:firstLine="643"/>
        <w:rPr>
          <w:rFonts w:hint="eastAsia"/>
        </w:rPr>
      </w:pPr>
      <w:r>
        <w:rPr>
          <w:rFonts w:hint="eastAsia"/>
          <w:b/>
          <w:bCs/>
        </w:rPr>
        <w:t>园区企业：</w:t>
      </w:r>
      <w:r>
        <w:t>园区高危重点骨干企业应依据国家和行业有关标准规定，切实加强应急救援队伍建设，根据企业实际，建立本单位应急物资库，储备足够的应急物资，并保持良好状态。其他企业，应根据企业自身实际需要，配备应有的应急物资，并保持良好状态。</w:t>
      </w:r>
    </w:p>
    <w:p w14:paraId="27D6479F">
      <w:pPr>
        <w:pStyle w:val="4"/>
        <w:ind w:firstLine="643"/>
        <w:rPr>
          <w:rFonts w:ascii="Times New Roman" w:hAnsi="Times New Roman"/>
        </w:rPr>
      </w:pPr>
      <w:r>
        <w:rPr>
          <w:rFonts w:hint="eastAsia" w:ascii="楷体_GB2312" w:hAnsi="楷体_GB2312" w:cs="楷体_GB2312"/>
          <w:bCs/>
        </w:rPr>
        <w:t>（五）</w:t>
      </w:r>
      <w:r>
        <w:t>应急物资储备库符合条件</w:t>
      </w:r>
    </w:p>
    <w:p w14:paraId="72AA6AFF">
      <w:pPr>
        <w:ind w:firstLine="640"/>
        <w:rPr>
          <w:rFonts w:hint="eastAsia"/>
        </w:rPr>
      </w:pPr>
      <w:r>
        <w:rPr>
          <w:rFonts w:hint="eastAsia"/>
        </w:rPr>
        <w:t>1.</w:t>
      </w:r>
      <w:r>
        <w:t>制定应急物资储备库管理制度，指定专人管理，负责储备应急物资的采购、检查、更新、维护保养、报废工作；</w:t>
      </w:r>
    </w:p>
    <w:p w14:paraId="3BB1B8AC">
      <w:pPr>
        <w:ind w:firstLine="640"/>
        <w:rPr>
          <w:rFonts w:hint="eastAsia"/>
        </w:rPr>
      </w:pPr>
      <w:r>
        <w:rPr>
          <w:rFonts w:hint="eastAsia"/>
        </w:rPr>
        <w:t>2.</w:t>
      </w:r>
      <w:r>
        <w:t>加强储备库规范化建设，设置标准货物架（台），建立应急物资管理台账，实施动态管理，以便在应对突发生产安全事故灾难时，能够及时、准确调用各类应急物资；</w:t>
      </w:r>
    </w:p>
    <w:p w14:paraId="64231C9A">
      <w:pPr>
        <w:ind w:firstLine="640"/>
        <w:rPr>
          <w:rFonts w:hint="eastAsia"/>
        </w:rPr>
      </w:pPr>
      <w:r>
        <w:rPr>
          <w:rFonts w:hint="eastAsia"/>
        </w:rPr>
        <w:t>3.</w:t>
      </w:r>
      <w:r>
        <w:t>应急物资储备库悬挂统一的标识牌；</w:t>
      </w:r>
    </w:p>
    <w:p w14:paraId="0A6156AE">
      <w:pPr>
        <w:ind w:firstLine="640"/>
        <w:rPr>
          <w:rFonts w:hint="eastAsia"/>
        </w:rPr>
      </w:pPr>
      <w:r>
        <w:rPr>
          <w:rFonts w:hint="eastAsia"/>
        </w:rPr>
        <w:t>4.</w:t>
      </w:r>
      <w:r>
        <w:t>每年向</w:t>
      </w:r>
      <w:r>
        <w:rPr>
          <w:rFonts w:hint="eastAsia"/>
        </w:rPr>
        <w:t>高新区</w:t>
      </w:r>
      <w:r>
        <w:t>管委会及上级行业主管部门报告应急物资调用和库存等台账情况；</w:t>
      </w:r>
    </w:p>
    <w:p w14:paraId="229A6F3D">
      <w:pPr>
        <w:ind w:firstLine="640"/>
        <w:rPr>
          <w:rFonts w:ascii="Times New Roman" w:hAnsi="Times New Roman"/>
        </w:rPr>
      </w:pPr>
      <w:r>
        <w:rPr>
          <w:rFonts w:hint="eastAsia"/>
        </w:rPr>
        <w:t>5.</w:t>
      </w:r>
      <w:r>
        <w:t>严格执行调度命令，负责应急物资的紧急调运工作。</w:t>
      </w:r>
    </w:p>
    <w:p w14:paraId="40F49402">
      <w:pPr>
        <w:pStyle w:val="4"/>
        <w:ind w:firstLine="643"/>
      </w:pPr>
      <w:r>
        <w:rPr>
          <w:rFonts w:hint="eastAsia"/>
        </w:rPr>
        <w:t>（六）应急物资调配</w:t>
      </w:r>
    </w:p>
    <w:p w14:paraId="76720A96">
      <w:pPr>
        <w:ind w:firstLine="640"/>
        <w:rPr>
          <w:rFonts w:hint="eastAsia"/>
        </w:rPr>
      </w:pPr>
      <w:r>
        <w:rPr>
          <w:rFonts w:hint="eastAsia"/>
        </w:rPr>
        <w:t>1.</w:t>
      </w:r>
      <w:r>
        <w:t>发生生产安全事故灾难后，应急物资由园区事故应急救援指挥部进行协调调配，需跨单位调用应急物资时，由</w:t>
      </w:r>
      <w:r>
        <w:rPr>
          <w:rFonts w:hint="eastAsia"/>
        </w:rPr>
        <w:t>园区办</w:t>
      </w:r>
      <w:r>
        <w:t>协调调配。</w:t>
      </w:r>
    </w:p>
    <w:p w14:paraId="3073C33D">
      <w:pPr>
        <w:ind w:firstLine="640"/>
        <w:rPr>
          <w:rFonts w:hint="eastAsia"/>
        </w:rPr>
      </w:pPr>
      <w:r>
        <w:rPr>
          <w:rFonts w:hint="eastAsia"/>
        </w:rPr>
        <w:t>2.</w:t>
      </w:r>
      <w:r>
        <w:t>生产经营单位发生生产安全事故灾难需从外部调用应急物资支援时，由现场救援队伍向应急指挥部提出申请，经批准同意后，应急指挥部发出调度命令，接到调令的应急物资储备单位负责实施。</w:t>
      </w:r>
    </w:p>
    <w:p w14:paraId="34D8CB22">
      <w:pPr>
        <w:ind w:firstLine="640"/>
        <w:rPr>
          <w:rFonts w:hint="eastAsia"/>
        </w:rPr>
      </w:pPr>
      <w:r>
        <w:rPr>
          <w:rFonts w:hint="eastAsia"/>
        </w:rPr>
        <w:t>3.</w:t>
      </w:r>
      <w:r>
        <w:t>应急物资调用根据“先近后远、先主后次、满足急需”的原则进行。在应急物资不足的紧急情况下，征得应急指挥部同意后，可实行“先征用，后结算”的办法。</w:t>
      </w:r>
    </w:p>
    <w:p w14:paraId="478B77E6">
      <w:pPr>
        <w:ind w:firstLine="640"/>
        <w:rPr>
          <w:rFonts w:hint="eastAsia"/>
        </w:rPr>
      </w:pPr>
      <w:r>
        <w:rPr>
          <w:rFonts w:hint="eastAsia"/>
        </w:rPr>
        <w:t>4.申请调用应急物资时，申请单位要出具书面申请，内容包括:申请调用理由、物资名称、规格型号、数量、运往地点、时间要求等。接到调运指令后，应急物资储备单位应迅速组织力量，在指定时间内将应急储备物资运送到指定的事故现场。</w:t>
      </w:r>
    </w:p>
    <w:p w14:paraId="7A5CB49B">
      <w:pPr>
        <w:ind w:firstLine="640"/>
        <w:rPr>
          <w:rFonts w:hint="eastAsia"/>
        </w:rPr>
      </w:pPr>
      <w:r>
        <w:rPr>
          <w:rFonts w:hint="eastAsia"/>
        </w:rPr>
        <w:t>5.应急物资运送到位后由申请单位指定专人接收，做好发放记录。应急救援结束后，申请单位负责调用应急物资的收缴、登记、检查、整理、移交工作。应急物资储备单位对返还物资进行清点验收，确定损耗并做好记录，由交接双方人员签字确认。</w:t>
      </w:r>
    </w:p>
    <w:p w14:paraId="61D287DF">
      <w:pPr>
        <w:ind w:firstLine="640"/>
        <w:rPr>
          <w:rFonts w:hint="eastAsia"/>
        </w:rPr>
      </w:pPr>
      <w:r>
        <w:rPr>
          <w:rFonts w:hint="eastAsia" w:hAnsi="楷体_GB2312" w:cs="楷体_GB2312"/>
        </w:rPr>
        <w:t>6.</w:t>
      </w:r>
      <w:r>
        <w:rPr>
          <w:rFonts w:hint="eastAsia"/>
        </w:rPr>
        <w:t>应急物资实行有偿使用，谁使用、谁负责的原则。</w:t>
      </w:r>
    </w:p>
    <w:p w14:paraId="5F240AFC">
      <w:pPr>
        <w:ind w:firstLine="640"/>
        <w:rPr>
          <w:rFonts w:hint="eastAsia"/>
        </w:rPr>
      </w:pPr>
      <w:r>
        <w:rPr>
          <w:rFonts w:hint="eastAsia" w:hAnsi="楷体_GB2312" w:cs="楷体_GB2312"/>
        </w:rPr>
        <w:t>7.</w:t>
      </w:r>
      <w:r>
        <w:rPr>
          <w:rFonts w:hint="eastAsia"/>
        </w:rPr>
        <w:t>当应急物资被用于事故应急救援处置后，储备单位应及时将消耗的应急物</w:t>
      </w:r>
      <w:r>
        <w:t>资的品种和数量信息录入台账，结合库存应急物资库存情况，研究制定补充应急物资储备的种类和数量计划，按照采购程序，及时补充或增加储备。</w:t>
      </w:r>
    </w:p>
    <w:p w14:paraId="4600A429">
      <w:pPr>
        <w:pStyle w:val="4"/>
        <w:ind w:firstLine="643"/>
      </w:pPr>
      <w:r>
        <w:rPr>
          <w:rFonts w:hint="eastAsia"/>
        </w:rPr>
        <w:t>（七）应急物资管理</w:t>
      </w:r>
    </w:p>
    <w:p w14:paraId="0C2A2A82">
      <w:pPr>
        <w:ind w:firstLine="640"/>
        <w:rPr>
          <w:rFonts w:hint="eastAsia"/>
        </w:rPr>
      </w:pPr>
      <w:r>
        <w:t>各储备单位应及时掌握已采购应急物资的有效期。对临近或过期的应急物资，应根据实际情况及时处置、更换、补充。</w:t>
      </w:r>
      <w:r>
        <w:rPr>
          <w:rFonts w:hint="eastAsia"/>
        </w:rPr>
        <w:t>每月至少进行1次维护保养。</w:t>
      </w:r>
    </w:p>
    <w:p w14:paraId="478FC7A2">
      <w:pPr>
        <w:ind w:firstLine="640"/>
        <w:rPr>
          <w:rFonts w:ascii="Times New Roman" w:hAnsi="Times New Roman"/>
        </w:rPr>
      </w:pPr>
    </w:p>
    <w:p w14:paraId="77971046">
      <w:pPr>
        <w:pStyle w:val="3"/>
        <w:ind w:firstLine="640"/>
        <w:jc w:val="left"/>
        <w:rPr>
          <w:rFonts w:ascii="黑体" w:hAnsi="黑体" w:eastAsia="黑体"/>
          <w:b w:val="0"/>
          <w:bCs/>
          <w:sz w:val="32"/>
          <w:szCs w:val="32"/>
        </w:rPr>
      </w:pPr>
      <w:bookmarkStart w:id="70" w:name="_Toc14106"/>
      <w:r>
        <w:rPr>
          <w:rFonts w:hint="eastAsia" w:ascii="黑体" w:hAnsi="黑体" w:eastAsia="黑体"/>
          <w:b w:val="0"/>
          <w:bCs/>
          <w:sz w:val="32"/>
          <w:szCs w:val="32"/>
        </w:rPr>
        <w:t>三十</w:t>
      </w:r>
      <w:r>
        <w:rPr>
          <w:rFonts w:hint="eastAsia" w:ascii="黑体" w:hAnsi="黑体" w:eastAsia="黑体"/>
          <w:b w:val="0"/>
          <w:bCs/>
          <w:sz w:val="32"/>
          <w:szCs w:val="32"/>
          <w:lang w:val="en-US" w:eastAsia="zh-CN"/>
        </w:rPr>
        <w:t>五</w:t>
      </w:r>
      <w:r>
        <w:rPr>
          <w:rFonts w:ascii="黑体" w:hAnsi="黑体" w:eastAsia="黑体"/>
          <w:b w:val="0"/>
          <w:bCs/>
          <w:sz w:val="32"/>
          <w:szCs w:val="32"/>
        </w:rPr>
        <w:t>、园区</w:t>
      </w:r>
      <w:r>
        <w:rPr>
          <w:rFonts w:hint="eastAsia" w:ascii="黑体" w:hAnsi="黑体" w:eastAsia="黑体"/>
          <w:b w:val="0"/>
          <w:bCs/>
          <w:color w:val="000000"/>
          <w:sz w:val="32"/>
          <w:szCs w:val="32"/>
        </w:rPr>
        <w:t>消防取水码头</w:t>
      </w:r>
      <w:bookmarkStart w:id="71" w:name="_bookmark35"/>
      <w:bookmarkEnd w:id="71"/>
      <w:bookmarkStart w:id="72" w:name="管理制度"/>
      <w:bookmarkEnd w:id="72"/>
      <w:r>
        <w:rPr>
          <w:rFonts w:hint="eastAsia" w:ascii="黑体" w:hAnsi="黑体" w:eastAsia="黑体"/>
          <w:b w:val="0"/>
          <w:bCs/>
          <w:color w:val="000000"/>
          <w:sz w:val="32"/>
          <w:szCs w:val="32"/>
        </w:rPr>
        <w:t>管理制度</w:t>
      </w:r>
      <w:bookmarkEnd w:id="70"/>
    </w:p>
    <w:p w14:paraId="60999D4F">
      <w:pPr>
        <w:ind w:firstLine="643"/>
        <w:rPr>
          <w:rFonts w:ascii="Times New Roman" w:hAnsi="Times New Roman"/>
        </w:rPr>
      </w:pPr>
      <w:r>
        <w:rPr>
          <w:rFonts w:hint="eastAsia" w:ascii="楷体_GB2312" w:hAnsi="楷体_GB2312" w:eastAsia="楷体_GB2312" w:cs="楷体_GB2312"/>
          <w:b/>
          <w:bCs/>
        </w:rPr>
        <w:t>（一）</w:t>
      </w:r>
      <w:r>
        <w:rPr>
          <w:rFonts w:ascii="Times New Roman" w:hAnsi="Times New Roman"/>
        </w:rPr>
        <w:t>为了加强消防水源管理，确保扑救火灾和抢险救援用水，保障人身财产和公共安全，根据《中华人民共和国消防法》等有关法律、法规，结合随州市青春化工工业园实际，制定本规定。</w:t>
      </w:r>
    </w:p>
    <w:p w14:paraId="54FB3BD7">
      <w:pPr>
        <w:ind w:firstLine="643"/>
        <w:rPr>
          <w:rFonts w:ascii="Times New Roman" w:hAnsi="Times New Roman"/>
        </w:rPr>
      </w:pPr>
      <w:r>
        <w:rPr>
          <w:rFonts w:hint="eastAsia" w:ascii="楷体_GB2312" w:hAnsi="楷体_GB2312" w:eastAsia="楷体_GB2312" w:cs="楷体_GB2312"/>
          <w:b/>
          <w:bCs/>
        </w:rPr>
        <w:t>（二）</w:t>
      </w:r>
      <w:r>
        <w:rPr>
          <w:rFonts w:ascii="Times New Roman" w:hAnsi="Times New Roman"/>
        </w:rPr>
        <w:t>化工工业园区消防取水码头的规划、建设、维护、使用以及相关监督管理活动，适用本规定。</w:t>
      </w:r>
    </w:p>
    <w:p w14:paraId="48304C72">
      <w:pPr>
        <w:ind w:firstLine="643"/>
        <w:rPr>
          <w:rFonts w:ascii="Times New Roman" w:hAnsi="Times New Roman"/>
        </w:rPr>
      </w:pPr>
      <w:r>
        <w:rPr>
          <w:rFonts w:hint="eastAsia" w:ascii="楷体_GB2312" w:hAnsi="楷体_GB2312" w:eastAsia="楷体_GB2312" w:cs="楷体_GB2312"/>
          <w:b/>
          <w:bCs/>
        </w:rPr>
        <w:t>（三）</w:t>
      </w:r>
      <w:r>
        <w:rPr>
          <w:rFonts w:hint="eastAsia" w:ascii="Times New Roman" w:hAnsi="Times New Roman"/>
        </w:rPr>
        <w:t>园区办</w:t>
      </w:r>
      <w:r>
        <w:rPr>
          <w:rFonts w:ascii="Times New Roman" w:hAnsi="Times New Roman"/>
        </w:rPr>
        <w:t>应当加强对园区消防取水码头的管理工作，建立消防取水码头管理协调机制。</w:t>
      </w:r>
    </w:p>
    <w:p w14:paraId="6F32298B">
      <w:pPr>
        <w:ind w:firstLine="643"/>
        <w:rPr>
          <w:rFonts w:ascii="Times New Roman" w:hAnsi="Times New Roman"/>
        </w:rPr>
      </w:pPr>
      <w:r>
        <w:rPr>
          <w:rFonts w:hint="eastAsia" w:ascii="楷体_GB2312" w:hAnsi="楷体_GB2312" w:eastAsia="楷体_GB2312" w:cs="楷体_GB2312"/>
          <w:b/>
          <w:bCs/>
        </w:rPr>
        <w:t>（四）</w:t>
      </w:r>
      <w:r>
        <w:rPr>
          <w:rFonts w:hint="eastAsia" w:ascii="Times New Roman" w:hAnsi="Times New Roman"/>
        </w:rPr>
        <w:t>区</w:t>
      </w:r>
      <w:r>
        <w:rPr>
          <w:rFonts w:ascii="Times New Roman" w:hAnsi="Times New Roman"/>
        </w:rPr>
        <w:t>消防大队负责对消防取水码头的建设、使用和维护实施监督管理。</w:t>
      </w:r>
    </w:p>
    <w:p w14:paraId="3D6A287B">
      <w:pPr>
        <w:ind w:firstLine="643"/>
        <w:rPr>
          <w:rFonts w:ascii="Times New Roman" w:hAnsi="Times New Roman"/>
        </w:rPr>
      </w:pPr>
      <w:r>
        <w:rPr>
          <w:rFonts w:hint="eastAsia" w:ascii="楷体_GB2312" w:hAnsi="楷体_GB2312" w:eastAsia="楷体_GB2312" w:cs="楷体_GB2312"/>
          <w:b/>
          <w:bCs/>
        </w:rPr>
        <w:t>（五）</w:t>
      </w:r>
      <w:r>
        <w:rPr>
          <w:rFonts w:ascii="Times New Roman" w:hAnsi="Times New Roman"/>
        </w:rPr>
        <w:t>化工工业园区各单位、各企业应配合做好消防取水码头的维护。</w:t>
      </w:r>
    </w:p>
    <w:p w14:paraId="6923FA9F">
      <w:pPr>
        <w:ind w:firstLine="643"/>
        <w:rPr>
          <w:rFonts w:ascii="Times New Roman" w:hAnsi="Times New Roman"/>
        </w:rPr>
      </w:pPr>
      <w:r>
        <w:rPr>
          <w:rFonts w:hint="eastAsia" w:ascii="楷体_GB2312" w:hAnsi="楷体_GB2312" w:eastAsia="楷体_GB2312" w:cs="楷体_GB2312"/>
          <w:b/>
          <w:bCs/>
        </w:rPr>
        <w:t>（六）</w:t>
      </w:r>
      <w:r>
        <w:rPr>
          <w:rFonts w:hint="eastAsia" w:ascii="Times New Roman" w:hAnsi="Times New Roman"/>
        </w:rPr>
        <w:t>园区办</w:t>
      </w:r>
      <w:r>
        <w:rPr>
          <w:rFonts w:ascii="Times New Roman" w:hAnsi="Times New Roman"/>
        </w:rPr>
        <w:t>应当</w:t>
      </w:r>
      <w:r>
        <w:rPr>
          <w:rFonts w:hint="eastAsia" w:ascii="Times New Roman" w:hAnsi="Times New Roman"/>
        </w:rPr>
        <w:t>每月安排一次</w:t>
      </w:r>
      <w:r>
        <w:rPr>
          <w:rFonts w:ascii="Times New Roman" w:hAnsi="Times New Roman"/>
        </w:rPr>
        <w:t>安排专人加强对消防取水码头的日常巡查工作，并记录消防取水码头运行情况，发现问题隐患及时上报。</w:t>
      </w:r>
    </w:p>
    <w:p w14:paraId="71C3F1C4">
      <w:pPr>
        <w:ind w:firstLine="643"/>
        <w:rPr>
          <w:rFonts w:ascii="Times New Roman" w:hAnsi="Times New Roman"/>
        </w:rPr>
      </w:pPr>
      <w:r>
        <w:rPr>
          <w:rFonts w:hint="eastAsia" w:ascii="楷体_GB2312" w:hAnsi="楷体_GB2312" w:eastAsia="楷体_GB2312" w:cs="楷体_GB2312"/>
          <w:b/>
          <w:bCs/>
        </w:rPr>
        <w:t>（七）</w:t>
      </w:r>
      <w:r>
        <w:rPr>
          <w:rFonts w:ascii="Times New Roman" w:hAnsi="Times New Roman"/>
        </w:rPr>
        <w:t>任何单位和个人都有保护消防取水码头的义务，发现圈占、遮挡、损坏、挪用或者擅自拆除、取用、停用消防取水码头的行为，应当向园区办、消防机构或者有关部门举报。</w:t>
      </w:r>
    </w:p>
    <w:p w14:paraId="7585F01F">
      <w:pPr>
        <w:ind w:firstLine="643"/>
        <w:rPr>
          <w:rFonts w:ascii="Times New Roman" w:hAnsi="Times New Roman"/>
        </w:rPr>
      </w:pPr>
      <w:r>
        <w:rPr>
          <w:rFonts w:hint="eastAsia" w:ascii="楷体_GB2312" w:hAnsi="楷体_GB2312" w:eastAsia="楷体_GB2312" w:cs="楷体_GB2312"/>
          <w:b/>
          <w:bCs/>
        </w:rPr>
        <w:t>（八）</w:t>
      </w:r>
      <w:r>
        <w:rPr>
          <w:rFonts w:ascii="Times New Roman" w:hAnsi="Times New Roman"/>
        </w:rPr>
        <w:t>城乡规划、市政道路和供水专业规划的编制应当满足消防规划的相应要求，明确消防取水码头的设置内容。城乡规划、交通运输、城市供水主管部门在编制城乡规划、市政道路和供水专业规划时，对涉及消防取水码头设置的内容应当征询消防机构的意见。</w:t>
      </w:r>
    </w:p>
    <w:p w14:paraId="2A3816E8">
      <w:pPr>
        <w:ind w:firstLine="643"/>
        <w:rPr>
          <w:rFonts w:ascii="Times New Roman" w:hAnsi="Times New Roman"/>
        </w:rPr>
      </w:pPr>
      <w:r>
        <w:rPr>
          <w:rFonts w:hint="eastAsia" w:ascii="楷体_GB2312" w:hAnsi="楷体_GB2312" w:eastAsia="楷体_GB2312" w:cs="楷体_GB2312"/>
          <w:b/>
          <w:bCs/>
        </w:rPr>
        <w:t>（九）</w:t>
      </w:r>
      <w:r>
        <w:rPr>
          <w:rFonts w:ascii="Times New Roman" w:hAnsi="Times New Roman"/>
        </w:rPr>
        <w:t>消防机构应当依据消防规划有关消防取水码头建设的内容，制定消防取水码头建设的年度计划。</w:t>
      </w:r>
    </w:p>
    <w:p w14:paraId="336410E0">
      <w:pPr>
        <w:ind w:firstLine="643"/>
        <w:rPr>
          <w:rFonts w:ascii="Times New Roman" w:hAnsi="Times New Roman"/>
        </w:rPr>
      </w:pPr>
      <w:r>
        <w:rPr>
          <w:rFonts w:hint="eastAsia" w:ascii="楷体_GB2312" w:hAnsi="楷体_GB2312" w:eastAsia="楷体_GB2312" w:cs="楷体_GB2312"/>
          <w:b/>
          <w:bCs/>
        </w:rPr>
        <w:t>（十）</w:t>
      </w:r>
      <w:r>
        <w:rPr>
          <w:rFonts w:ascii="Times New Roman" w:hAnsi="Times New Roman"/>
        </w:rPr>
        <w:t>消防取水码头的设计、施工应当符合国家工程建设消防技术标准。消防水源的质量应当符合国家标准或者行业标准以及强制性产品认证要求。建设单位应当对消防水源设置明显标志；在易碰撞消火栓的地点设置防撞设施。</w:t>
      </w:r>
    </w:p>
    <w:p w14:paraId="7BAB6011">
      <w:pPr>
        <w:ind w:firstLine="643"/>
        <w:rPr>
          <w:rFonts w:ascii="Times New Roman" w:hAnsi="Times New Roman"/>
        </w:rPr>
      </w:pPr>
      <w:r>
        <w:rPr>
          <w:rFonts w:hint="eastAsia" w:ascii="楷体_GB2312" w:hAnsi="楷体_GB2312" w:eastAsia="楷体_GB2312" w:cs="楷体_GB2312"/>
          <w:b/>
          <w:bCs/>
        </w:rPr>
        <w:t>（十一）</w:t>
      </w:r>
      <w:r>
        <w:rPr>
          <w:rFonts w:ascii="Times New Roman" w:hAnsi="Times New Roman"/>
        </w:rPr>
        <w:t>消防取水码头建设、改造项目竣工后，建设单位应当通知项目所在地消防机构参加验收，并在竣工验收后7个工作日内，将竣工图纸报项目所在地消防机构备案存档；在竣工验收合格后30日内，将项目建设资料移交维护单位。</w:t>
      </w:r>
    </w:p>
    <w:p w14:paraId="4B9BC74B">
      <w:pPr>
        <w:ind w:firstLine="643"/>
        <w:rPr>
          <w:rFonts w:ascii="Times New Roman" w:hAnsi="Times New Roman"/>
        </w:rPr>
      </w:pPr>
      <w:r>
        <w:rPr>
          <w:rFonts w:hint="eastAsia" w:ascii="楷体_GB2312" w:hAnsi="楷体_GB2312" w:eastAsia="楷体_GB2312" w:cs="楷体_GB2312"/>
          <w:b/>
          <w:bCs/>
        </w:rPr>
        <w:t>（十二）</w:t>
      </w:r>
      <w:r>
        <w:rPr>
          <w:rFonts w:ascii="Times New Roman" w:hAnsi="Times New Roman"/>
        </w:rPr>
        <w:t>园区办应当组织人员对消防取水码头进行定期巡查、维护等，并将消防取水码头档案信息及时报送本级消防机构。</w:t>
      </w:r>
    </w:p>
    <w:p w14:paraId="169EF19E">
      <w:pPr>
        <w:ind w:firstLine="643"/>
        <w:rPr>
          <w:rFonts w:ascii="Times New Roman" w:hAnsi="Times New Roman"/>
        </w:rPr>
      </w:pPr>
      <w:r>
        <w:rPr>
          <w:rFonts w:hint="eastAsia" w:ascii="楷体_GB2312" w:hAnsi="楷体_GB2312" w:eastAsia="楷体_GB2312" w:cs="楷体_GB2312"/>
          <w:b/>
          <w:bCs/>
        </w:rPr>
        <w:t>（十三）</w:t>
      </w:r>
      <w:r>
        <w:rPr>
          <w:rFonts w:ascii="Times New Roman" w:hAnsi="Times New Roman"/>
        </w:rPr>
        <w:t>消防机构组织扑救火灾、抢险救援时，有权使用各种水源；需要加压供水的，供水企业或者其他管理单位应当按照扑救火灾、抢险救援现场指挥员的命令加压供水。在消防机构未到达火灾或者抢险救援现场前，其他消防队伍在扑救火灾、抢险救援时使用各种水源的，按前款规定执行。</w:t>
      </w:r>
    </w:p>
    <w:p w14:paraId="479307B4">
      <w:pPr>
        <w:ind w:firstLine="643"/>
        <w:rPr>
          <w:rFonts w:ascii="Times New Roman" w:hAnsi="Times New Roman"/>
        </w:rPr>
      </w:pPr>
      <w:r>
        <w:rPr>
          <w:rFonts w:hint="eastAsia" w:ascii="楷体_GB2312" w:hAnsi="楷体_GB2312" w:eastAsia="楷体_GB2312" w:cs="楷体_GB2312"/>
          <w:b/>
          <w:bCs/>
        </w:rPr>
        <w:t>（十四）</w:t>
      </w:r>
      <w:r>
        <w:rPr>
          <w:rFonts w:ascii="Times New Roman" w:hAnsi="Times New Roman"/>
        </w:rPr>
        <w:t>禁止损坏或者擅自拆除、停用消防取水码头；禁止埋压、圈占、遮挡消火栓。因工程建设需要拆除、迁移消防取水码头的，建设单位应当按照先建设后拆除、迁移的原则进行拆除、迁移，并报园区办和消防机构备案；拆除、迁移以及修复、重建消防取水码头的费用，由建设单位承担。</w:t>
      </w:r>
    </w:p>
    <w:p w14:paraId="71DC3D4B">
      <w:pPr>
        <w:ind w:firstLine="643"/>
        <w:rPr>
          <w:rFonts w:ascii="Times New Roman" w:hAnsi="Times New Roman"/>
        </w:rPr>
      </w:pPr>
      <w:r>
        <w:rPr>
          <w:rFonts w:hint="eastAsia" w:ascii="楷体_GB2312" w:hAnsi="楷体_GB2312" w:eastAsia="楷体_GB2312" w:cs="楷体_GB2312"/>
          <w:b/>
          <w:bCs/>
        </w:rPr>
        <w:t>（</w:t>
      </w:r>
      <w:r>
        <w:rPr>
          <w:rFonts w:ascii="楷体_GB2312" w:hAnsi="楷体_GB2312" w:eastAsia="楷体_GB2312" w:cs="楷体_GB2312"/>
          <w:b/>
          <w:bCs/>
        </w:rPr>
        <w:t>十</w:t>
      </w:r>
      <w:r>
        <w:rPr>
          <w:rFonts w:hint="eastAsia" w:ascii="楷体_GB2312" w:hAnsi="楷体_GB2312" w:eastAsia="楷体_GB2312" w:cs="楷体_GB2312"/>
          <w:b/>
          <w:bCs/>
        </w:rPr>
        <w:t>五）</w:t>
      </w:r>
      <w:r>
        <w:rPr>
          <w:rFonts w:ascii="Times New Roman" w:hAnsi="Times New Roman"/>
        </w:rPr>
        <w:t>园区办对履行消防取水码头管理职责的情况进行监督检查，并列入年度消防工作考核内容。</w:t>
      </w:r>
    </w:p>
    <w:p w14:paraId="0988F4F6">
      <w:pPr>
        <w:ind w:firstLine="643"/>
        <w:rPr>
          <w:rFonts w:ascii="Times New Roman" w:hAnsi="Times New Roman"/>
        </w:rPr>
      </w:pPr>
      <w:r>
        <w:rPr>
          <w:rFonts w:hint="eastAsia" w:ascii="楷体_GB2312" w:hAnsi="楷体_GB2312" w:eastAsia="楷体_GB2312" w:cs="楷体_GB2312"/>
          <w:b/>
          <w:bCs/>
        </w:rPr>
        <w:t>（</w:t>
      </w:r>
      <w:r>
        <w:rPr>
          <w:rFonts w:ascii="楷体_GB2312" w:hAnsi="楷体_GB2312" w:eastAsia="楷体_GB2312" w:cs="楷体_GB2312"/>
          <w:b/>
          <w:bCs/>
        </w:rPr>
        <w:t>十</w:t>
      </w:r>
      <w:r>
        <w:rPr>
          <w:rFonts w:hint="eastAsia" w:ascii="楷体_GB2312" w:hAnsi="楷体_GB2312" w:eastAsia="楷体_GB2312" w:cs="楷体_GB2312"/>
          <w:b/>
          <w:bCs/>
        </w:rPr>
        <w:t>六）</w:t>
      </w:r>
      <w:r>
        <w:rPr>
          <w:rFonts w:ascii="Times New Roman" w:hAnsi="Times New Roman"/>
        </w:rPr>
        <w:t>消防机构应当加强对消防取水码头的监督检查，发现消防水源建设不符合建设标准的，应当自发现之日起3日内，书面报告本级人民政府。接到报告的人民政府应当在15日内核实情况，组织或者责成相关部门、单位采取措施限期整改。</w:t>
      </w:r>
    </w:p>
    <w:p w14:paraId="506FF9EC">
      <w:pPr>
        <w:ind w:firstLine="643"/>
        <w:rPr>
          <w:rFonts w:ascii="Times New Roman" w:hAnsi="Times New Roman"/>
        </w:rPr>
      </w:pPr>
      <w:r>
        <w:rPr>
          <w:rFonts w:hint="eastAsia" w:ascii="楷体_GB2312" w:hAnsi="楷体_GB2312" w:eastAsia="楷体_GB2312" w:cs="楷体_GB2312"/>
          <w:b/>
          <w:bCs/>
        </w:rPr>
        <w:t>（</w:t>
      </w:r>
      <w:r>
        <w:rPr>
          <w:rFonts w:ascii="楷体_GB2312" w:hAnsi="楷体_GB2312" w:eastAsia="楷体_GB2312" w:cs="楷体_GB2312"/>
          <w:b/>
          <w:bCs/>
        </w:rPr>
        <w:t>十</w:t>
      </w:r>
      <w:r>
        <w:rPr>
          <w:rFonts w:hint="eastAsia" w:ascii="楷体_GB2312" w:hAnsi="楷体_GB2312" w:eastAsia="楷体_GB2312" w:cs="楷体_GB2312"/>
          <w:b/>
          <w:bCs/>
        </w:rPr>
        <w:t>七）</w:t>
      </w:r>
      <w:r>
        <w:rPr>
          <w:rFonts w:ascii="Times New Roman" w:hAnsi="Times New Roman"/>
        </w:rPr>
        <w:t>规划、建设和供水企业等相关部门和单位应当加强消防水源档案管理，在火灾预防和应急救援工作需要时，应当及时向消防机构提供相关水源资料信息。</w:t>
      </w:r>
    </w:p>
    <w:p w14:paraId="364D816A">
      <w:pPr>
        <w:ind w:firstLine="643"/>
        <w:rPr>
          <w:rFonts w:ascii="Times New Roman" w:hAnsi="Times New Roman"/>
        </w:rPr>
      </w:pPr>
      <w:r>
        <w:rPr>
          <w:rFonts w:hint="eastAsia" w:ascii="楷体_GB2312" w:hAnsi="楷体_GB2312" w:eastAsia="楷体_GB2312" w:cs="楷体_GB2312"/>
          <w:b/>
          <w:bCs/>
        </w:rPr>
        <w:t>（十八）</w:t>
      </w:r>
      <w:r>
        <w:rPr>
          <w:rFonts w:ascii="Times New Roman" w:hAnsi="Times New Roman"/>
        </w:rPr>
        <w:t>本规定自公布之日起施行。</w:t>
      </w:r>
    </w:p>
    <w:p w14:paraId="1AB78F6D">
      <w:pPr>
        <w:ind w:firstLine="0" w:firstLineChars="0"/>
        <w:rPr>
          <w:rFonts w:ascii="Times New Roman" w:hAnsi="Times New Roman"/>
        </w:rPr>
      </w:pPr>
    </w:p>
    <w:p w14:paraId="47945059">
      <w:pPr>
        <w:ind w:firstLine="640"/>
        <w:rPr>
          <w:rFonts w:ascii="Times New Roman" w:hAnsi="Times New Roman"/>
        </w:rPr>
      </w:pPr>
      <w:r>
        <w:rPr>
          <w:rFonts w:ascii="Times New Roman" w:hAnsi="Times New Roman"/>
        </w:rPr>
        <w:t>附件：消防取水码头巡查记录表</w:t>
      </w:r>
    </w:p>
    <w:p w14:paraId="368F4D21">
      <w:pPr>
        <w:ind w:firstLine="640"/>
        <w:rPr>
          <w:rFonts w:ascii="Times New Roman" w:hAnsi="Times New Roman"/>
        </w:rPr>
      </w:pPr>
    </w:p>
    <w:p w14:paraId="7DF44EAB">
      <w:pPr>
        <w:ind w:firstLine="640"/>
        <w:rPr>
          <w:rFonts w:ascii="Times New Roman" w:hAnsi="Times New Roman"/>
        </w:rPr>
        <w:sectPr>
          <w:pgSz w:w="11906" w:h="16838"/>
          <w:pgMar w:top="2098" w:right="1531" w:bottom="1984" w:left="1531" w:header="851" w:footer="1417" w:gutter="0"/>
          <w:cols w:space="720" w:num="1"/>
          <w:docGrid w:type="lines" w:linePitch="439" w:charSpace="0"/>
        </w:sectPr>
      </w:pPr>
    </w:p>
    <w:p w14:paraId="4EAACEDD">
      <w:pPr>
        <w:pStyle w:val="9"/>
        <w:spacing w:before="22"/>
        <w:ind w:firstLine="0" w:firstLineChars="0"/>
        <w:rPr>
          <w:rFonts w:hint="eastAsia" w:ascii="黑体" w:hAnsi="黑体" w:eastAsia="黑体" w:cs="黑体"/>
          <w:color w:val="000000"/>
        </w:rPr>
      </w:pPr>
      <w:r>
        <w:rPr>
          <w:rFonts w:hint="eastAsia" w:ascii="黑体" w:hAnsi="黑体" w:eastAsia="黑体" w:cs="黑体"/>
          <w:color w:val="000000"/>
        </w:rPr>
        <w:t>附件</w:t>
      </w:r>
    </w:p>
    <w:p w14:paraId="556E71B2">
      <w:pPr>
        <w:ind w:firstLine="800"/>
        <w:jc w:val="center"/>
        <w:rPr>
          <w:rFonts w:hint="eastAsia" w:ascii="方正小标宋简体" w:hAnsi="方正小标宋简体" w:eastAsia="方正小标宋简体" w:cs="方正小标宋简体"/>
          <w:color w:val="000000"/>
          <w:sz w:val="40"/>
          <w:szCs w:val="40"/>
        </w:rPr>
      </w:pPr>
      <w:bookmarkStart w:id="73" w:name="_Toc2140616617"/>
      <w:r>
        <w:rPr>
          <w:rFonts w:hint="eastAsia" w:ascii="方正小标宋简体" w:hAnsi="方正小标宋简体" w:eastAsia="方正小标宋简体" w:cs="方正小标宋简体"/>
          <w:color w:val="000000"/>
          <w:sz w:val="40"/>
          <w:szCs w:val="40"/>
        </w:rPr>
        <mc:AlternateContent>
          <mc:Choice Requires="wps">
            <w:drawing>
              <wp:anchor distT="0" distB="0" distL="114300" distR="114300" simplePos="0" relativeHeight="251661312" behindDoc="1" locked="0" layoutInCell="1" allowOverlap="1">
                <wp:simplePos x="0" y="0"/>
                <wp:positionH relativeFrom="page">
                  <wp:posOffset>1259840</wp:posOffset>
                </wp:positionH>
                <wp:positionV relativeFrom="paragraph">
                  <wp:posOffset>377190</wp:posOffset>
                </wp:positionV>
                <wp:extent cx="8100060" cy="355600"/>
                <wp:effectExtent l="0" t="0" r="7620" b="10160"/>
                <wp:wrapNone/>
                <wp:docPr id="32" name="矩形 32"/>
                <wp:cNvGraphicFramePr/>
                <a:graphic xmlns:a="http://schemas.openxmlformats.org/drawingml/2006/main">
                  <a:graphicData uri="http://schemas.microsoft.com/office/word/2010/wordprocessingShape">
                    <wps:wsp>
                      <wps:cNvSpPr/>
                      <wps:spPr>
                        <a:xfrm>
                          <a:off x="0" y="0"/>
                          <a:ext cx="8100060" cy="355600"/>
                        </a:xfrm>
                        <a:prstGeom prst="rect">
                          <a:avLst/>
                        </a:prstGeom>
                        <a:solidFill>
                          <a:srgbClr val="FFFFFF"/>
                        </a:solidFill>
                        <a:ln>
                          <a:noFill/>
                        </a:ln>
                        <a:effectLst/>
                      </wps:spPr>
                      <wps:bodyPr upright="1"/>
                    </wps:wsp>
                  </a:graphicData>
                </a:graphic>
              </wp:anchor>
            </w:drawing>
          </mc:Choice>
          <mc:Fallback>
            <w:pict>
              <v:rect id="_x0000_s1026" o:spid="_x0000_s1026" o:spt="1" style="position:absolute;left:0pt;margin-left:99.2pt;margin-top:29.7pt;height:28pt;width:637.8pt;mso-position-horizontal-relative:page;z-index:-251655168;mso-width-relative:page;mso-height-relative:page;" fillcolor="#FFFFFF" filled="t" stroked="f" coordsize="21600,21600" o:gfxdata="UEsDBAoAAAAAAIdO4kAAAAAAAAAAAAAAAAAEAAAAZHJzL1BLAwQUAAAACACHTuJAhkHHddcAAAAL&#10;AQAADwAAAGRycy9kb3ducmV2LnhtbE2PMU/DMBCFdyT+g3VIbNQOJKEJcTogdQIGWiTWa+wmEfE5&#10;xE4b/j3XCaa7p3t6971qs7hBnOwUek8akpUCYanxpqdWw8d+e7cGESKSwcGT1fBjA2zq66sKS+PP&#10;9G5Pu9gKDqFQooYuxrGUMjSddRhWfrTEt6OfHEaWUyvNhGcOd4O8VyqXDnviDx2O9rmzzddudhow&#10;T8332/Hhdf8y51i0i9pmn0rr25tEPYGIdol/ZrjgMzrUzHTwM5kgBtbFOmWrhqzgeTGkjym3O/CW&#10;ZCnIupL/O9S/UEsDBBQAAAAIAIdO4kBzYKnatgEAAG8DAAAOAAAAZHJzL2Uyb0RvYy54bWytU0tu&#10;2zAQ3RfoHQjua8kOEgSC5SxiuJuiDZD2ADRFSgT4wwxt2acp0F0P0eMUvUaHlOqm6SaLaCHNj2/m&#10;vaHWdydn2VEBmuBbvlzUnCkvQ2d83/Ivn3fvbjnDJHwnbPCq5WeF/G7z9s16jI1ahSHYTgEjEI/N&#10;GFs+pBSbqkI5KCdwEaLylNQBnEjkQl91IEZCd7Za1fVNNQboIgSpECm6nZJ8RoSXAAatjVTbIA9O&#10;+TShgrIiESUcTES+KdNqrWT6pDWqxGzLiWkqb2pC9j6/q81aND2IOBg5jyBeMsIzTk4YT00vUFuR&#10;BDuA+Q/KGQkBg04LGVw1ESmKEItl/Uybx0FEVbiQ1BgvouPrwcqPxwdgpmv51YozLxxt/NfX7z9/&#10;fGMUIHXGiA0VPcYHmD0kM1M9aXD5SyTYqSh6viiqTolJCt4ua1o5iS0pd3V9fVMXyau/pyNgeq+C&#10;Y9loOdDGipDi+AETdaTSPyW5GQZrup2xtjjQ7+8tsKOg7e7Kk0emI/+UWZ+LfcjHpvQUUeV+zG0y&#10;z4lZtvahO5MuhwimH2isZcHNGdpD6TDfmbzopz7ZT/+Tz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GQcd11wAAAAsBAAAPAAAAAAAAAAEAIAAAACIAAABkcnMvZG93bnJldi54bWxQSwECFAAUAAAA&#10;CACHTuJAc2Cp2rYBAABvAwAADgAAAAAAAAABACAAAAAmAQAAZHJzL2Uyb0RvYy54bWxQSwUGAAAA&#10;AAYABgBZAQAATgUAAAAA&#10;">
                <v:fill on="t" focussize="0,0"/>
                <v:stroke on="f"/>
                <v:imagedata o:title=""/>
                <o:lock v:ext="edit" aspectratio="f"/>
              </v:rect>
            </w:pict>
          </mc:Fallback>
        </mc:AlternateContent>
      </w:r>
      <w:r>
        <w:rPr>
          <w:rFonts w:hint="eastAsia" w:ascii="方正小标宋简体" w:hAnsi="方正小标宋简体" w:eastAsia="方正小标宋简体" w:cs="方正小标宋简体"/>
          <w:color w:val="000000"/>
          <w:sz w:val="40"/>
          <w:szCs w:val="40"/>
        </w:rPr>
        <w:t>消防取水码头巡查记录表</w:t>
      </w:r>
      <w:bookmarkEnd w:id="73"/>
    </w:p>
    <w:p w14:paraId="5B38561B">
      <w:pPr>
        <w:pStyle w:val="9"/>
        <w:tabs>
          <w:tab w:val="left" w:pos="2239"/>
          <w:tab w:val="left" w:pos="2879"/>
          <w:tab w:val="left" w:pos="3518"/>
        </w:tabs>
        <w:spacing w:before="64" w:after="22"/>
        <w:ind w:right="217" w:firstLine="640"/>
        <w:jc w:val="right"/>
        <w:rPr>
          <w:rFonts w:hint="eastAsia" w:ascii="楷体_GB2312" w:hAnsi="楷体_GB2312" w:eastAsia="楷体_GB2312" w:cs="楷体_GB2312"/>
          <w:color w:val="000000"/>
          <w:w w:val="95"/>
        </w:rPr>
      </w:pPr>
      <w:r>
        <w:rPr>
          <w:rFonts w:hint="eastAsia" w:ascii="楷体_GB2312" w:hAnsi="楷体_GB2312" w:eastAsia="楷体_GB2312" w:cs="楷体_GB2312"/>
          <w:color w:val="000000"/>
        </w:rPr>
        <w:t>巡查时间：</w:t>
      </w:r>
      <w:r>
        <w:rPr>
          <w:rFonts w:hint="eastAsia" w:ascii="楷体_GB2312" w:hAnsi="楷体_GB2312" w:eastAsia="楷体_GB2312" w:cs="楷体_GB2312"/>
          <w:color w:val="000000"/>
          <w:u w:val="single"/>
        </w:rPr>
        <w:t xml:space="preserve"> </w:t>
      </w:r>
      <w:r>
        <w:rPr>
          <w:rFonts w:hint="eastAsia" w:ascii="楷体_GB2312" w:hAnsi="楷体_GB2312" w:eastAsia="楷体_GB2312" w:cs="楷体_GB2312"/>
          <w:color w:val="000000"/>
          <w:u w:val="single"/>
        </w:rPr>
        <w:tab/>
      </w:r>
      <w:r>
        <w:rPr>
          <w:rFonts w:hint="eastAsia" w:ascii="楷体_GB2312" w:hAnsi="楷体_GB2312" w:eastAsia="楷体_GB2312" w:cs="楷体_GB2312"/>
          <w:color w:val="000000"/>
        </w:rPr>
        <w:t>年</w:t>
      </w:r>
      <w:r>
        <w:rPr>
          <w:rFonts w:hint="eastAsia" w:ascii="楷体_GB2312" w:hAnsi="楷体_GB2312" w:eastAsia="楷体_GB2312" w:cs="楷体_GB2312"/>
          <w:color w:val="000000"/>
          <w:u w:val="single"/>
        </w:rPr>
        <w:t xml:space="preserve"> </w:t>
      </w:r>
      <w:r>
        <w:rPr>
          <w:rFonts w:hint="eastAsia" w:ascii="楷体_GB2312" w:hAnsi="楷体_GB2312" w:eastAsia="楷体_GB2312" w:cs="楷体_GB2312"/>
          <w:color w:val="000000"/>
          <w:u w:val="single"/>
        </w:rPr>
        <w:tab/>
      </w:r>
      <w:r>
        <w:rPr>
          <w:rFonts w:hint="eastAsia" w:ascii="楷体_GB2312" w:hAnsi="楷体_GB2312" w:eastAsia="楷体_GB2312" w:cs="楷体_GB2312"/>
          <w:color w:val="000000"/>
          <w:u w:val="single"/>
        </w:rPr>
        <w:t xml:space="preserve"> </w:t>
      </w:r>
      <w:r>
        <w:rPr>
          <w:rFonts w:hint="eastAsia" w:ascii="楷体_GB2312" w:hAnsi="楷体_GB2312" w:eastAsia="楷体_GB2312" w:cs="楷体_GB2312"/>
          <w:color w:val="000000"/>
        </w:rPr>
        <w:t>月</w:t>
      </w:r>
      <w:r>
        <w:rPr>
          <w:rFonts w:hint="eastAsia" w:ascii="楷体_GB2312" w:hAnsi="楷体_GB2312" w:eastAsia="楷体_GB2312" w:cs="楷体_GB2312"/>
          <w:color w:val="000000"/>
          <w:u w:val="single"/>
        </w:rPr>
        <w:t xml:space="preserve"> </w:t>
      </w:r>
      <w:r>
        <w:rPr>
          <w:rFonts w:hint="eastAsia" w:ascii="楷体_GB2312" w:hAnsi="楷体_GB2312" w:eastAsia="楷体_GB2312" w:cs="楷体_GB2312"/>
          <w:color w:val="000000"/>
          <w:u w:val="single"/>
        </w:rPr>
        <w:tab/>
      </w:r>
      <w:r>
        <w:rPr>
          <w:rFonts w:hint="eastAsia" w:ascii="楷体_GB2312" w:hAnsi="楷体_GB2312" w:eastAsia="楷体_GB2312" w:cs="楷体_GB2312"/>
          <w:color w:val="000000"/>
          <w:u w:val="single"/>
        </w:rPr>
        <w:t xml:space="preserve"> </w:t>
      </w:r>
      <w:r>
        <w:rPr>
          <w:rFonts w:hint="eastAsia" w:ascii="楷体_GB2312" w:hAnsi="楷体_GB2312" w:eastAsia="楷体_GB2312" w:cs="楷体_GB2312"/>
          <w:color w:val="000000"/>
          <w:w w:val="95"/>
        </w:rPr>
        <w:t>日</w:t>
      </w:r>
    </w:p>
    <w:p w14:paraId="07FD3206">
      <w:pPr>
        <w:pStyle w:val="9"/>
        <w:tabs>
          <w:tab w:val="left" w:pos="2239"/>
          <w:tab w:val="left" w:pos="2879"/>
          <w:tab w:val="left" w:pos="3518"/>
        </w:tabs>
        <w:spacing w:before="64" w:after="22"/>
        <w:ind w:right="217" w:firstLine="605"/>
        <w:jc w:val="right"/>
        <w:rPr>
          <w:rFonts w:hint="eastAsia" w:ascii="仿宋_GB2312" w:hAnsi="仿宋_GB2312" w:eastAsia="仿宋_GB2312" w:cs="仿宋_GB2312"/>
          <w:color w:val="000000"/>
          <w:w w:val="95"/>
        </w:rPr>
      </w:pP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71"/>
        <w:gridCol w:w="4525"/>
        <w:gridCol w:w="1950"/>
        <w:gridCol w:w="3640"/>
      </w:tblGrid>
      <w:tr w14:paraId="522FA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3871" w:type="dxa"/>
            <w:vAlign w:val="center"/>
          </w:tcPr>
          <w:p w14:paraId="55198350">
            <w:pPr>
              <w:pStyle w:val="37"/>
              <w:autoSpaceDE w:val="0"/>
              <w:autoSpaceDN w:val="0"/>
              <w:spacing w:line="320" w:lineRule="exact"/>
              <w:ind w:firstLine="560"/>
              <w:jc w:val="center"/>
              <w:rPr>
                <w:rFonts w:hint="eastAsia" w:ascii="黑体" w:hAnsi="黑体" w:eastAsia="黑体" w:cs="黑体"/>
                <w:color w:val="000000"/>
                <w:sz w:val="28"/>
                <w:szCs w:val="28"/>
              </w:rPr>
            </w:pPr>
            <w:r>
              <w:rPr>
                <w:rFonts w:hint="eastAsia" w:ascii="黑体" w:hAnsi="黑体" w:eastAsia="黑体" w:cs="黑体"/>
                <w:color w:val="000000"/>
                <w:sz w:val="28"/>
                <w:szCs w:val="28"/>
              </w:rPr>
              <w:t>巡查内容</w:t>
            </w:r>
          </w:p>
        </w:tc>
        <w:tc>
          <w:tcPr>
            <w:tcW w:w="4525" w:type="dxa"/>
            <w:vAlign w:val="center"/>
          </w:tcPr>
          <w:p w14:paraId="1350923B">
            <w:pPr>
              <w:pStyle w:val="37"/>
              <w:autoSpaceDE w:val="0"/>
              <w:autoSpaceDN w:val="0"/>
              <w:spacing w:line="320" w:lineRule="exact"/>
              <w:ind w:firstLine="560"/>
              <w:jc w:val="center"/>
              <w:rPr>
                <w:rFonts w:hint="eastAsia" w:ascii="黑体" w:hAnsi="黑体" w:eastAsia="黑体" w:cs="黑体"/>
                <w:color w:val="000000"/>
                <w:sz w:val="28"/>
                <w:szCs w:val="28"/>
              </w:rPr>
            </w:pPr>
            <w:r>
              <w:rPr>
                <w:rFonts w:hint="eastAsia" w:ascii="黑体" w:hAnsi="黑体" w:eastAsia="黑体" w:cs="黑体"/>
                <w:color w:val="000000"/>
                <w:sz w:val="28"/>
                <w:szCs w:val="28"/>
              </w:rPr>
              <w:t>巡查情况描述</w:t>
            </w:r>
          </w:p>
        </w:tc>
        <w:tc>
          <w:tcPr>
            <w:tcW w:w="1950" w:type="dxa"/>
            <w:vAlign w:val="center"/>
          </w:tcPr>
          <w:p w14:paraId="2DE0CD9D">
            <w:pPr>
              <w:pStyle w:val="37"/>
              <w:autoSpaceDE w:val="0"/>
              <w:autoSpaceDN w:val="0"/>
              <w:spacing w:line="320" w:lineRule="exact"/>
              <w:ind w:firstLine="560"/>
              <w:jc w:val="center"/>
              <w:rPr>
                <w:rFonts w:hint="eastAsia" w:ascii="黑体" w:hAnsi="黑体" w:eastAsia="黑体" w:cs="黑体"/>
                <w:color w:val="000000"/>
                <w:sz w:val="28"/>
                <w:szCs w:val="28"/>
              </w:rPr>
            </w:pPr>
            <w:r>
              <w:rPr>
                <w:rFonts w:hint="eastAsia" w:ascii="黑体" w:hAnsi="黑体" w:eastAsia="黑体" w:cs="黑体"/>
                <w:color w:val="000000"/>
                <w:sz w:val="28"/>
                <w:szCs w:val="28"/>
              </w:rPr>
              <w:t>巡查人</w:t>
            </w:r>
          </w:p>
        </w:tc>
        <w:tc>
          <w:tcPr>
            <w:tcW w:w="3640" w:type="dxa"/>
            <w:vAlign w:val="center"/>
          </w:tcPr>
          <w:p w14:paraId="44C522DA">
            <w:pPr>
              <w:pStyle w:val="37"/>
              <w:autoSpaceDE w:val="0"/>
              <w:autoSpaceDN w:val="0"/>
              <w:spacing w:line="320" w:lineRule="exact"/>
              <w:ind w:firstLine="560"/>
              <w:jc w:val="center"/>
              <w:rPr>
                <w:rFonts w:hint="eastAsia" w:ascii="黑体" w:hAnsi="黑体" w:eastAsia="黑体" w:cs="黑体"/>
                <w:color w:val="000000"/>
                <w:sz w:val="28"/>
                <w:szCs w:val="28"/>
              </w:rPr>
            </w:pPr>
            <w:r>
              <w:rPr>
                <w:rFonts w:hint="eastAsia" w:ascii="黑体" w:hAnsi="黑体" w:eastAsia="黑体" w:cs="黑体"/>
                <w:color w:val="000000"/>
                <w:sz w:val="28"/>
                <w:szCs w:val="28"/>
              </w:rPr>
              <w:t>备注</w:t>
            </w:r>
          </w:p>
        </w:tc>
      </w:tr>
      <w:tr w14:paraId="57887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3871" w:type="dxa"/>
            <w:vAlign w:val="center"/>
          </w:tcPr>
          <w:p w14:paraId="53ED1F71">
            <w:pPr>
              <w:pStyle w:val="37"/>
              <w:autoSpaceDE w:val="0"/>
              <w:autoSpaceDN w:val="0"/>
              <w:spacing w:line="320" w:lineRule="exact"/>
              <w:ind w:firstLine="560"/>
              <w:jc w:val="center"/>
              <w:rPr>
                <w:rFonts w:hint="eastAsia" w:cs="仿宋_GB2312"/>
                <w:color w:val="000000"/>
                <w:sz w:val="28"/>
                <w:szCs w:val="28"/>
              </w:rPr>
            </w:pPr>
            <w:r>
              <w:rPr>
                <w:rFonts w:hint="eastAsia" w:cs="仿宋_GB2312"/>
                <w:color w:val="000000"/>
                <w:sz w:val="28"/>
                <w:szCs w:val="28"/>
              </w:rPr>
              <w:t>消防通道畅通情况</w:t>
            </w:r>
          </w:p>
        </w:tc>
        <w:tc>
          <w:tcPr>
            <w:tcW w:w="4525" w:type="dxa"/>
            <w:vAlign w:val="center"/>
          </w:tcPr>
          <w:p w14:paraId="37FAEB2B">
            <w:pPr>
              <w:pStyle w:val="37"/>
              <w:autoSpaceDE w:val="0"/>
              <w:autoSpaceDN w:val="0"/>
              <w:spacing w:line="320" w:lineRule="exact"/>
              <w:ind w:firstLine="560"/>
              <w:jc w:val="center"/>
              <w:rPr>
                <w:rFonts w:hint="eastAsia" w:cs="仿宋_GB2312"/>
                <w:color w:val="000000"/>
                <w:sz w:val="28"/>
                <w:szCs w:val="28"/>
              </w:rPr>
            </w:pPr>
          </w:p>
        </w:tc>
        <w:tc>
          <w:tcPr>
            <w:tcW w:w="1950" w:type="dxa"/>
            <w:vAlign w:val="center"/>
          </w:tcPr>
          <w:p w14:paraId="47C9C44D">
            <w:pPr>
              <w:pStyle w:val="37"/>
              <w:autoSpaceDE w:val="0"/>
              <w:autoSpaceDN w:val="0"/>
              <w:spacing w:line="320" w:lineRule="exact"/>
              <w:ind w:firstLine="560"/>
              <w:jc w:val="center"/>
              <w:rPr>
                <w:rFonts w:hint="eastAsia" w:cs="仿宋_GB2312"/>
                <w:color w:val="000000"/>
                <w:sz w:val="28"/>
                <w:szCs w:val="28"/>
              </w:rPr>
            </w:pPr>
          </w:p>
        </w:tc>
        <w:tc>
          <w:tcPr>
            <w:tcW w:w="3640" w:type="dxa"/>
            <w:vAlign w:val="center"/>
          </w:tcPr>
          <w:p w14:paraId="41907B17">
            <w:pPr>
              <w:pStyle w:val="37"/>
              <w:autoSpaceDE w:val="0"/>
              <w:autoSpaceDN w:val="0"/>
              <w:spacing w:line="320" w:lineRule="exact"/>
              <w:ind w:firstLine="560"/>
              <w:jc w:val="center"/>
              <w:rPr>
                <w:rFonts w:hint="eastAsia" w:cs="仿宋_GB2312"/>
                <w:color w:val="000000"/>
                <w:sz w:val="28"/>
                <w:szCs w:val="28"/>
              </w:rPr>
            </w:pPr>
          </w:p>
        </w:tc>
      </w:tr>
      <w:tr w14:paraId="06BE3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3871" w:type="dxa"/>
            <w:vAlign w:val="center"/>
          </w:tcPr>
          <w:p w14:paraId="7DA7EFA2">
            <w:pPr>
              <w:pStyle w:val="37"/>
              <w:autoSpaceDE w:val="0"/>
              <w:autoSpaceDN w:val="0"/>
              <w:spacing w:line="320" w:lineRule="exact"/>
              <w:ind w:firstLine="560"/>
              <w:jc w:val="center"/>
              <w:rPr>
                <w:rFonts w:hint="eastAsia" w:cs="仿宋_GB2312"/>
                <w:color w:val="000000"/>
                <w:sz w:val="28"/>
                <w:szCs w:val="28"/>
              </w:rPr>
            </w:pPr>
            <w:r>
              <w:rPr>
                <w:rFonts w:hint="eastAsia" w:cs="仿宋_GB2312"/>
                <w:color w:val="000000"/>
                <w:sz w:val="28"/>
                <w:szCs w:val="28"/>
              </w:rPr>
              <w:t>消防取水堤畅通情况</w:t>
            </w:r>
          </w:p>
        </w:tc>
        <w:tc>
          <w:tcPr>
            <w:tcW w:w="4525" w:type="dxa"/>
            <w:vAlign w:val="center"/>
          </w:tcPr>
          <w:p w14:paraId="7B3EF244">
            <w:pPr>
              <w:pStyle w:val="37"/>
              <w:autoSpaceDE w:val="0"/>
              <w:autoSpaceDN w:val="0"/>
              <w:spacing w:line="320" w:lineRule="exact"/>
              <w:ind w:firstLine="560"/>
              <w:jc w:val="center"/>
              <w:rPr>
                <w:rFonts w:hint="eastAsia" w:cs="仿宋_GB2312"/>
                <w:color w:val="000000"/>
                <w:sz w:val="28"/>
                <w:szCs w:val="28"/>
              </w:rPr>
            </w:pPr>
          </w:p>
        </w:tc>
        <w:tc>
          <w:tcPr>
            <w:tcW w:w="1950" w:type="dxa"/>
            <w:vAlign w:val="center"/>
          </w:tcPr>
          <w:p w14:paraId="0DAFF189">
            <w:pPr>
              <w:pStyle w:val="37"/>
              <w:autoSpaceDE w:val="0"/>
              <w:autoSpaceDN w:val="0"/>
              <w:spacing w:line="320" w:lineRule="exact"/>
              <w:ind w:firstLine="560"/>
              <w:jc w:val="center"/>
              <w:rPr>
                <w:rFonts w:hint="eastAsia" w:cs="仿宋_GB2312"/>
                <w:color w:val="000000"/>
                <w:sz w:val="28"/>
                <w:szCs w:val="28"/>
              </w:rPr>
            </w:pPr>
          </w:p>
        </w:tc>
        <w:tc>
          <w:tcPr>
            <w:tcW w:w="3640" w:type="dxa"/>
            <w:vAlign w:val="center"/>
          </w:tcPr>
          <w:p w14:paraId="177BC6B9">
            <w:pPr>
              <w:pStyle w:val="37"/>
              <w:autoSpaceDE w:val="0"/>
              <w:autoSpaceDN w:val="0"/>
              <w:spacing w:line="320" w:lineRule="exact"/>
              <w:ind w:firstLine="560"/>
              <w:jc w:val="center"/>
              <w:rPr>
                <w:rFonts w:hint="eastAsia" w:cs="仿宋_GB2312"/>
                <w:color w:val="000000"/>
                <w:sz w:val="28"/>
                <w:szCs w:val="28"/>
              </w:rPr>
            </w:pPr>
          </w:p>
        </w:tc>
      </w:tr>
      <w:tr w14:paraId="35FC1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3871" w:type="dxa"/>
            <w:vAlign w:val="center"/>
          </w:tcPr>
          <w:p w14:paraId="64D5AE1C">
            <w:pPr>
              <w:pStyle w:val="37"/>
              <w:autoSpaceDE w:val="0"/>
              <w:autoSpaceDN w:val="0"/>
              <w:spacing w:line="320" w:lineRule="exact"/>
              <w:ind w:firstLine="560"/>
              <w:jc w:val="center"/>
              <w:rPr>
                <w:rFonts w:hint="eastAsia" w:cs="仿宋_GB2312"/>
                <w:color w:val="000000"/>
                <w:sz w:val="28"/>
                <w:szCs w:val="28"/>
              </w:rPr>
            </w:pPr>
            <w:r>
              <w:rPr>
                <w:rFonts w:hint="eastAsia" w:cs="仿宋_GB2312"/>
                <w:color w:val="000000"/>
                <w:sz w:val="28"/>
                <w:szCs w:val="28"/>
              </w:rPr>
              <w:t>消防取水堤承重情况</w:t>
            </w:r>
          </w:p>
        </w:tc>
        <w:tc>
          <w:tcPr>
            <w:tcW w:w="4525" w:type="dxa"/>
            <w:vAlign w:val="center"/>
          </w:tcPr>
          <w:p w14:paraId="7CAC7D87">
            <w:pPr>
              <w:pStyle w:val="37"/>
              <w:autoSpaceDE w:val="0"/>
              <w:autoSpaceDN w:val="0"/>
              <w:spacing w:line="320" w:lineRule="exact"/>
              <w:ind w:firstLine="560"/>
              <w:jc w:val="center"/>
              <w:rPr>
                <w:rFonts w:hint="eastAsia" w:cs="仿宋_GB2312"/>
                <w:color w:val="000000"/>
                <w:sz w:val="28"/>
                <w:szCs w:val="28"/>
              </w:rPr>
            </w:pPr>
          </w:p>
        </w:tc>
        <w:tc>
          <w:tcPr>
            <w:tcW w:w="1950" w:type="dxa"/>
            <w:vAlign w:val="center"/>
          </w:tcPr>
          <w:p w14:paraId="422A5B12">
            <w:pPr>
              <w:pStyle w:val="37"/>
              <w:autoSpaceDE w:val="0"/>
              <w:autoSpaceDN w:val="0"/>
              <w:spacing w:line="320" w:lineRule="exact"/>
              <w:ind w:firstLine="560"/>
              <w:jc w:val="center"/>
              <w:rPr>
                <w:rFonts w:hint="eastAsia" w:cs="仿宋_GB2312"/>
                <w:color w:val="000000"/>
                <w:sz w:val="28"/>
                <w:szCs w:val="28"/>
              </w:rPr>
            </w:pPr>
          </w:p>
        </w:tc>
        <w:tc>
          <w:tcPr>
            <w:tcW w:w="3640" w:type="dxa"/>
            <w:vAlign w:val="center"/>
          </w:tcPr>
          <w:p w14:paraId="03F73C4C">
            <w:pPr>
              <w:pStyle w:val="37"/>
              <w:autoSpaceDE w:val="0"/>
              <w:autoSpaceDN w:val="0"/>
              <w:spacing w:line="320" w:lineRule="exact"/>
              <w:ind w:firstLine="560"/>
              <w:jc w:val="center"/>
              <w:rPr>
                <w:rFonts w:hint="eastAsia" w:cs="仿宋_GB2312"/>
                <w:color w:val="000000"/>
                <w:sz w:val="28"/>
                <w:szCs w:val="28"/>
              </w:rPr>
            </w:pPr>
          </w:p>
        </w:tc>
      </w:tr>
      <w:tr w14:paraId="57FD1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3871" w:type="dxa"/>
            <w:vAlign w:val="center"/>
          </w:tcPr>
          <w:p w14:paraId="2047260A">
            <w:pPr>
              <w:pStyle w:val="37"/>
              <w:autoSpaceDE w:val="0"/>
              <w:autoSpaceDN w:val="0"/>
              <w:spacing w:line="320" w:lineRule="exact"/>
              <w:ind w:firstLine="560"/>
              <w:jc w:val="center"/>
              <w:rPr>
                <w:rFonts w:hint="eastAsia" w:cs="仿宋_GB2312"/>
                <w:color w:val="000000"/>
                <w:sz w:val="28"/>
                <w:szCs w:val="28"/>
              </w:rPr>
            </w:pPr>
            <w:r>
              <w:rPr>
                <w:rFonts w:hint="eastAsia" w:cs="仿宋_GB2312"/>
                <w:color w:val="000000"/>
                <w:sz w:val="28"/>
                <w:szCs w:val="28"/>
              </w:rPr>
              <w:t>消防取水源水位</w:t>
            </w:r>
          </w:p>
        </w:tc>
        <w:tc>
          <w:tcPr>
            <w:tcW w:w="4525" w:type="dxa"/>
            <w:vAlign w:val="center"/>
          </w:tcPr>
          <w:p w14:paraId="3CA866E8">
            <w:pPr>
              <w:pStyle w:val="37"/>
              <w:autoSpaceDE w:val="0"/>
              <w:autoSpaceDN w:val="0"/>
              <w:spacing w:line="320" w:lineRule="exact"/>
              <w:ind w:firstLine="560"/>
              <w:jc w:val="center"/>
              <w:rPr>
                <w:rFonts w:hint="eastAsia" w:cs="仿宋_GB2312"/>
                <w:color w:val="000000"/>
                <w:sz w:val="28"/>
                <w:szCs w:val="28"/>
              </w:rPr>
            </w:pPr>
          </w:p>
        </w:tc>
        <w:tc>
          <w:tcPr>
            <w:tcW w:w="1950" w:type="dxa"/>
            <w:vAlign w:val="center"/>
          </w:tcPr>
          <w:p w14:paraId="4C9FC579">
            <w:pPr>
              <w:pStyle w:val="37"/>
              <w:autoSpaceDE w:val="0"/>
              <w:autoSpaceDN w:val="0"/>
              <w:spacing w:line="320" w:lineRule="exact"/>
              <w:ind w:firstLine="560"/>
              <w:jc w:val="center"/>
              <w:rPr>
                <w:rFonts w:hint="eastAsia" w:cs="仿宋_GB2312"/>
                <w:color w:val="000000"/>
                <w:sz w:val="28"/>
                <w:szCs w:val="28"/>
              </w:rPr>
            </w:pPr>
          </w:p>
        </w:tc>
        <w:tc>
          <w:tcPr>
            <w:tcW w:w="3640" w:type="dxa"/>
            <w:vAlign w:val="center"/>
          </w:tcPr>
          <w:p w14:paraId="06BCEDC4">
            <w:pPr>
              <w:pStyle w:val="37"/>
              <w:autoSpaceDE w:val="0"/>
              <w:autoSpaceDN w:val="0"/>
              <w:spacing w:line="320" w:lineRule="exact"/>
              <w:ind w:firstLine="560"/>
              <w:jc w:val="center"/>
              <w:rPr>
                <w:rFonts w:hint="eastAsia" w:cs="仿宋_GB2312"/>
                <w:color w:val="000000"/>
                <w:sz w:val="28"/>
                <w:szCs w:val="28"/>
              </w:rPr>
            </w:pPr>
          </w:p>
        </w:tc>
      </w:tr>
      <w:tr w14:paraId="453F4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3871" w:type="dxa"/>
            <w:vMerge w:val="restart"/>
            <w:vAlign w:val="center"/>
          </w:tcPr>
          <w:p w14:paraId="2B8065F6">
            <w:pPr>
              <w:pStyle w:val="37"/>
              <w:autoSpaceDE w:val="0"/>
              <w:autoSpaceDN w:val="0"/>
              <w:spacing w:line="320" w:lineRule="exact"/>
              <w:ind w:firstLine="560"/>
              <w:jc w:val="center"/>
              <w:rPr>
                <w:rFonts w:hint="eastAsia" w:cs="仿宋_GB2312"/>
                <w:color w:val="000000"/>
                <w:sz w:val="28"/>
                <w:szCs w:val="28"/>
              </w:rPr>
            </w:pPr>
            <w:r>
              <w:rPr>
                <w:rFonts w:hint="eastAsia" w:cs="仿宋_GB2312"/>
                <w:color w:val="000000"/>
                <w:sz w:val="28"/>
                <w:szCs w:val="28"/>
              </w:rPr>
              <w:t>其他</w:t>
            </w:r>
          </w:p>
        </w:tc>
        <w:tc>
          <w:tcPr>
            <w:tcW w:w="4525" w:type="dxa"/>
            <w:vAlign w:val="center"/>
          </w:tcPr>
          <w:p w14:paraId="0B0D3E58">
            <w:pPr>
              <w:pStyle w:val="37"/>
              <w:autoSpaceDE w:val="0"/>
              <w:autoSpaceDN w:val="0"/>
              <w:spacing w:line="320" w:lineRule="exact"/>
              <w:ind w:firstLine="560"/>
              <w:jc w:val="center"/>
              <w:rPr>
                <w:rFonts w:hint="eastAsia" w:cs="仿宋_GB2312"/>
                <w:color w:val="000000"/>
                <w:sz w:val="28"/>
                <w:szCs w:val="28"/>
              </w:rPr>
            </w:pPr>
          </w:p>
        </w:tc>
        <w:tc>
          <w:tcPr>
            <w:tcW w:w="1950" w:type="dxa"/>
            <w:vAlign w:val="center"/>
          </w:tcPr>
          <w:p w14:paraId="674B3CA2">
            <w:pPr>
              <w:pStyle w:val="37"/>
              <w:autoSpaceDE w:val="0"/>
              <w:autoSpaceDN w:val="0"/>
              <w:spacing w:line="320" w:lineRule="exact"/>
              <w:ind w:firstLine="560"/>
              <w:jc w:val="center"/>
              <w:rPr>
                <w:rFonts w:hint="eastAsia" w:cs="仿宋_GB2312"/>
                <w:color w:val="000000"/>
                <w:sz w:val="28"/>
                <w:szCs w:val="28"/>
              </w:rPr>
            </w:pPr>
          </w:p>
        </w:tc>
        <w:tc>
          <w:tcPr>
            <w:tcW w:w="3640" w:type="dxa"/>
            <w:vAlign w:val="center"/>
          </w:tcPr>
          <w:p w14:paraId="5983E9CC">
            <w:pPr>
              <w:pStyle w:val="37"/>
              <w:autoSpaceDE w:val="0"/>
              <w:autoSpaceDN w:val="0"/>
              <w:spacing w:line="320" w:lineRule="exact"/>
              <w:ind w:firstLine="560"/>
              <w:jc w:val="center"/>
              <w:rPr>
                <w:rFonts w:hint="eastAsia" w:cs="仿宋_GB2312"/>
                <w:color w:val="000000"/>
                <w:sz w:val="28"/>
                <w:szCs w:val="28"/>
              </w:rPr>
            </w:pPr>
          </w:p>
        </w:tc>
      </w:tr>
      <w:tr w14:paraId="418E7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3871" w:type="dxa"/>
            <w:vMerge w:val="continue"/>
            <w:tcBorders>
              <w:top w:val="nil"/>
            </w:tcBorders>
            <w:vAlign w:val="center"/>
          </w:tcPr>
          <w:p w14:paraId="73C13F9F">
            <w:pPr>
              <w:autoSpaceDE w:val="0"/>
              <w:autoSpaceDN w:val="0"/>
              <w:spacing w:line="320" w:lineRule="exact"/>
              <w:ind w:firstLine="560"/>
              <w:jc w:val="center"/>
              <w:rPr>
                <w:rFonts w:hint="eastAsia" w:cs="仿宋_GB2312"/>
                <w:color w:val="000000"/>
                <w:sz w:val="28"/>
                <w:szCs w:val="28"/>
              </w:rPr>
            </w:pPr>
          </w:p>
        </w:tc>
        <w:tc>
          <w:tcPr>
            <w:tcW w:w="4525" w:type="dxa"/>
            <w:vAlign w:val="center"/>
          </w:tcPr>
          <w:p w14:paraId="13411A52">
            <w:pPr>
              <w:pStyle w:val="37"/>
              <w:autoSpaceDE w:val="0"/>
              <w:autoSpaceDN w:val="0"/>
              <w:spacing w:line="320" w:lineRule="exact"/>
              <w:ind w:firstLine="560"/>
              <w:jc w:val="center"/>
              <w:rPr>
                <w:rFonts w:hint="eastAsia" w:cs="仿宋_GB2312"/>
                <w:color w:val="000000"/>
                <w:sz w:val="28"/>
                <w:szCs w:val="28"/>
              </w:rPr>
            </w:pPr>
          </w:p>
        </w:tc>
        <w:tc>
          <w:tcPr>
            <w:tcW w:w="1950" w:type="dxa"/>
            <w:vAlign w:val="center"/>
          </w:tcPr>
          <w:p w14:paraId="75C65E68">
            <w:pPr>
              <w:pStyle w:val="37"/>
              <w:autoSpaceDE w:val="0"/>
              <w:autoSpaceDN w:val="0"/>
              <w:spacing w:line="320" w:lineRule="exact"/>
              <w:ind w:firstLine="560"/>
              <w:jc w:val="center"/>
              <w:rPr>
                <w:rFonts w:hint="eastAsia" w:cs="仿宋_GB2312"/>
                <w:color w:val="000000"/>
                <w:sz w:val="28"/>
                <w:szCs w:val="28"/>
              </w:rPr>
            </w:pPr>
          </w:p>
        </w:tc>
        <w:tc>
          <w:tcPr>
            <w:tcW w:w="3640" w:type="dxa"/>
            <w:vAlign w:val="center"/>
          </w:tcPr>
          <w:p w14:paraId="51786FE8">
            <w:pPr>
              <w:pStyle w:val="37"/>
              <w:autoSpaceDE w:val="0"/>
              <w:autoSpaceDN w:val="0"/>
              <w:spacing w:line="320" w:lineRule="exact"/>
              <w:ind w:firstLine="560"/>
              <w:jc w:val="center"/>
              <w:rPr>
                <w:rFonts w:hint="eastAsia" w:cs="仿宋_GB2312"/>
                <w:color w:val="000000"/>
                <w:sz w:val="28"/>
                <w:szCs w:val="28"/>
              </w:rPr>
            </w:pPr>
          </w:p>
        </w:tc>
      </w:tr>
      <w:tr w14:paraId="4199A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3871" w:type="dxa"/>
            <w:vMerge w:val="continue"/>
            <w:tcBorders>
              <w:top w:val="nil"/>
            </w:tcBorders>
            <w:vAlign w:val="center"/>
          </w:tcPr>
          <w:p w14:paraId="1B316BE2">
            <w:pPr>
              <w:autoSpaceDE w:val="0"/>
              <w:autoSpaceDN w:val="0"/>
              <w:spacing w:line="320" w:lineRule="exact"/>
              <w:ind w:firstLine="560"/>
              <w:jc w:val="center"/>
              <w:rPr>
                <w:rFonts w:hint="eastAsia" w:cs="仿宋_GB2312"/>
                <w:color w:val="000000"/>
                <w:sz w:val="28"/>
                <w:szCs w:val="28"/>
              </w:rPr>
            </w:pPr>
          </w:p>
        </w:tc>
        <w:tc>
          <w:tcPr>
            <w:tcW w:w="4525" w:type="dxa"/>
            <w:vAlign w:val="center"/>
          </w:tcPr>
          <w:p w14:paraId="1AEDA493">
            <w:pPr>
              <w:pStyle w:val="37"/>
              <w:autoSpaceDE w:val="0"/>
              <w:autoSpaceDN w:val="0"/>
              <w:spacing w:line="320" w:lineRule="exact"/>
              <w:ind w:firstLine="560"/>
              <w:jc w:val="center"/>
              <w:rPr>
                <w:rFonts w:hint="eastAsia" w:cs="仿宋_GB2312"/>
                <w:color w:val="000000"/>
                <w:sz w:val="28"/>
                <w:szCs w:val="28"/>
              </w:rPr>
            </w:pPr>
          </w:p>
        </w:tc>
        <w:tc>
          <w:tcPr>
            <w:tcW w:w="1950" w:type="dxa"/>
            <w:vAlign w:val="center"/>
          </w:tcPr>
          <w:p w14:paraId="055E006A">
            <w:pPr>
              <w:pStyle w:val="37"/>
              <w:autoSpaceDE w:val="0"/>
              <w:autoSpaceDN w:val="0"/>
              <w:spacing w:line="320" w:lineRule="exact"/>
              <w:ind w:firstLine="560"/>
              <w:jc w:val="center"/>
              <w:rPr>
                <w:rFonts w:hint="eastAsia" w:cs="仿宋_GB2312"/>
                <w:color w:val="000000"/>
                <w:sz w:val="28"/>
                <w:szCs w:val="28"/>
              </w:rPr>
            </w:pPr>
          </w:p>
        </w:tc>
        <w:tc>
          <w:tcPr>
            <w:tcW w:w="3640" w:type="dxa"/>
            <w:vAlign w:val="center"/>
          </w:tcPr>
          <w:p w14:paraId="2310D10C">
            <w:pPr>
              <w:pStyle w:val="37"/>
              <w:autoSpaceDE w:val="0"/>
              <w:autoSpaceDN w:val="0"/>
              <w:spacing w:line="320" w:lineRule="exact"/>
              <w:ind w:firstLine="560"/>
              <w:jc w:val="center"/>
              <w:rPr>
                <w:rFonts w:hint="eastAsia" w:cs="仿宋_GB2312"/>
                <w:color w:val="000000"/>
                <w:sz w:val="28"/>
                <w:szCs w:val="28"/>
              </w:rPr>
            </w:pPr>
          </w:p>
        </w:tc>
      </w:tr>
    </w:tbl>
    <w:p w14:paraId="42EDB40E">
      <w:pPr>
        <w:pStyle w:val="9"/>
        <w:ind w:firstLine="720"/>
        <w:rPr>
          <w:color w:val="000000"/>
          <w:sz w:val="36"/>
        </w:rPr>
      </w:pPr>
    </w:p>
    <w:p w14:paraId="5BD6C53C">
      <w:pPr>
        <w:pStyle w:val="9"/>
        <w:spacing w:before="10"/>
        <w:ind w:firstLine="920"/>
        <w:rPr>
          <w:color w:val="000000"/>
          <w:sz w:val="46"/>
        </w:rPr>
      </w:pPr>
    </w:p>
    <w:p w14:paraId="19C9F4F5">
      <w:pPr>
        <w:ind w:firstLine="480"/>
        <w:rPr>
          <w:rFonts w:hint="eastAsia" w:ascii="Times New Roman"/>
          <w:color w:val="000000"/>
          <w:sz w:val="24"/>
        </w:rPr>
        <w:sectPr>
          <w:footerReference r:id="rId18" w:type="default"/>
          <w:pgSz w:w="16840" w:h="11910" w:orient="landscape"/>
          <w:pgMar w:top="1134" w:right="1134" w:bottom="1134" w:left="1134" w:header="0" w:footer="1247" w:gutter="0"/>
          <w:cols w:space="720" w:num="1"/>
        </w:sectPr>
      </w:pPr>
    </w:p>
    <w:p w14:paraId="18D28B2F">
      <w:pPr>
        <w:pStyle w:val="2"/>
        <w:spacing w:before="0" w:after="0" w:line="600" w:lineRule="exact"/>
        <w:rPr>
          <w:rFonts w:ascii="Times New Roman" w:hAnsi="Times New Roman"/>
        </w:rPr>
      </w:pPr>
      <w:bookmarkStart w:id="74" w:name="_Toc5287"/>
      <w:bookmarkStart w:id="75" w:name="_Toc11906"/>
      <w:r>
        <w:rPr>
          <w:rFonts w:ascii="Times New Roman" w:hAnsi="Times New Roman"/>
        </w:rPr>
        <w:t>第十</w:t>
      </w:r>
      <w:r>
        <w:rPr>
          <w:rFonts w:hint="eastAsia" w:ascii="Times New Roman" w:hAnsi="Times New Roman"/>
        </w:rPr>
        <w:t>四</w:t>
      </w:r>
      <w:r>
        <w:rPr>
          <w:rFonts w:ascii="Times New Roman" w:hAnsi="Times New Roman"/>
        </w:rPr>
        <w:t xml:space="preserve">章 </w:t>
      </w:r>
      <w:r>
        <w:rPr>
          <w:rFonts w:hint="eastAsia" w:ascii="Times New Roman" w:hAnsi="Times New Roman"/>
          <w:lang w:val="en-US" w:eastAsia="zh-CN"/>
        </w:rPr>
        <w:t xml:space="preserve"> </w:t>
      </w:r>
      <w:r>
        <w:rPr>
          <w:rFonts w:ascii="Times New Roman" w:hAnsi="Times New Roman"/>
        </w:rPr>
        <w:t>园区信息化管理</w:t>
      </w:r>
      <w:bookmarkEnd w:id="74"/>
      <w:bookmarkEnd w:id="75"/>
    </w:p>
    <w:p w14:paraId="031C79F2">
      <w:pPr>
        <w:spacing w:line="600" w:lineRule="exact"/>
        <w:ind w:firstLine="640"/>
        <w:rPr>
          <w:rFonts w:ascii="Times New Roman" w:hAnsi="Times New Roman"/>
        </w:rPr>
      </w:pPr>
    </w:p>
    <w:p w14:paraId="176A9416">
      <w:pPr>
        <w:pStyle w:val="3"/>
        <w:spacing w:line="600" w:lineRule="exact"/>
        <w:ind w:firstLine="640"/>
        <w:jc w:val="left"/>
        <w:rPr>
          <w:rFonts w:ascii="黑体" w:hAnsi="黑体" w:eastAsia="黑体"/>
          <w:b w:val="0"/>
          <w:bCs/>
          <w:sz w:val="32"/>
          <w:szCs w:val="21"/>
        </w:rPr>
      </w:pPr>
      <w:bookmarkStart w:id="76" w:name="_Toc22423"/>
      <w:r>
        <w:rPr>
          <w:rFonts w:hint="eastAsia" w:ascii="黑体" w:hAnsi="黑体" w:eastAsia="黑体"/>
          <w:b w:val="0"/>
          <w:bCs/>
          <w:sz w:val="32"/>
          <w:szCs w:val="21"/>
        </w:rPr>
        <w:t>三十</w:t>
      </w:r>
      <w:r>
        <w:rPr>
          <w:rFonts w:hint="eastAsia" w:ascii="黑体" w:hAnsi="黑体" w:eastAsia="黑体"/>
          <w:b w:val="0"/>
          <w:bCs/>
          <w:sz w:val="32"/>
          <w:szCs w:val="21"/>
          <w:lang w:val="en-US" w:eastAsia="zh-CN"/>
        </w:rPr>
        <w:t>六</w:t>
      </w:r>
      <w:r>
        <w:rPr>
          <w:rFonts w:ascii="黑体" w:hAnsi="黑体" w:eastAsia="黑体"/>
          <w:b w:val="0"/>
          <w:bCs/>
          <w:sz w:val="32"/>
          <w:szCs w:val="21"/>
        </w:rPr>
        <w:t>、化工园区信息化平台管理制度</w:t>
      </w:r>
      <w:bookmarkEnd w:id="76"/>
    </w:p>
    <w:p w14:paraId="54912CC4">
      <w:pPr>
        <w:ind w:firstLine="640"/>
        <w:rPr>
          <w:rFonts w:ascii="Times New Roman" w:hAnsi="Times New Roman"/>
        </w:rPr>
      </w:pPr>
      <w:r>
        <w:rPr>
          <w:rFonts w:ascii="Times New Roman" w:hAnsi="Times New Roman"/>
        </w:rPr>
        <w:t>为进一步落实安全生产信息化管理，认真抓好信息化平台建设工作，提升园区运营管理的精确性、科学性，提高园区信息化水平，特制定本制度。</w:t>
      </w:r>
    </w:p>
    <w:p w14:paraId="76350216">
      <w:pPr>
        <w:ind w:firstLine="640"/>
        <w:rPr>
          <w:rFonts w:ascii="Times New Roman" w:hAnsi="Times New Roman"/>
        </w:rPr>
      </w:pPr>
      <w:r>
        <w:rPr>
          <w:rFonts w:ascii="Times New Roman" w:hAnsi="Times New Roman"/>
        </w:rPr>
        <w:t>园区智能管控平台由</w:t>
      </w:r>
      <w:r>
        <w:rPr>
          <w:rFonts w:hint="eastAsia" w:ascii="Times New Roman" w:hAnsi="Times New Roman"/>
        </w:rPr>
        <w:t>园区办</w:t>
      </w:r>
      <w:r>
        <w:rPr>
          <w:rFonts w:ascii="Times New Roman" w:hAnsi="Times New Roman"/>
        </w:rPr>
        <w:t>和平台运维单位共同管理，具体运维工作由运维单位承担。</w:t>
      </w:r>
    </w:p>
    <w:p w14:paraId="0A7F8EE0">
      <w:pPr>
        <w:pStyle w:val="4"/>
        <w:ind w:firstLine="643"/>
      </w:pPr>
      <w:r>
        <w:t>（</w:t>
      </w:r>
      <w:r>
        <w:rPr>
          <w:rFonts w:hint="eastAsia"/>
        </w:rPr>
        <w:t>一</w:t>
      </w:r>
      <w:r>
        <w:t>）值班制度</w:t>
      </w:r>
    </w:p>
    <w:p w14:paraId="63FD74E0">
      <w:pPr>
        <w:ind w:firstLine="640"/>
        <w:rPr>
          <w:rFonts w:hint="eastAsia" w:hAnsi="Times New Roman"/>
        </w:rPr>
      </w:pPr>
      <w:r>
        <w:rPr>
          <w:rFonts w:hint="eastAsia" w:hAnsi="Times New Roman"/>
        </w:rPr>
        <w:t>1.值班时间</w:t>
      </w:r>
    </w:p>
    <w:p w14:paraId="2D0A6424">
      <w:pPr>
        <w:ind w:firstLine="640"/>
        <w:rPr>
          <w:rFonts w:hint="eastAsia" w:hAnsi="Times New Roman"/>
        </w:rPr>
      </w:pPr>
      <w:r>
        <w:rPr>
          <w:rFonts w:hint="eastAsia" w:hAnsi="Times New Roman"/>
        </w:rPr>
        <w:t>实行24小时两班制，白班8:00—20:00，夜班20:00—次日8:00，确保全天候有人在岗值班，具体值班单位和人员以值班表为准。</w:t>
      </w:r>
    </w:p>
    <w:p w14:paraId="5125B6CE">
      <w:pPr>
        <w:ind w:firstLine="640"/>
        <w:rPr>
          <w:rFonts w:hint="eastAsia" w:hAnsi="Times New Roman"/>
        </w:rPr>
      </w:pPr>
      <w:r>
        <w:rPr>
          <w:rFonts w:hint="eastAsia" w:hAnsi="Times New Roman"/>
        </w:rPr>
        <w:t>2.工作内容</w:t>
      </w:r>
    </w:p>
    <w:p w14:paraId="37D41B5F">
      <w:pPr>
        <w:ind w:firstLine="640"/>
        <w:rPr>
          <w:rFonts w:hint="eastAsia" w:hAnsi="Times New Roman"/>
        </w:rPr>
      </w:pPr>
      <w:r>
        <w:rPr>
          <w:rFonts w:hint="eastAsia" w:hAnsi="Times New Roman"/>
        </w:rPr>
        <w:t>（1）企业的日常监管</w:t>
      </w:r>
    </w:p>
    <w:p w14:paraId="49064627">
      <w:pPr>
        <w:ind w:firstLine="640"/>
        <w:rPr>
          <w:rFonts w:hint="eastAsia" w:hAnsi="Times New Roman"/>
        </w:rPr>
      </w:pPr>
      <w:r>
        <w:rPr>
          <w:rFonts w:hint="eastAsia" w:hAnsi="Times New Roman"/>
        </w:rPr>
        <w:t>运维人员监督各企业安监、环保情况和查看企业数据更新情况。</w:t>
      </w:r>
    </w:p>
    <w:p w14:paraId="5D9717F6">
      <w:pPr>
        <w:ind w:firstLine="640"/>
        <w:rPr>
          <w:rFonts w:hint="eastAsia" w:hAnsi="Times New Roman"/>
        </w:rPr>
      </w:pPr>
      <w:r>
        <w:rPr>
          <w:rFonts w:hint="eastAsia" w:hAnsi="Times New Roman"/>
        </w:rPr>
        <w:t>（2）平台的日常巡检</w:t>
      </w:r>
    </w:p>
    <w:p w14:paraId="52714CAD">
      <w:pPr>
        <w:ind w:firstLine="640"/>
        <w:rPr>
          <w:rFonts w:ascii="Times New Roman" w:hAnsi="Times New Roman"/>
        </w:rPr>
      </w:pPr>
      <w:r>
        <w:rPr>
          <w:rFonts w:hint="eastAsia" w:hAnsi="Times New Roman"/>
        </w:rPr>
        <w:t>运维人员每日通过后台管理系统巡检各企业视频（包括罐区、中控室、重点岗位、三废排口、危废仓库）是否正常，有无异常、人员脱岗、违规操作、动火等情况；若有应及</w:t>
      </w:r>
      <w:r>
        <w:rPr>
          <w:rFonts w:ascii="Times New Roman" w:hAnsi="Times New Roman"/>
        </w:rPr>
        <w:t>时上报并在台账上统计记录。每间隔一段时间查看各企业视频一次。</w:t>
      </w:r>
    </w:p>
    <w:p w14:paraId="0AA6BDD4">
      <w:pPr>
        <w:ind w:firstLine="640"/>
        <w:rPr>
          <w:rFonts w:ascii="Times New Roman" w:hAnsi="Times New Roman"/>
        </w:rPr>
      </w:pPr>
      <w:r>
        <w:rPr>
          <w:rFonts w:ascii="Times New Roman" w:hAnsi="Times New Roman"/>
        </w:rPr>
        <w:t>运维人员每日查看罐区、空气站、边界站、水站数据是否异常；若出现异常，及时与相关人员联系并核对情况，查找原因，并记录台账。</w:t>
      </w:r>
    </w:p>
    <w:p w14:paraId="26C002CD">
      <w:pPr>
        <w:ind w:firstLine="640"/>
        <w:rPr>
          <w:rFonts w:ascii="Times New Roman" w:hAnsi="Times New Roman"/>
        </w:rPr>
      </w:pPr>
      <w:r>
        <w:rPr>
          <w:rFonts w:ascii="Times New Roman" w:hAnsi="Times New Roman"/>
        </w:rPr>
        <w:t>对数据异常（报警）情况的处置，若出现异常情况时，立即上报园区相关负责人。</w:t>
      </w:r>
    </w:p>
    <w:p w14:paraId="6776639E">
      <w:pPr>
        <w:ind w:firstLine="640"/>
        <w:rPr>
          <w:rFonts w:ascii="Times New Roman" w:hAnsi="Times New Roman"/>
        </w:rPr>
      </w:pPr>
      <w:r>
        <w:rPr>
          <w:rFonts w:ascii="Times New Roman" w:hAnsi="Times New Roman"/>
        </w:rPr>
        <w:t>对视频等数据上传丢失的情况处置，若出现企业上传数据、视频等信息丢失等情况，当值人员应统计记录在台账，并及时上报。外线设备维护，运维公司每周一次巡查外线设备（管廊摄像头、高空瞭望设备、空气站、边界站等）。</w:t>
      </w:r>
    </w:p>
    <w:p w14:paraId="037D8207">
      <w:pPr>
        <w:ind w:firstLine="640"/>
        <w:rPr>
          <w:rFonts w:ascii="Times New Roman" w:hAnsi="Times New Roman"/>
        </w:rPr>
      </w:pPr>
      <w:r>
        <w:rPr>
          <w:rFonts w:hint="eastAsia" w:ascii="Times New Roman" w:hAnsi="Times New Roman"/>
        </w:rPr>
        <w:t>每月向园区办提交月报。</w:t>
      </w:r>
    </w:p>
    <w:p w14:paraId="2C76A273">
      <w:pPr>
        <w:ind w:firstLine="640"/>
        <w:rPr>
          <w:rFonts w:hint="eastAsia" w:hAnsi="Times New Roman"/>
        </w:rPr>
      </w:pPr>
      <w:r>
        <w:rPr>
          <w:rFonts w:hint="eastAsia" w:hAnsi="Times New Roman"/>
        </w:rPr>
        <w:t>3.值班职责</w:t>
      </w:r>
    </w:p>
    <w:p w14:paraId="16D88631">
      <w:pPr>
        <w:ind w:firstLine="640"/>
        <w:rPr>
          <w:rFonts w:hint="eastAsia" w:hAnsi="Times New Roman"/>
        </w:rPr>
      </w:pPr>
      <w:r>
        <w:rPr>
          <w:rFonts w:hint="eastAsia" w:hAnsi="Times New Roman"/>
        </w:rPr>
        <w:t>（1）认真遵守各项法律法规，遵守工作纪律，完成好各项工作。</w:t>
      </w:r>
    </w:p>
    <w:p w14:paraId="2C228178">
      <w:pPr>
        <w:ind w:firstLine="640"/>
        <w:rPr>
          <w:rFonts w:hint="eastAsia" w:hAnsi="Times New Roman"/>
        </w:rPr>
      </w:pPr>
      <w:r>
        <w:rPr>
          <w:rFonts w:hint="eastAsia" w:hAnsi="Times New Roman"/>
        </w:rPr>
        <w:t>（2）认真学习平台操作规程，掌握平台各板块的内容，能解决运行中的一般性问题。</w:t>
      </w:r>
    </w:p>
    <w:p w14:paraId="3CFA616B">
      <w:pPr>
        <w:ind w:firstLine="640"/>
        <w:rPr>
          <w:rFonts w:hint="eastAsia" w:hAnsi="Times New Roman"/>
        </w:rPr>
      </w:pPr>
      <w:r>
        <w:rPr>
          <w:rFonts w:hint="eastAsia" w:hAnsi="Times New Roman"/>
        </w:rPr>
        <w:t>（3）负责接处各类告警、投诉、举报及领导交办的事项，该项工作主要由值班员承担，实行首问负责制。</w:t>
      </w:r>
    </w:p>
    <w:p w14:paraId="7FC45474">
      <w:pPr>
        <w:ind w:firstLine="640"/>
        <w:rPr>
          <w:rFonts w:hint="eastAsia" w:hAnsi="Times New Roman"/>
        </w:rPr>
      </w:pPr>
      <w:r>
        <w:rPr>
          <w:rFonts w:hint="eastAsia" w:hAnsi="Times New Roman"/>
        </w:rPr>
        <w:t>（4）值班员接报突发事件后，要严格按程序办理、不得迟报、漏报或隐瞒不报。对重要紧急的事件，值班员应本着快速、灵活的原则，及时、果断处置，必要时可越级上报。</w:t>
      </w:r>
    </w:p>
    <w:p w14:paraId="13C78ED1">
      <w:pPr>
        <w:ind w:firstLine="640"/>
        <w:rPr>
          <w:rFonts w:hint="eastAsia" w:hAnsi="Times New Roman"/>
        </w:rPr>
      </w:pPr>
      <w:r>
        <w:rPr>
          <w:rFonts w:hint="eastAsia" w:hAnsi="Times New Roman"/>
        </w:rPr>
        <w:t>（5）认真做好网络安全工作，除网络管理外，任何人未经批准，不得对计算机设备和机房内网络进行操作。</w:t>
      </w:r>
    </w:p>
    <w:p w14:paraId="0FF2FCF8">
      <w:pPr>
        <w:ind w:firstLine="640"/>
        <w:rPr>
          <w:rFonts w:hint="eastAsia" w:hAnsi="Times New Roman"/>
        </w:rPr>
      </w:pPr>
      <w:r>
        <w:rPr>
          <w:rFonts w:hint="eastAsia" w:hAnsi="Times New Roman"/>
        </w:rPr>
        <w:t>（6）禁止在平台服务器及其他设备上使用U盘、移动硬盘等，避免因病毒传播而影响服务器及其他设备正常工作。</w:t>
      </w:r>
    </w:p>
    <w:p w14:paraId="00BFDBDB">
      <w:pPr>
        <w:ind w:firstLine="640"/>
        <w:rPr>
          <w:rFonts w:hint="eastAsia" w:hAnsi="Times New Roman"/>
        </w:rPr>
      </w:pPr>
      <w:r>
        <w:rPr>
          <w:rFonts w:hint="eastAsia" w:hAnsi="Times New Roman"/>
        </w:rPr>
        <w:t>（7）进入平台监控中心，必须保持室内清洁、严禁在室内吸烟、吃食物。严禁携入易燃、易爆、易碎、易污染和强磁物品。严禁私自携带第三方软件进入中心安装使用。</w:t>
      </w:r>
    </w:p>
    <w:p w14:paraId="1AF077EB">
      <w:pPr>
        <w:ind w:firstLine="640"/>
        <w:rPr>
          <w:rFonts w:hint="eastAsia" w:hAnsi="Times New Roman"/>
        </w:rPr>
      </w:pPr>
      <w:r>
        <w:rPr>
          <w:rFonts w:hint="eastAsia" w:hAnsi="Times New Roman"/>
        </w:rPr>
        <w:t>（8）做好平台运维管理工作，任何人未经批准，不得随意发布信息或更改网站页面版式及内容。重要信息的发布必须经相关主管领导审批后实施发布，未经审批不得发布。</w:t>
      </w:r>
    </w:p>
    <w:p w14:paraId="06A08F53">
      <w:pPr>
        <w:ind w:firstLine="640"/>
        <w:rPr>
          <w:rFonts w:ascii="Times New Roman" w:hAnsi="Times New Roman"/>
        </w:rPr>
      </w:pPr>
      <w:r>
        <w:rPr>
          <w:rFonts w:hint="eastAsia" w:hAnsi="Times New Roman"/>
        </w:rPr>
        <w:t>（9）认</w:t>
      </w:r>
      <w:r>
        <w:rPr>
          <w:rFonts w:ascii="Times New Roman" w:hAnsi="Times New Roman"/>
        </w:rPr>
        <w:t>真做好交接班工作。内容包括平台运行过程中出现的问题（企业数据超标，视频异常等情况），交接好问题记录台账，并填写好交接班记录台账。</w:t>
      </w:r>
    </w:p>
    <w:p w14:paraId="29DDE201">
      <w:pPr>
        <w:pStyle w:val="4"/>
        <w:ind w:firstLine="643"/>
      </w:pPr>
      <w:r>
        <w:t>（</w:t>
      </w:r>
      <w:r>
        <w:rPr>
          <w:rFonts w:hint="eastAsia"/>
        </w:rPr>
        <w:t>二</w:t>
      </w:r>
      <w:r>
        <w:t>）机房管理制度</w:t>
      </w:r>
    </w:p>
    <w:p w14:paraId="36A8F8A0">
      <w:pPr>
        <w:ind w:firstLine="640"/>
        <w:rPr>
          <w:rFonts w:hint="eastAsia" w:hAnsi="Times New Roman"/>
        </w:rPr>
      </w:pPr>
      <w:r>
        <w:rPr>
          <w:rFonts w:hint="eastAsia" w:hAnsi="Times New Roman"/>
        </w:rPr>
        <w:t>1.计算机机房是平台设备运行和数据处理的重要场所，除管理人员外，其他人员未经许可一律不得进入机房。特殊情况需经中心负责人批准，并填写登记表后方可进入。</w:t>
      </w:r>
    </w:p>
    <w:p w14:paraId="260FA934">
      <w:pPr>
        <w:ind w:firstLine="640"/>
        <w:rPr>
          <w:rFonts w:hint="eastAsia" w:hAnsi="Times New Roman"/>
        </w:rPr>
      </w:pPr>
      <w:r>
        <w:rPr>
          <w:rFonts w:hint="eastAsia" w:hAnsi="Times New Roman"/>
        </w:rPr>
        <w:t>2.定期清理机房内卫生，保持机房内干净、整洁，并由专人负责管理和维护（包括温度、湿度、电力系统、网络设备等），每天查看、维护、管理。不定期对机房内消防器材、监控设备进行检查，以保证其有效性。定期检查插排等安全，以备后查。</w:t>
      </w:r>
    </w:p>
    <w:p w14:paraId="3F10DAD0">
      <w:pPr>
        <w:ind w:firstLine="640"/>
        <w:rPr>
          <w:rFonts w:ascii="Times New Roman" w:hAnsi="Times New Roman"/>
        </w:rPr>
      </w:pPr>
      <w:r>
        <w:rPr>
          <w:rFonts w:hint="eastAsia" w:hAnsi="Times New Roman"/>
        </w:rPr>
        <w:t>3.机房</w:t>
      </w:r>
      <w:r>
        <w:rPr>
          <w:rFonts w:ascii="Times New Roman" w:hAnsi="Times New Roman"/>
        </w:rPr>
        <w:t>内严禁吸烟、使用明火和电加热设备；严禁带入和存放任何易燃、易爆、腐蚀性、强电磁、辐射性、流体物质等对设备正常运行构成威胁的物品以及其他与机房工作无关的物品；机房内不准进行与工作无关的活动。</w:t>
      </w:r>
    </w:p>
    <w:p w14:paraId="5BF2FEE3">
      <w:pPr>
        <w:ind w:firstLine="640"/>
        <w:rPr>
          <w:rFonts w:hint="eastAsia" w:hAnsi="Times New Roman"/>
        </w:rPr>
      </w:pPr>
      <w:r>
        <w:rPr>
          <w:rFonts w:hint="eastAsia" w:hAnsi="Times New Roman"/>
        </w:rPr>
        <w:t>4.值班人员必须认真、如实、详细填写（机房日志）等各种登记簿，详记来人、事件、处理经过等，以备后查。</w:t>
      </w:r>
    </w:p>
    <w:p w14:paraId="42A436CA">
      <w:pPr>
        <w:ind w:firstLine="640"/>
        <w:rPr>
          <w:rFonts w:hint="eastAsia" w:hAnsi="Times New Roman"/>
        </w:rPr>
      </w:pPr>
      <w:r>
        <w:rPr>
          <w:rFonts w:hint="eastAsia" w:hAnsi="Times New Roman"/>
        </w:rPr>
        <w:t>5.机房内所有设备须由负责管理和维护该设备的人员进行安装、拆卸和配置等操作，操作时应严格按照该设备的操作规程进行；任何非管理人员不得随意触动和操作相关设备。路由器、交换机和服务器以及通信设备是网络的关键设备，不得自行配置或更换，更不能挪作他用。</w:t>
      </w:r>
    </w:p>
    <w:p w14:paraId="6905D6CC">
      <w:pPr>
        <w:ind w:firstLine="640"/>
        <w:rPr>
          <w:rFonts w:hint="eastAsia" w:hAnsi="Times New Roman"/>
        </w:rPr>
      </w:pPr>
      <w:r>
        <w:rPr>
          <w:rFonts w:hint="eastAsia" w:hAnsi="Times New Roman"/>
        </w:rPr>
        <w:t>6.机房内严禁使用来历不明的软盘、光盘、U盘等移动存储介质。严禁携带病毒盘和游戏进入机房，严禁在因特网上下载与工作无关的内容，以防系统被破坏。</w:t>
      </w:r>
    </w:p>
    <w:p w14:paraId="24D0802A">
      <w:pPr>
        <w:ind w:firstLine="640"/>
        <w:rPr>
          <w:rFonts w:hint="eastAsia" w:hAnsi="Times New Roman"/>
        </w:rPr>
      </w:pPr>
      <w:r>
        <w:rPr>
          <w:rFonts w:hint="eastAsia" w:hAnsi="Times New Roman"/>
        </w:rPr>
        <w:t>7.运维人员如不按本规定工作，人为造成责任事故，将视情节轻重，按有关规定处罚。</w:t>
      </w:r>
    </w:p>
    <w:p w14:paraId="1BA5D751">
      <w:pPr>
        <w:ind w:firstLine="640"/>
        <w:rPr>
          <w:rFonts w:hint="eastAsia" w:hAnsi="Times New Roman"/>
        </w:rPr>
      </w:pPr>
      <w:r>
        <w:rPr>
          <w:rFonts w:hint="eastAsia" w:hAnsi="Times New Roman"/>
        </w:rPr>
        <w:t>8.停断电时候的处置要求：核查原因、联系供电公司、群内发布消息、关闭服务器等。</w:t>
      </w:r>
    </w:p>
    <w:p w14:paraId="4DE17262">
      <w:pPr>
        <w:ind w:firstLine="640"/>
        <w:rPr>
          <w:rFonts w:hint="eastAsia" w:hAnsi="Times New Roman"/>
        </w:rPr>
      </w:pPr>
      <w:r>
        <w:rPr>
          <w:rFonts w:hint="eastAsia" w:hAnsi="Times New Roman"/>
        </w:rPr>
        <w:t>9.中心机房内严禁吸烟、喝水、吃食物、嬉戏，保持机房安静。</w:t>
      </w:r>
    </w:p>
    <w:p w14:paraId="7096D1B4">
      <w:pPr>
        <w:ind w:firstLine="640"/>
        <w:rPr>
          <w:rFonts w:ascii="Times New Roman" w:hAnsi="Times New Roman"/>
        </w:rPr>
      </w:pPr>
      <w:r>
        <w:rPr>
          <w:rFonts w:hint="eastAsia" w:hAnsi="Times New Roman"/>
        </w:rPr>
        <w:t>10.工</w:t>
      </w:r>
      <w:r>
        <w:rPr>
          <w:rFonts w:ascii="Times New Roman" w:hAnsi="Times New Roman"/>
        </w:rPr>
        <w:t>作人员应做好网络安全工作，服务器、各核心设备等的重要信息严格保密，规范管理。做好软件系统的定期维护工作。</w:t>
      </w:r>
    </w:p>
    <w:p w14:paraId="1608FEB0">
      <w:pPr>
        <w:ind w:firstLine="640"/>
        <w:rPr>
          <w:rFonts w:hint="eastAsia" w:hAnsi="Times New Roman"/>
        </w:rPr>
      </w:pPr>
      <w:r>
        <w:rPr>
          <w:rFonts w:hint="eastAsia" w:hAnsi="Times New Roman"/>
        </w:rPr>
        <w:t>11.值班人员必须定时查看中心设备运行状况情况，确保安全、高效运行。</w:t>
      </w:r>
    </w:p>
    <w:p w14:paraId="63789862">
      <w:pPr>
        <w:pStyle w:val="4"/>
        <w:ind w:firstLine="643"/>
      </w:pPr>
      <w:r>
        <w:t>（</w:t>
      </w:r>
      <w:r>
        <w:rPr>
          <w:rFonts w:hint="eastAsia"/>
        </w:rPr>
        <w:t>三</w:t>
      </w:r>
      <w:r>
        <w:t>）应急指挥中心大厅管理制度</w:t>
      </w:r>
    </w:p>
    <w:p w14:paraId="55B7B47C">
      <w:pPr>
        <w:ind w:firstLine="640"/>
        <w:rPr>
          <w:rFonts w:ascii="Times New Roman" w:hAnsi="Times New Roman"/>
        </w:rPr>
      </w:pPr>
      <w:r>
        <w:rPr>
          <w:rFonts w:ascii="Times New Roman" w:hAnsi="Times New Roman"/>
        </w:rPr>
        <w:t>为确保应急指挥中心监控系统的安全运行，规范值班秩序，特制定本规定。</w:t>
      </w:r>
    </w:p>
    <w:p w14:paraId="04BA9512">
      <w:pPr>
        <w:ind w:firstLine="640"/>
        <w:rPr>
          <w:rFonts w:hint="eastAsia" w:hAnsi="Times New Roman"/>
        </w:rPr>
      </w:pPr>
      <w:r>
        <w:rPr>
          <w:rFonts w:hint="eastAsia" w:hAnsi="Times New Roman"/>
        </w:rPr>
        <w:t>1.值班人员应具有高度的工作责任心，严格按操作规程进行操作，密切关注各类监控信息；发现事故、异常情况和接到报警应按规定处理，并立即报告值班领导和相关部门。</w:t>
      </w:r>
    </w:p>
    <w:p w14:paraId="6450F00F">
      <w:pPr>
        <w:ind w:firstLine="640"/>
        <w:rPr>
          <w:rFonts w:hint="eastAsia" w:hAnsi="Times New Roman"/>
        </w:rPr>
      </w:pPr>
      <w:r>
        <w:rPr>
          <w:rFonts w:hint="eastAsia" w:hAnsi="Times New Roman"/>
        </w:rPr>
        <w:t>2.值班人员严守岗位纪律。不得擅自脱岗，未经允许不得随意代班、调班；值班人员严禁在监控大厅做与工作无关的事情，不得在监控大厅内会客或进行娱乐活动；值班人员按时交接班，交接班时须交接当班情况和待办事项，并认真登记交接班记录。</w:t>
      </w:r>
    </w:p>
    <w:p w14:paraId="326C934A">
      <w:pPr>
        <w:ind w:firstLine="640"/>
        <w:rPr>
          <w:rFonts w:hint="eastAsia" w:hAnsi="Times New Roman"/>
        </w:rPr>
      </w:pPr>
      <w:r>
        <w:rPr>
          <w:rFonts w:hint="eastAsia" w:hAnsi="Times New Roman"/>
        </w:rPr>
        <w:t>3.保持监控大厅整洁。禁止带入食品，禁止吸烟．禁止大声喧哗，液态物质远离电器设备放置；严禁使用会干扰仪器正常运行的电子设备，严禁使用电热器具。</w:t>
      </w:r>
    </w:p>
    <w:p w14:paraId="02904D60">
      <w:pPr>
        <w:ind w:firstLine="640"/>
        <w:rPr>
          <w:rFonts w:hint="eastAsia" w:hAnsi="Times New Roman"/>
        </w:rPr>
      </w:pPr>
      <w:r>
        <w:rPr>
          <w:rFonts w:hint="eastAsia" w:hAnsi="Times New Roman"/>
        </w:rPr>
        <w:t>4.节约能源。空调温度设置应确保设备安全正常运行，杜绝照明设置“长明灯”，计算机、打印机、复印机等办公设备长时间不用或下班时应切断电源，减少待机耗能。</w:t>
      </w:r>
    </w:p>
    <w:p w14:paraId="41077BE3">
      <w:pPr>
        <w:ind w:firstLine="640"/>
        <w:rPr>
          <w:rFonts w:ascii="Times New Roman" w:hAnsi="Times New Roman"/>
        </w:rPr>
      </w:pPr>
      <w:r>
        <w:rPr>
          <w:rFonts w:hint="eastAsia" w:hAnsi="Times New Roman"/>
        </w:rPr>
        <w:t>5.外来单位</w:t>
      </w:r>
      <w:r>
        <w:rPr>
          <w:rFonts w:ascii="Times New Roman" w:hAnsi="Times New Roman"/>
        </w:rPr>
        <w:t>人员来大厅参观，需经领导同意，并由专人引领陪同方可进入大厅，接待来宾和接打电话要注重礼仪，使用文明礼貌用语。</w:t>
      </w:r>
    </w:p>
    <w:p w14:paraId="60379A31">
      <w:pPr>
        <w:pStyle w:val="4"/>
        <w:ind w:firstLine="643"/>
      </w:pPr>
      <w:r>
        <w:t>（</w:t>
      </w:r>
      <w:r>
        <w:rPr>
          <w:rFonts w:hint="eastAsia"/>
        </w:rPr>
        <w:t>四</w:t>
      </w:r>
      <w:r>
        <w:t>）信息安全保密制度</w:t>
      </w:r>
    </w:p>
    <w:p w14:paraId="4A00B45A">
      <w:pPr>
        <w:ind w:firstLine="640"/>
        <w:rPr>
          <w:rFonts w:hint="eastAsia" w:hAnsi="Times New Roman"/>
        </w:rPr>
      </w:pPr>
      <w:r>
        <w:rPr>
          <w:rFonts w:hint="eastAsia" w:hAnsi="Times New Roman"/>
        </w:rPr>
        <w:t>1.应急指挥中心工作人员以及接触园区专网的所有人员，都必须执行本制度。必须遵守国家的有关法律法规，严格执行安全保密制度，并对所提供信息负责。严禁进行危害国家安全、泄露平台秘密、损害园区利益的活动及其他违法犯罪活动。</w:t>
      </w:r>
    </w:p>
    <w:p w14:paraId="24C26D97">
      <w:pPr>
        <w:ind w:firstLine="640"/>
        <w:rPr>
          <w:rFonts w:hint="eastAsia" w:hAnsi="Times New Roman"/>
        </w:rPr>
      </w:pPr>
      <w:r>
        <w:rPr>
          <w:rFonts w:hint="eastAsia" w:hAnsi="Times New Roman"/>
        </w:rPr>
        <w:t>2.中心要积极利用现有技术设备的手段，防范联网运行中的泄密行为及危害国家安全的违法犯罪行为，预防园区及联网单位的利益受到损害。</w:t>
      </w:r>
    </w:p>
    <w:p w14:paraId="6DDB53CD">
      <w:pPr>
        <w:ind w:firstLine="640"/>
        <w:rPr>
          <w:rFonts w:hint="eastAsia" w:hAnsi="Times New Roman"/>
        </w:rPr>
      </w:pPr>
      <w:r>
        <w:rPr>
          <w:rFonts w:hint="eastAsia" w:hAnsi="Times New Roman"/>
        </w:rPr>
        <w:t>3.所有工作人员应对告警信息、电话信息、企业各项信息、监控音视频资料、GIS地理信息等资料数据严格保密，未经许可，不得以任何方式泄露。</w:t>
      </w:r>
    </w:p>
    <w:p w14:paraId="12B37343">
      <w:pPr>
        <w:ind w:firstLine="640"/>
        <w:rPr>
          <w:rFonts w:hint="eastAsia" w:hAnsi="Times New Roman"/>
        </w:rPr>
      </w:pPr>
      <w:r>
        <w:rPr>
          <w:rFonts w:hint="eastAsia" w:hAnsi="Times New Roman"/>
        </w:rPr>
        <w:t>4.杜绝外网发布信息。</w:t>
      </w:r>
    </w:p>
    <w:p w14:paraId="690463F5">
      <w:pPr>
        <w:ind w:firstLine="640"/>
        <w:rPr>
          <w:rFonts w:ascii="Times New Roman" w:hAnsi="Times New Roman"/>
        </w:rPr>
      </w:pPr>
      <w:r>
        <w:rPr>
          <w:rFonts w:hint="eastAsia" w:hAnsi="Times New Roman"/>
        </w:rPr>
        <w:t>5.中心工作人员违反保密制度的，按有关规定处理。情节严重造成后</w:t>
      </w:r>
      <w:r>
        <w:rPr>
          <w:rFonts w:ascii="Times New Roman" w:hAnsi="Times New Roman"/>
        </w:rPr>
        <w:t>果的，要追究相应的法律责任。</w:t>
      </w:r>
    </w:p>
    <w:p w14:paraId="2AEE6262">
      <w:pPr>
        <w:pStyle w:val="4"/>
        <w:ind w:firstLine="643"/>
      </w:pPr>
      <w:r>
        <w:t>（</w:t>
      </w:r>
      <w:r>
        <w:rPr>
          <w:rFonts w:hint="eastAsia"/>
        </w:rPr>
        <w:t>五</w:t>
      </w:r>
      <w:r>
        <w:t>）考核制度</w:t>
      </w:r>
    </w:p>
    <w:p w14:paraId="47EDE0EA">
      <w:pPr>
        <w:ind w:firstLine="640"/>
        <w:rPr>
          <w:rFonts w:ascii="Times New Roman" w:hAnsi="Times New Roman"/>
        </w:rPr>
      </w:pPr>
      <w:r>
        <w:rPr>
          <w:rFonts w:ascii="Times New Roman" w:hAnsi="Times New Roman"/>
        </w:rPr>
        <w:t>为加强运维技术人员的管理，提高智能管控平台运行维护质量，降低运维成本，让运维服务的运行管理高效，规范，特制定本管理办法。</w:t>
      </w:r>
    </w:p>
    <w:p w14:paraId="263574F0">
      <w:pPr>
        <w:ind w:firstLine="640"/>
        <w:rPr>
          <w:rFonts w:hint="eastAsia" w:hAnsi="Times New Roman"/>
          <w:b/>
          <w:bCs/>
        </w:rPr>
      </w:pPr>
      <w:r>
        <w:rPr>
          <w:rFonts w:hint="eastAsia" w:hAnsi="Times New Roman"/>
        </w:rPr>
        <w:t>1.行为考核</w:t>
      </w:r>
    </w:p>
    <w:p w14:paraId="722B4B06">
      <w:pPr>
        <w:ind w:firstLine="640"/>
        <w:rPr>
          <w:rFonts w:hint="eastAsia" w:hAnsi="Times New Roman"/>
        </w:rPr>
      </w:pPr>
      <w:r>
        <w:rPr>
          <w:rFonts w:hint="eastAsia" w:hAnsi="Times New Roman"/>
        </w:rPr>
        <w:t>（1）运维单位所有人员要按运维单位的管理制度执行考勤、出差、请销假、采购、财务等管理制度。</w:t>
      </w:r>
    </w:p>
    <w:p w14:paraId="5848AAB0">
      <w:pPr>
        <w:ind w:firstLine="640"/>
        <w:rPr>
          <w:rFonts w:hint="eastAsia" w:hAnsi="Times New Roman"/>
        </w:rPr>
      </w:pPr>
      <w:r>
        <w:rPr>
          <w:rFonts w:hint="eastAsia" w:hAnsi="Times New Roman"/>
        </w:rPr>
        <w:t>（2）运维人员要保持平台、各自工作区域及周边环境卫生。</w:t>
      </w:r>
    </w:p>
    <w:p w14:paraId="3C63508E">
      <w:pPr>
        <w:ind w:firstLine="640"/>
        <w:rPr>
          <w:rFonts w:ascii="Times New Roman" w:hAnsi="Times New Roman"/>
        </w:rPr>
      </w:pPr>
      <w:r>
        <w:rPr>
          <w:rFonts w:hint="eastAsia" w:hAnsi="Times New Roman"/>
        </w:rPr>
        <w:t>（3）为保</w:t>
      </w:r>
      <w:r>
        <w:rPr>
          <w:rFonts w:ascii="Times New Roman" w:hAnsi="Times New Roman"/>
        </w:rPr>
        <w:t>证运维质量和服务形象，规定运维单位所有人员工作期间不许喝酒、打牌，不在平台内抽烟。一经发现，根据相关规定扣除一定的绩效工资。</w:t>
      </w:r>
    </w:p>
    <w:p w14:paraId="53025438">
      <w:pPr>
        <w:ind w:firstLine="640"/>
        <w:rPr>
          <w:rFonts w:hint="eastAsia" w:hAnsi="Times New Roman"/>
        </w:rPr>
      </w:pPr>
      <w:r>
        <w:rPr>
          <w:rFonts w:hint="eastAsia" w:hAnsi="Times New Roman"/>
        </w:rPr>
        <w:t>（4）严格遵守操作规范及部门工作流程。</w:t>
      </w:r>
    </w:p>
    <w:p w14:paraId="4165BA64">
      <w:pPr>
        <w:ind w:firstLine="640"/>
        <w:rPr>
          <w:rFonts w:hint="eastAsia" w:hAnsi="Times New Roman"/>
        </w:rPr>
      </w:pPr>
      <w:r>
        <w:rPr>
          <w:rFonts w:hint="eastAsia" w:hAnsi="Times New Roman"/>
        </w:rPr>
        <w:t>（5）相关人员要合理、有计划的安排好各自的工作。</w:t>
      </w:r>
    </w:p>
    <w:p w14:paraId="4344F988">
      <w:pPr>
        <w:ind w:firstLine="640"/>
        <w:rPr>
          <w:rFonts w:hint="eastAsia" w:hAnsi="Times New Roman"/>
        </w:rPr>
      </w:pPr>
      <w:r>
        <w:rPr>
          <w:rFonts w:hint="eastAsia" w:hAnsi="Times New Roman"/>
        </w:rPr>
        <w:t>2.绩效考核</w:t>
      </w:r>
    </w:p>
    <w:p w14:paraId="5AEDFD9A">
      <w:pPr>
        <w:ind w:firstLine="640"/>
        <w:rPr>
          <w:rFonts w:hint="eastAsia" w:hAnsi="Times New Roman"/>
        </w:rPr>
      </w:pPr>
      <w:r>
        <w:rPr>
          <w:rFonts w:hint="eastAsia" w:hAnsi="Times New Roman"/>
        </w:rPr>
        <w:t>（1）各班组人员在日常巡检中，发现数据异常、超标，企业工艺等参数报警情况时，要及时查找锁定对应企业，并上报相关领导。</w:t>
      </w:r>
    </w:p>
    <w:p w14:paraId="3DC00856">
      <w:pPr>
        <w:ind w:firstLine="640"/>
        <w:rPr>
          <w:rFonts w:hint="eastAsia" w:hAnsi="Times New Roman"/>
        </w:rPr>
      </w:pPr>
      <w:r>
        <w:rPr>
          <w:rFonts w:hint="eastAsia" w:hAnsi="Times New Roman"/>
        </w:rPr>
        <w:t>（2）能够熟悉平台各板块，并能够给领导等相关人员讲解。</w:t>
      </w:r>
    </w:p>
    <w:p w14:paraId="631A9904">
      <w:pPr>
        <w:ind w:firstLine="640"/>
        <w:rPr>
          <w:rFonts w:hint="eastAsia" w:hAnsi="Times New Roman"/>
        </w:rPr>
      </w:pPr>
      <w:r>
        <w:rPr>
          <w:rFonts w:hint="eastAsia" w:hAnsi="Times New Roman"/>
        </w:rPr>
        <w:t>（3）能够独立完成各自的工作，并能够完成领导安排的其他工作。</w:t>
      </w:r>
    </w:p>
    <w:p w14:paraId="241336BD">
      <w:pPr>
        <w:ind w:firstLine="640"/>
        <w:rPr>
          <w:rFonts w:hint="eastAsia" w:hAnsi="Times New Roman"/>
        </w:rPr>
      </w:pPr>
      <w:r>
        <w:rPr>
          <w:rFonts w:hint="eastAsia" w:hAnsi="Times New Roman"/>
        </w:rPr>
        <w:t>（4）数据及时上报并报告完整。</w:t>
      </w:r>
    </w:p>
    <w:p w14:paraId="137052FF">
      <w:pPr>
        <w:ind w:firstLine="640"/>
        <w:rPr>
          <w:rFonts w:ascii="Times New Roman" w:hAnsi="Times New Roman"/>
        </w:rPr>
      </w:pPr>
      <w:r>
        <w:rPr>
          <w:rFonts w:hint="eastAsia" w:hAnsi="Times New Roman"/>
        </w:rPr>
        <w:t>（5）对运维人员工作中出现的问题，给园区经济利益和名誉造成重大损失的</w:t>
      </w:r>
      <w:r>
        <w:rPr>
          <w:rFonts w:ascii="Times New Roman" w:hAnsi="Times New Roman"/>
        </w:rPr>
        <w:t>采取清退措施。</w:t>
      </w:r>
    </w:p>
    <w:p w14:paraId="2999AA43">
      <w:pPr>
        <w:ind w:firstLine="0" w:firstLineChars="0"/>
        <w:rPr>
          <w:rFonts w:ascii="Times New Roman" w:hAnsi="Times New Roman"/>
        </w:rPr>
        <w:sectPr>
          <w:pgSz w:w="11906" w:h="16838"/>
          <w:pgMar w:top="2098" w:right="1531" w:bottom="1984" w:left="1531" w:header="851" w:footer="1417" w:gutter="0"/>
          <w:cols w:space="720" w:num="1"/>
          <w:docGrid w:type="lines" w:linePitch="439" w:charSpace="0"/>
        </w:sectPr>
      </w:pPr>
    </w:p>
    <w:p w14:paraId="28A0455F">
      <w:pPr>
        <w:pStyle w:val="2"/>
        <w:bidi w:val="0"/>
        <w:rPr>
          <w:rFonts w:hint="eastAsia"/>
          <w:lang w:val="zh-CN" w:eastAsia="zh-CN"/>
        </w:rPr>
      </w:pPr>
      <w:bookmarkStart w:id="77" w:name="_Toc4639"/>
      <w:r>
        <w:t>第十</w:t>
      </w:r>
      <w:r>
        <w:rPr>
          <w:rFonts w:hint="eastAsia"/>
          <w:lang w:val="en-US" w:eastAsia="zh-CN"/>
        </w:rPr>
        <w:t>五</w:t>
      </w:r>
      <w:r>
        <w:t xml:space="preserve">章 </w:t>
      </w:r>
      <w:r>
        <w:rPr>
          <w:rFonts w:hint="eastAsia"/>
          <w:lang w:val="en-US" w:eastAsia="zh-CN"/>
        </w:rPr>
        <w:t xml:space="preserve"> </w:t>
      </w:r>
      <w:r>
        <w:t>园区</w:t>
      </w:r>
      <w:r>
        <w:rPr>
          <w:rFonts w:hint="eastAsia"/>
          <w:lang w:val="en-US" w:eastAsia="zh-CN"/>
        </w:rPr>
        <w:t>生态环境保护</w:t>
      </w:r>
      <w:r>
        <w:t>管理</w:t>
      </w:r>
      <w:bookmarkEnd w:id="77"/>
    </w:p>
    <w:p w14:paraId="64E46F89">
      <w:pPr>
        <w:pStyle w:val="3"/>
        <w:bidi w:val="0"/>
        <w:jc w:val="left"/>
        <w:rPr>
          <w:rFonts w:hint="eastAsia" w:ascii="黑体" w:hAnsi="黑体" w:eastAsia="黑体" w:cs="黑体"/>
          <w:b w:val="0"/>
          <w:bCs/>
          <w:sz w:val="32"/>
          <w:szCs w:val="21"/>
        </w:rPr>
      </w:pPr>
      <w:bookmarkStart w:id="78" w:name="_Toc14217"/>
      <w:r>
        <w:rPr>
          <w:rFonts w:hint="eastAsia" w:ascii="黑体" w:hAnsi="黑体" w:eastAsia="黑体" w:cs="黑体"/>
          <w:b w:val="0"/>
          <w:bCs/>
          <w:sz w:val="32"/>
          <w:szCs w:val="21"/>
        </w:rPr>
        <w:t>三十</w:t>
      </w:r>
      <w:r>
        <w:rPr>
          <w:rFonts w:hint="eastAsia" w:ascii="黑体" w:hAnsi="黑体" w:eastAsia="黑体" w:cs="黑体"/>
          <w:b w:val="0"/>
          <w:bCs/>
          <w:sz w:val="32"/>
          <w:szCs w:val="21"/>
          <w:lang w:val="en-US" w:eastAsia="zh-CN"/>
        </w:rPr>
        <w:t>七</w:t>
      </w:r>
      <w:r>
        <w:rPr>
          <w:rFonts w:hint="eastAsia" w:ascii="黑体" w:hAnsi="黑体" w:eastAsia="黑体" w:cs="黑体"/>
          <w:b w:val="0"/>
          <w:bCs/>
          <w:sz w:val="32"/>
          <w:szCs w:val="21"/>
        </w:rPr>
        <w:t>、化工园区</w:t>
      </w:r>
      <w:bookmarkEnd w:id="78"/>
      <w:r>
        <w:rPr>
          <w:rFonts w:hint="eastAsia" w:ascii="黑体" w:hAnsi="黑体" w:eastAsia="黑体" w:cs="黑体"/>
          <w:b w:val="0"/>
          <w:bCs/>
          <w:sz w:val="32"/>
          <w:szCs w:val="21"/>
          <w:lang w:val="zh-CN" w:eastAsia="zh-CN"/>
        </w:rPr>
        <w:t>生态环境保护管理制度</w:t>
      </w:r>
    </w:p>
    <w:p w14:paraId="6B3A10C2">
      <w:pPr>
        <w:pStyle w:val="4"/>
        <w:bidi w:val="0"/>
        <w:rPr>
          <w:rFonts w:hint="default"/>
          <w:lang w:val="en-US" w:eastAsia="zh-CN"/>
        </w:rPr>
      </w:pPr>
      <w:r>
        <w:rPr>
          <w:rFonts w:hint="eastAsia"/>
          <w:lang w:val="zh-CN" w:eastAsia="zh-CN"/>
        </w:rPr>
        <w:t>（</w:t>
      </w:r>
      <w:r>
        <w:rPr>
          <w:rFonts w:hint="eastAsia"/>
          <w:lang w:val="en-US" w:eastAsia="zh-CN"/>
        </w:rPr>
        <w:t>一</w:t>
      </w:r>
      <w:r>
        <w:rPr>
          <w:rFonts w:hint="eastAsia"/>
          <w:lang w:val="zh-CN" w:eastAsia="zh-CN"/>
        </w:rPr>
        <w:t>）</w:t>
      </w:r>
      <w:r>
        <w:rPr>
          <w:rFonts w:hint="eastAsia"/>
          <w:lang w:val="en-US" w:eastAsia="zh-CN"/>
        </w:rPr>
        <w:t>总则</w:t>
      </w:r>
    </w:p>
    <w:p w14:paraId="38AFC93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left"/>
        <w:textAlignment w:val="auto"/>
        <w:rPr>
          <w:rFonts w:hint="default" w:ascii="仿宋_GB2312" w:hAnsi="仿宋_GB2312" w:eastAsia="仿宋_GB2312" w:cs="仿宋_GB2312"/>
          <w:color w:val="auto"/>
          <w:spacing w:val="0"/>
          <w:w w:val="100"/>
          <w:kern w:val="0"/>
          <w:sz w:val="32"/>
          <w:szCs w:val="32"/>
          <w:lang w:val="zh-CN" w:eastAsia="zh-CN" w:bidi="zh-CN"/>
        </w:rPr>
      </w:pPr>
      <w:r>
        <w:rPr>
          <w:rFonts w:hint="eastAsia" w:ascii="楷体_GB2312" w:hAnsi="楷体_GB2312" w:eastAsia="楷体_GB2312" w:cs="楷体_GB2312"/>
          <w:bCs/>
          <w:color w:val="auto"/>
          <w:spacing w:val="0"/>
          <w:w w:val="100"/>
          <w:kern w:val="0"/>
          <w:sz w:val="32"/>
          <w:szCs w:val="32"/>
          <w:lang w:val="en-US" w:eastAsia="zh-CN" w:bidi="zh-CN"/>
        </w:rPr>
        <w:t>1.</w:t>
      </w:r>
      <w:r>
        <w:rPr>
          <w:rFonts w:hint="default" w:ascii="仿宋_GB2312" w:hAnsi="仿宋_GB2312" w:eastAsia="仿宋_GB2312" w:cs="仿宋_GB2312"/>
          <w:color w:val="auto"/>
          <w:spacing w:val="0"/>
          <w:w w:val="100"/>
          <w:kern w:val="0"/>
          <w:sz w:val="32"/>
          <w:szCs w:val="32"/>
          <w:lang w:val="zh-CN" w:eastAsia="zh-CN" w:bidi="zh-CN"/>
        </w:rPr>
        <w:t>为加强随州市青春化工工业园（以下简称“园区”）的生态环境保护工作，促进经济与环境的协调发展，根据《</w:t>
      </w:r>
      <w:r>
        <w:rPr>
          <w:rFonts w:hint="default" w:ascii="仿宋_GB2312" w:hAnsi="仿宋_GB2312" w:eastAsia="仿宋_GB2312" w:cs="仿宋_GB2312"/>
          <w:color w:val="auto"/>
          <w:spacing w:val="0"/>
          <w:w w:val="100"/>
          <w:kern w:val="0"/>
          <w:sz w:val="32"/>
          <w:szCs w:val="32"/>
          <w:lang w:val="zh-CN" w:eastAsia="zh-CN" w:bidi="zh-CN"/>
        </w:rPr>
        <w:fldChar w:fldCharType="begin"/>
      </w:r>
      <w:r>
        <w:rPr>
          <w:rFonts w:hint="default" w:ascii="仿宋_GB2312" w:hAnsi="仿宋_GB2312" w:eastAsia="仿宋_GB2312" w:cs="仿宋_GB2312"/>
          <w:color w:val="auto"/>
          <w:spacing w:val="0"/>
          <w:w w:val="100"/>
          <w:kern w:val="0"/>
          <w:sz w:val="32"/>
          <w:szCs w:val="32"/>
          <w:lang w:val="zh-CN" w:eastAsia="zh-CN" w:bidi="zh-CN"/>
        </w:rPr>
        <w:instrText xml:space="preserve"> HYPERLINK "https://baike.baidu.com/item/%E5%9B%BD%E5%8A%A1%E9%99%A2%E5%85%B3%E4%BA%8E%E5%8A%A0%E5%BC%BA%E7%8E%AF%E5%A2%83%E4%BF%9D%E6%8A%A4%E9%87%8D%E7%82%B9%E5%B7%A5%E4%BD%9C%E7%9A%84%E6%84%8F%E8%A7%81/8234607?fromModule=lemma_inlink" \t "/home/thtf/Documents\\x/_blank" </w:instrText>
      </w:r>
      <w:r>
        <w:rPr>
          <w:rFonts w:hint="default" w:ascii="仿宋_GB2312" w:hAnsi="仿宋_GB2312" w:eastAsia="仿宋_GB2312" w:cs="仿宋_GB2312"/>
          <w:color w:val="auto"/>
          <w:spacing w:val="0"/>
          <w:w w:val="100"/>
          <w:kern w:val="0"/>
          <w:sz w:val="32"/>
          <w:szCs w:val="32"/>
          <w:lang w:val="zh-CN" w:eastAsia="zh-CN" w:bidi="zh-CN"/>
        </w:rPr>
        <w:fldChar w:fldCharType="separate"/>
      </w:r>
      <w:r>
        <w:rPr>
          <w:rFonts w:hint="default" w:ascii="仿宋_GB2312" w:hAnsi="仿宋_GB2312" w:eastAsia="仿宋_GB2312" w:cs="仿宋_GB2312"/>
          <w:color w:val="auto"/>
          <w:spacing w:val="0"/>
          <w:w w:val="100"/>
          <w:kern w:val="0"/>
          <w:sz w:val="32"/>
          <w:szCs w:val="32"/>
          <w:lang w:val="zh-CN" w:eastAsia="zh-CN" w:bidi="zh-CN"/>
        </w:rPr>
        <w:t>国务院关于加强环境保护重点工作的意见</w:t>
      </w:r>
      <w:r>
        <w:rPr>
          <w:rFonts w:hint="default" w:ascii="仿宋_GB2312" w:hAnsi="仿宋_GB2312" w:eastAsia="仿宋_GB2312" w:cs="仿宋_GB2312"/>
          <w:color w:val="auto"/>
          <w:spacing w:val="0"/>
          <w:w w:val="100"/>
          <w:kern w:val="0"/>
          <w:sz w:val="32"/>
          <w:szCs w:val="32"/>
          <w:lang w:val="zh-CN" w:eastAsia="zh-CN" w:bidi="zh-CN"/>
        </w:rPr>
        <w:fldChar w:fldCharType="end"/>
      </w:r>
      <w:r>
        <w:rPr>
          <w:rFonts w:hint="default" w:ascii="仿宋_GB2312" w:hAnsi="仿宋_GB2312" w:eastAsia="仿宋_GB2312" w:cs="仿宋_GB2312"/>
          <w:color w:val="auto"/>
          <w:spacing w:val="0"/>
          <w:w w:val="100"/>
          <w:kern w:val="0"/>
          <w:sz w:val="32"/>
          <w:szCs w:val="32"/>
          <w:lang w:val="zh-CN" w:eastAsia="zh-CN" w:bidi="zh-CN"/>
        </w:rPr>
        <w:t>》（国发〔2011〕35号）、《</w:t>
      </w:r>
      <w:r>
        <w:rPr>
          <w:rFonts w:hint="default" w:ascii="仿宋_GB2312" w:hAnsi="仿宋_GB2312" w:eastAsia="仿宋_GB2312" w:cs="仿宋_GB2312"/>
          <w:color w:val="auto"/>
          <w:spacing w:val="0"/>
          <w:w w:val="100"/>
          <w:kern w:val="0"/>
          <w:sz w:val="32"/>
          <w:szCs w:val="32"/>
          <w:lang w:val="zh-CN" w:eastAsia="zh-CN" w:bidi="zh-CN"/>
        </w:rPr>
        <w:fldChar w:fldCharType="begin"/>
      </w:r>
      <w:r>
        <w:rPr>
          <w:rFonts w:hint="default" w:ascii="仿宋_GB2312" w:hAnsi="仿宋_GB2312" w:eastAsia="仿宋_GB2312" w:cs="仿宋_GB2312"/>
          <w:color w:val="auto"/>
          <w:spacing w:val="0"/>
          <w:w w:val="100"/>
          <w:kern w:val="0"/>
          <w:sz w:val="32"/>
          <w:szCs w:val="32"/>
          <w:lang w:val="zh-CN" w:eastAsia="zh-CN" w:bidi="zh-CN"/>
        </w:rPr>
        <w:instrText xml:space="preserve"> HYPERLINK "https://baike.baidu.com/item/%E5%9B%BD%E5%AE%B6%E7%8E%AF%E5%A2%83%E4%BF%9D%E6%8A%A4%E2%80%9C%E5%8D%81%E4%BA%8C%E4%BA%94%E2%80%9D%E8%A7%84%E5%88%92/4400068?fromModule=lemma_inlink" \t "/home/thtf/Documents\\x/_blank" </w:instrText>
      </w:r>
      <w:r>
        <w:rPr>
          <w:rFonts w:hint="default" w:ascii="仿宋_GB2312" w:hAnsi="仿宋_GB2312" w:eastAsia="仿宋_GB2312" w:cs="仿宋_GB2312"/>
          <w:color w:val="auto"/>
          <w:spacing w:val="0"/>
          <w:w w:val="100"/>
          <w:kern w:val="0"/>
          <w:sz w:val="32"/>
          <w:szCs w:val="32"/>
          <w:lang w:val="zh-CN" w:eastAsia="zh-CN" w:bidi="zh-CN"/>
        </w:rPr>
        <w:fldChar w:fldCharType="separate"/>
      </w:r>
      <w:r>
        <w:rPr>
          <w:rFonts w:hint="default" w:ascii="仿宋_GB2312" w:hAnsi="仿宋_GB2312" w:eastAsia="仿宋_GB2312" w:cs="仿宋_GB2312"/>
          <w:color w:val="auto"/>
          <w:spacing w:val="0"/>
          <w:w w:val="100"/>
          <w:kern w:val="0"/>
          <w:sz w:val="32"/>
          <w:szCs w:val="32"/>
          <w:lang w:val="zh-CN" w:eastAsia="zh-CN" w:bidi="zh-CN"/>
        </w:rPr>
        <w:t>国家环境保护“十二五”规划</w:t>
      </w:r>
      <w:r>
        <w:rPr>
          <w:rFonts w:hint="default" w:ascii="仿宋_GB2312" w:hAnsi="仿宋_GB2312" w:eastAsia="仿宋_GB2312" w:cs="仿宋_GB2312"/>
          <w:color w:val="auto"/>
          <w:spacing w:val="0"/>
          <w:w w:val="100"/>
          <w:kern w:val="0"/>
          <w:sz w:val="32"/>
          <w:szCs w:val="32"/>
          <w:lang w:val="zh-CN" w:eastAsia="zh-CN" w:bidi="zh-CN"/>
        </w:rPr>
        <w:fldChar w:fldCharType="end"/>
      </w:r>
      <w:r>
        <w:rPr>
          <w:rFonts w:hint="default" w:ascii="仿宋_GB2312" w:hAnsi="仿宋_GB2312" w:eastAsia="仿宋_GB2312" w:cs="仿宋_GB2312"/>
          <w:color w:val="auto"/>
          <w:spacing w:val="0"/>
          <w:w w:val="100"/>
          <w:kern w:val="0"/>
          <w:sz w:val="32"/>
          <w:szCs w:val="32"/>
          <w:lang w:val="zh-CN" w:eastAsia="zh-CN" w:bidi="zh-CN"/>
        </w:rPr>
        <w:t>》（国发〔2011〕42号）</w:t>
      </w:r>
      <w:r>
        <w:rPr>
          <w:rFonts w:hint="eastAsia" w:ascii="仿宋_GB2312" w:hAnsi="仿宋_GB2312" w:eastAsia="仿宋_GB2312" w:cs="仿宋_GB2312"/>
          <w:color w:val="auto"/>
          <w:spacing w:val="0"/>
          <w:w w:val="100"/>
          <w:kern w:val="0"/>
          <w:sz w:val="32"/>
          <w:szCs w:val="32"/>
          <w:lang w:val="zh-CN" w:eastAsia="zh-CN" w:bidi="zh-CN"/>
        </w:rPr>
        <w:t>及</w:t>
      </w:r>
      <w:r>
        <w:rPr>
          <w:rFonts w:hint="default" w:ascii="仿宋_GB2312" w:hAnsi="仿宋_GB2312" w:eastAsia="仿宋_GB2312" w:cs="仿宋_GB2312"/>
          <w:color w:val="auto"/>
          <w:spacing w:val="0"/>
          <w:w w:val="100"/>
          <w:kern w:val="0"/>
          <w:sz w:val="32"/>
          <w:szCs w:val="32"/>
          <w:lang w:val="zh-CN" w:eastAsia="zh-CN" w:bidi="zh-CN"/>
        </w:rPr>
        <w:t>《关于加强化工园区环境保护工作的意见》（环发〔2012〕54号）</w:t>
      </w:r>
      <w:r>
        <w:rPr>
          <w:rFonts w:hint="eastAsia" w:ascii="仿宋_GB2312" w:hAnsi="仿宋_GB2312" w:eastAsia="仿宋_GB2312" w:cs="仿宋_GB2312"/>
          <w:color w:val="auto"/>
          <w:spacing w:val="0"/>
          <w:w w:val="100"/>
          <w:kern w:val="0"/>
          <w:sz w:val="32"/>
          <w:szCs w:val="32"/>
          <w:lang w:val="zh-CN" w:eastAsia="zh-CN" w:bidi="zh-CN"/>
        </w:rPr>
        <w:t>等</w:t>
      </w:r>
      <w:r>
        <w:rPr>
          <w:rFonts w:hint="default" w:ascii="仿宋_GB2312" w:hAnsi="仿宋_GB2312" w:eastAsia="仿宋_GB2312" w:cs="仿宋_GB2312"/>
          <w:color w:val="auto"/>
          <w:spacing w:val="0"/>
          <w:w w:val="100"/>
          <w:kern w:val="0"/>
          <w:sz w:val="32"/>
          <w:szCs w:val="32"/>
          <w:lang w:val="zh-CN" w:eastAsia="zh-CN" w:bidi="zh-CN"/>
        </w:rPr>
        <w:t>有关法律、法规及生态环境保护政策，制定本制度。</w:t>
      </w:r>
    </w:p>
    <w:p w14:paraId="2A660A5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left"/>
        <w:textAlignment w:val="auto"/>
        <w:rPr>
          <w:rFonts w:hint="default" w:ascii="仿宋_GB2312" w:hAnsi="仿宋_GB2312" w:eastAsia="仿宋_GB2312" w:cs="仿宋_GB2312"/>
          <w:color w:val="auto"/>
          <w:spacing w:val="0"/>
          <w:w w:val="100"/>
          <w:kern w:val="0"/>
          <w:sz w:val="32"/>
          <w:szCs w:val="32"/>
          <w:lang w:val="zh-CN" w:eastAsia="zh-CN" w:bidi="zh-CN"/>
        </w:rPr>
      </w:pPr>
      <w:r>
        <w:rPr>
          <w:rFonts w:hint="eastAsia" w:ascii="楷体_GB2312" w:hAnsi="楷体_GB2312" w:eastAsia="楷体_GB2312" w:cs="楷体_GB2312"/>
          <w:bCs/>
          <w:color w:val="auto"/>
          <w:spacing w:val="0"/>
          <w:w w:val="100"/>
          <w:kern w:val="0"/>
          <w:sz w:val="32"/>
          <w:szCs w:val="32"/>
          <w:lang w:val="en-US" w:eastAsia="zh-CN" w:bidi="zh-CN"/>
        </w:rPr>
        <w:t>2.</w:t>
      </w:r>
      <w:r>
        <w:rPr>
          <w:rFonts w:hint="default" w:ascii="仿宋_GB2312" w:hAnsi="仿宋_GB2312" w:eastAsia="仿宋_GB2312" w:cs="仿宋_GB2312"/>
          <w:color w:val="auto"/>
          <w:spacing w:val="0"/>
          <w:w w:val="100"/>
          <w:kern w:val="0"/>
          <w:sz w:val="32"/>
          <w:szCs w:val="32"/>
          <w:lang w:val="zh-CN" w:eastAsia="zh-CN" w:bidi="zh-CN"/>
        </w:rPr>
        <w:t>本制度适用于</w:t>
      </w:r>
      <w:r>
        <w:rPr>
          <w:rFonts w:hint="default" w:ascii="仿宋_GB2312" w:hAnsi="仿宋_GB2312" w:eastAsia="仿宋_GB2312" w:cs="仿宋_GB2312"/>
          <w:i w:val="0"/>
          <w:iCs w:val="0"/>
          <w:caps w:val="0"/>
          <w:color w:val="auto"/>
          <w:spacing w:val="0"/>
          <w:sz w:val="32"/>
          <w:szCs w:val="32"/>
          <w:shd w:val="clear" w:fill="FFFFFF"/>
          <w:lang w:val="zh-CN" w:eastAsia="zh-CN"/>
        </w:rPr>
        <w:t>园区</w:t>
      </w:r>
      <w:r>
        <w:rPr>
          <w:rFonts w:hint="default" w:ascii="仿宋_GB2312" w:hAnsi="仿宋_GB2312" w:eastAsia="仿宋_GB2312" w:cs="仿宋_GB2312"/>
          <w:color w:val="auto"/>
          <w:spacing w:val="0"/>
          <w:w w:val="100"/>
          <w:kern w:val="0"/>
          <w:sz w:val="32"/>
          <w:szCs w:val="32"/>
          <w:lang w:val="zh-CN" w:eastAsia="zh-CN" w:bidi="zh-CN"/>
        </w:rPr>
        <w:t>内所有生产经营</w:t>
      </w:r>
      <w:r>
        <w:rPr>
          <w:rFonts w:hint="eastAsia" w:ascii="仿宋_GB2312" w:hAnsi="仿宋_GB2312" w:eastAsia="仿宋_GB2312" w:cs="仿宋_GB2312"/>
          <w:color w:val="auto"/>
          <w:spacing w:val="0"/>
          <w:w w:val="100"/>
          <w:kern w:val="0"/>
          <w:sz w:val="32"/>
          <w:szCs w:val="32"/>
          <w:lang w:val="en-US" w:eastAsia="zh-CN" w:bidi="zh-CN"/>
        </w:rPr>
        <w:t>企业</w:t>
      </w:r>
      <w:r>
        <w:rPr>
          <w:rFonts w:hint="default" w:ascii="仿宋_GB2312" w:hAnsi="仿宋_GB2312" w:eastAsia="仿宋_GB2312" w:cs="仿宋_GB2312"/>
          <w:color w:val="auto"/>
          <w:spacing w:val="0"/>
          <w:w w:val="100"/>
          <w:kern w:val="0"/>
          <w:sz w:val="32"/>
          <w:szCs w:val="32"/>
          <w:lang w:val="zh-CN" w:eastAsia="zh-CN" w:bidi="zh-CN"/>
        </w:rPr>
        <w:t>，</w:t>
      </w:r>
      <w:r>
        <w:rPr>
          <w:rFonts w:hint="eastAsia" w:ascii="仿宋_GB2312" w:hAnsi="仿宋_GB2312" w:eastAsia="仿宋_GB2312" w:cs="仿宋_GB2312"/>
          <w:color w:val="auto"/>
          <w:spacing w:val="0"/>
          <w:w w:val="100"/>
          <w:kern w:val="0"/>
          <w:sz w:val="32"/>
          <w:szCs w:val="32"/>
          <w:lang w:val="en-US" w:eastAsia="zh-CN" w:bidi="zh-CN"/>
        </w:rPr>
        <w:t>园区内所有企业必须遵守本制度，并根据自身特点制定相应的生态环境保护操作规程。</w:t>
      </w:r>
      <w:r>
        <w:rPr>
          <w:rFonts w:hint="eastAsia" w:ascii="仿宋_GB2312" w:hAnsi="仿宋_GB2312" w:eastAsia="仿宋_GB2312" w:cs="仿宋_GB2312"/>
          <w:color w:val="auto"/>
          <w:spacing w:val="0"/>
          <w:w w:val="100"/>
          <w:kern w:val="0"/>
          <w:sz w:val="32"/>
          <w:szCs w:val="32"/>
          <w:lang w:val="zh-CN" w:eastAsia="zh-CN" w:bidi="zh-CN"/>
        </w:rPr>
        <w:t>随州市青春化工园区管理办公室</w:t>
      </w:r>
      <w:r>
        <w:rPr>
          <w:rFonts w:hint="default" w:ascii="仿宋_GB2312" w:hAnsi="仿宋_GB2312" w:eastAsia="仿宋_GB2312" w:cs="仿宋_GB2312"/>
          <w:color w:val="auto"/>
          <w:spacing w:val="0"/>
          <w:w w:val="100"/>
          <w:kern w:val="0"/>
          <w:sz w:val="32"/>
          <w:szCs w:val="32"/>
          <w:lang w:val="zh-CN" w:eastAsia="zh-CN" w:bidi="zh-CN"/>
        </w:rPr>
        <w:t>（以下简称“</w:t>
      </w:r>
      <w:r>
        <w:rPr>
          <w:rFonts w:hint="eastAsia" w:ascii="仿宋_GB2312" w:hAnsi="仿宋_GB2312" w:eastAsia="仿宋_GB2312" w:cs="仿宋_GB2312"/>
          <w:color w:val="auto"/>
          <w:spacing w:val="0"/>
          <w:w w:val="100"/>
          <w:kern w:val="0"/>
          <w:sz w:val="32"/>
          <w:szCs w:val="32"/>
          <w:lang w:val="zh-CN" w:eastAsia="zh-CN" w:bidi="zh-CN"/>
        </w:rPr>
        <w:t>化工园</w:t>
      </w:r>
      <w:r>
        <w:rPr>
          <w:rFonts w:hint="default" w:ascii="仿宋_GB2312" w:hAnsi="仿宋_GB2312" w:eastAsia="仿宋_GB2312" w:cs="仿宋_GB2312"/>
          <w:color w:val="auto"/>
          <w:spacing w:val="0"/>
          <w:w w:val="100"/>
          <w:kern w:val="0"/>
          <w:sz w:val="32"/>
          <w:szCs w:val="32"/>
          <w:lang w:val="zh-CN" w:eastAsia="zh-CN" w:bidi="zh-CN"/>
        </w:rPr>
        <w:t>区</w:t>
      </w:r>
      <w:r>
        <w:rPr>
          <w:rFonts w:hint="eastAsia" w:ascii="仿宋_GB2312" w:hAnsi="仿宋_GB2312" w:eastAsia="仿宋_GB2312" w:cs="仿宋_GB2312"/>
          <w:color w:val="auto"/>
          <w:spacing w:val="0"/>
          <w:w w:val="100"/>
          <w:kern w:val="0"/>
          <w:sz w:val="32"/>
          <w:szCs w:val="32"/>
          <w:lang w:val="zh-CN" w:eastAsia="zh-CN" w:bidi="zh-CN"/>
        </w:rPr>
        <w:t>办</w:t>
      </w:r>
      <w:r>
        <w:rPr>
          <w:rFonts w:hint="default" w:ascii="仿宋_GB2312" w:hAnsi="仿宋_GB2312" w:eastAsia="仿宋_GB2312" w:cs="仿宋_GB2312"/>
          <w:color w:val="auto"/>
          <w:spacing w:val="0"/>
          <w:w w:val="100"/>
          <w:kern w:val="0"/>
          <w:sz w:val="32"/>
          <w:szCs w:val="32"/>
          <w:lang w:val="zh-CN" w:eastAsia="zh-CN" w:bidi="zh-CN"/>
        </w:rPr>
        <w:t>”）负责全方位监督、监测园区内的生态环境保护工作。</w:t>
      </w:r>
    </w:p>
    <w:p w14:paraId="1DE67AA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left"/>
        <w:textAlignment w:val="auto"/>
        <w:rPr>
          <w:rFonts w:hint="default" w:ascii="仿宋_GB2312" w:hAnsi="仿宋_GB2312" w:eastAsia="仿宋_GB2312" w:cs="仿宋_GB2312"/>
          <w:color w:val="auto"/>
          <w:spacing w:val="0"/>
          <w:w w:val="100"/>
          <w:kern w:val="0"/>
          <w:sz w:val="32"/>
          <w:szCs w:val="32"/>
          <w:lang w:val="zh-CN" w:eastAsia="zh-CN" w:bidi="zh-CN"/>
        </w:rPr>
      </w:pPr>
      <w:r>
        <w:rPr>
          <w:rFonts w:hint="eastAsia" w:ascii="楷体_GB2312" w:hAnsi="楷体_GB2312" w:eastAsia="楷体_GB2312" w:cs="楷体_GB2312"/>
          <w:bCs/>
          <w:color w:val="auto"/>
          <w:spacing w:val="0"/>
          <w:w w:val="100"/>
          <w:kern w:val="0"/>
          <w:sz w:val="32"/>
          <w:szCs w:val="32"/>
          <w:lang w:val="en-US" w:eastAsia="zh-CN" w:bidi="zh-CN"/>
        </w:rPr>
        <w:t>3.</w:t>
      </w:r>
      <w:r>
        <w:rPr>
          <w:rFonts w:hint="default" w:ascii="仿宋_GB2312" w:hAnsi="仿宋_GB2312" w:eastAsia="仿宋_GB2312" w:cs="仿宋_GB2312"/>
          <w:i w:val="0"/>
          <w:iCs w:val="0"/>
          <w:caps w:val="0"/>
          <w:color w:val="auto"/>
          <w:spacing w:val="0"/>
          <w:sz w:val="32"/>
          <w:szCs w:val="32"/>
          <w:shd w:val="clear" w:fill="FFFFFF"/>
          <w:lang w:val="zh-CN" w:eastAsia="zh-CN"/>
        </w:rPr>
        <w:t>园区</w:t>
      </w:r>
      <w:r>
        <w:rPr>
          <w:rFonts w:hint="default" w:ascii="仿宋_GB2312" w:hAnsi="仿宋_GB2312" w:eastAsia="仿宋_GB2312" w:cs="仿宋_GB2312"/>
          <w:color w:val="auto"/>
          <w:spacing w:val="0"/>
          <w:w w:val="100"/>
          <w:kern w:val="0"/>
          <w:sz w:val="32"/>
          <w:szCs w:val="32"/>
          <w:lang w:val="zh-CN" w:eastAsia="zh-CN" w:bidi="zh-CN"/>
        </w:rPr>
        <w:t>生态环境保护工作应遵循“预防为主，全面管理，综合治理，依法治理”的基本原则，坚持可持续发展和生态文明建设。</w:t>
      </w:r>
    </w:p>
    <w:p w14:paraId="440C8549">
      <w:pPr>
        <w:pStyle w:val="4"/>
        <w:bidi w:val="0"/>
        <w:rPr>
          <w:rFonts w:hint="default"/>
          <w:lang w:val="zh-CN" w:eastAsia="zh-CN"/>
        </w:rPr>
      </w:pPr>
      <w:r>
        <w:rPr>
          <w:rFonts w:hint="eastAsia"/>
          <w:lang w:val="zh-CN" w:eastAsia="zh-CN"/>
        </w:rPr>
        <w:t>（</w:t>
      </w:r>
      <w:r>
        <w:rPr>
          <w:rFonts w:hint="eastAsia"/>
          <w:lang w:val="en-US" w:eastAsia="zh-CN"/>
        </w:rPr>
        <w:t>二</w:t>
      </w:r>
      <w:r>
        <w:rPr>
          <w:rFonts w:hint="eastAsia"/>
          <w:lang w:val="zh-CN" w:eastAsia="zh-CN"/>
        </w:rPr>
        <w:t>）</w:t>
      </w:r>
      <w:r>
        <w:rPr>
          <w:rFonts w:hint="default"/>
          <w:lang w:val="zh-CN" w:eastAsia="zh-CN"/>
        </w:rPr>
        <w:t>组织机构与职责</w:t>
      </w:r>
    </w:p>
    <w:p w14:paraId="1FA770B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left"/>
        <w:textAlignment w:val="auto"/>
        <w:rPr>
          <w:rFonts w:hint="eastAsia" w:ascii="仿宋_GB2312" w:hAnsi="仿宋_GB2312" w:eastAsia="仿宋_GB2312" w:cs="仿宋_GB2312"/>
          <w:b w:val="0"/>
          <w:bCs/>
          <w:color w:val="auto"/>
          <w:spacing w:val="0"/>
          <w:w w:val="100"/>
          <w:kern w:val="0"/>
          <w:sz w:val="32"/>
          <w:szCs w:val="32"/>
          <w:lang w:val="zh-CN" w:eastAsia="zh-CN" w:bidi="zh-CN"/>
        </w:rPr>
      </w:pPr>
      <w:r>
        <w:rPr>
          <w:rFonts w:hint="eastAsia" w:ascii="仿宋_GB2312" w:hAnsi="仿宋_GB2312" w:eastAsia="仿宋_GB2312" w:cs="仿宋_GB2312"/>
          <w:b w:val="0"/>
          <w:bCs/>
          <w:color w:val="auto"/>
          <w:spacing w:val="0"/>
          <w:w w:val="100"/>
          <w:kern w:val="0"/>
          <w:sz w:val="32"/>
          <w:szCs w:val="32"/>
          <w:lang w:val="en-US" w:eastAsia="zh-CN" w:bidi="zh-CN"/>
        </w:rPr>
        <w:t>1.</w:t>
      </w:r>
      <w:r>
        <w:rPr>
          <w:rFonts w:hint="eastAsia" w:ascii="仿宋_GB2312" w:hAnsi="仿宋_GB2312" w:eastAsia="仿宋_GB2312" w:cs="仿宋_GB2312"/>
          <w:b w:val="0"/>
          <w:bCs/>
          <w:color w:val="auto"/>
          <w:spacing w:val="0"/>
          <w:w w:val="100"/>
          <w:kern w:val="0"/>
          <w:sz w:val="32"/>
          <w:szCs w:val="32"/>
          <w:lang w:val="zh-CN" w:eastAsia="zh-CN" w:bidi="zh-CN"/>
        </w:rPr>
        <w:t>化工园区管理机构职责：</w:t>
      </w:r>
    </w:p>
    <w:p w14:paraId="181582CE">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rightChars="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lang w:val="zh-CN" w:eastAsia="zh-CN"/>
        </w:rPr>
      </w:pPr>
      <w:r>
        <w:rPr>
          <w:rFonts w:hint="eastAsia" w:ascii="仿宋_GB2312" w:hAnsi="仿宋_GB2312" w:eastAsia="仿宋_GB2312" w:cs="仿宋_GB2312"/>
          <w:color w:val="auto"/>
          <w:spacing w:val="0"/>
          <w:w w:val="100"/>
          <w:kern w:val="0"/>
          <w:sz w:val="32"/>
          <w:szCs w:val="32"/>
          <w:lang w:val="zh-CN" w:eastAsia="zh-CN" w:bidi="zh-CN"/>
        </w:rPr>
        <w:t>（</w:t>
      </w:r>
      <w:r>
        <w:rPr>
          <w:rFonts w:hint="eastAsia" w:ascii="仿宋_GB2312" w:hAnsi="仿宋_GB2312" w:eastAsia="仿宋_GB2312" w:cs="仿宋_GB2312"/>
          <w:color w:val="auto"/>
          <w:spacing w:val="0"/>
          <w:w w:val="100"/>
          <w:kern w:val="0"/>
          <w:sz w:val="32"/>
          <w:szCs w:val="32"/>
          <w:lang w:val="en-US" w:eastAsia="zh-CN" w:bidi="zh-CN"/>
        </w:rPr>
        <w:t>1</w:t>
      </w:r>
      <w:r>
        <w:rPr>
          <w:rFonts w:hint="eastAsia" w:ascii="仿宋_GB2312" w:hAnsi="仿宋_GB2312" w:eastAsia="仿宋_GB2312" w:cs="仿宋_GB2312"/>
          <w:color w:val="auto"/>
          <w:spacing w:val="0"/>
          <w:w w:val="100"/>
          <w:kern w:val="0"/>
          <w:sz w:val="32"/>
          <w:szCs w:val="32"/>
          <w:lang w:val="zh-CN" w:eastAsia="zh-CN" w:bidi="zh-CN"/>
        </w:rPr>
        <w:t>）化工园区办下设生态环境保护管理部室，配备专业技术人员，负责园区生态环境保护工作的统筹、协调和监督。</w:t>
      </w:r>
    </w:p>
    <w:p w14:paraId="0E41189D">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rightChars="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lang w:val="zh-CN"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负责编制园区环境保护规划，将环保要求纳入园区总体规划和产业布局</w:t>
      </w:r>
      <w:r>
        <w:rPr>
          <w:rFonts w:hint="eastAsia" w:ascii="仿宋_GB2312" w:hAnsi="仿宋_GB2312" w:eastAsia="仿宋_GB2312" w:cs="仿宋_GB2312"/>
          <w:sz w:val="32"/>
          <w:szCs w:val="32"/>
          <w:lang w:eastAsia="zh-CN"/>
        </w:rPr>
        <w:t>。</w:t>
      </w:r>
    </w:p>
    <w:p w14:paraId="572E1D86">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rightChars="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lang w:val="zh-CN"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建立环境监管平台，实时监控企业污染物排放、环境风险源及应急设施运行情况。</w:t>
      </w:r>
    </w:p>
    <w:p w14:paraId="76745DE1">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Chars="200" w:right="0" w:rightChars="0"/>
        <w:jc w:val="left"/>
        <w:textAlignment w:val="auto"/>
        <w:rPr>
          <w:rFonts w:hint="eastAsia" w:ascii="仿宋_GB2312" w:hAnsi="仿宋_GB2312" w:eastAsia="仿宋_GB2312" w:cs="仿宋_GB2312"/>
          <w:i w:val="0"/>
          <w:iCs w:val="0"/>
          <w:caps w:val="0"/>
          <w:color w:val="auto"/>
          <w:spacing w:val="0"/>
          <w:sz w:val="32"/>
          <w:szCs w:val="32"/>
          <w:shd w:val="clear" w:fill="FFFFFF"/>
          <w:lang w:val="zh-CN"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组织开展园区环境监测，定期发布环境质量报告。</w:t>
      </w:r>
    </w:p>
    <w:p w14:paraId="5356E5C1">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rightChars="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lang w:val="zh-CN"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监督企业落实生态环境保护“三同时”制度，对新建、改建、扩建项目进行环保预审。</w:t>
      </w:r>
    </w:p>
    <w:p w14:paraId="486DED6A">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rightChars="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lang w:val="zh-CN"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）配合</w:t>
      </w:r>
      <w:r>
        <w:rPr>
          <w:rFonts w:hint="eastAsia" w:ascii="仿宋_GB2312" w:hAnsi="仿宋_GB2312" w:eastAsia="仿宋_GB2312" w:cs="仿宋_GB2312"/>
          <w:sz w:val="32"/>
          <w:szCs w:val="32"/>
        </w:rPr>
        <w:t>生态环境部门开展环境执法，督促企业整改环境问题。</w:t>
      </w:r>
    </w:p>
    <w:p w14:paraId="0E7747F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left"/>
        <w:textAlignment w:val="auto"/>
        <w:rPr>
          <w:rFonts w:hint="eastAsia" w:ascii="仿宋_GB2312" w:hAnsi="仿宋_GB2312" w:eastAsia="仿宋_GB2312" w:cs="仿宋_GB2312"/>
          <w:b w:val="0"/>
          <w:bCs/>
          <w:color w:val="auto"/>
          <w:spacing w:val="0"/>
          <w:w w:val="100"/>
          <w:kern w:val="0"/>
          <w:sz w:val="32"/>
          <w:szCs w:val="32"/>
          <w:lang w:val="zh-CN" w:eastAsia="zh-CN" w:bidi="zh-CN"/>
        </w:rPr>
      </w:pPr>
      <w:r>
        <w:rPr>
          <w:rFonts w:hint="eastAsia" w:ascii="仿宋_GB2312" w:hAnsi="仿宋_GB2312" w:eastAsia="仿宋_GB2312" w:cs="仿宋_GB2312"/>
          <w:b w:val="0"/>
          <w:bCs/>
          <w:color w:val="auto"/>
          <w:spacing w:val="0"/>
          <w:w w:val="100"/>
          <w:kern w:val="0"/>
          <w:sz w:val="32"/>
          <w:szCs w:val="32"/>
          <w:lang w:val="en-US" w:eastAsia="zh-CN" w:bidi="zh-CN"/>
        </w:rPr>
        <w:t>2.</w:t>
      </w:r>
      <w:r>
        <w:rPr>
          <w:rFonts w:hint="eastAsia" w:ascii="仿宋_GB2312" w:hAnsi="仿宋_GB2312" w:eastAsia="仿宋_GB2312" w:cs="仿宋_GB2312"/>
          <w:b w:val="0"/>
          <w:bCs/>
          <w:color w:val="auto"/>
          <w:spacing w:val="0"/>
          <w:w w:val="100"/>
          <w:kern w:val="0"/>
          <w:sz w:val="32"/>
          <w:szCs w:val="32"/>
          <w:lang w:val="zh-CN" w:eastAsia="zh-CN" w:bidi="zh-CN"/>
        </w:rPr>
        <w:t>园区内所有生产经营企业：</w:t>
      </w:r>
    </w:p>
    <w:p w14:paraId="1E41B8F6">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rightChars="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color w:val="auto"/>
          <w:spacing w:val="0"/>
          <w:w w:val="100"/>
          <w:kern w:val="0"/>
          <w:sz w:val="32"/>
          <w:szCs w:val="32"/>
          <w:lang w:val="en-US" w:eastAsia="zh-CN" w:bidi="zh-CN"/>
        </w:rPr>
        <w:t>（1）建设完善的环境管理体系，明确生态环境保护责任人，负责日常生态环境保护管理和生态环境保护应急处理。</w:t>
      </w:r>
    </w:p>
    <w:p w14:paraId="479FA7CC">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rightChars="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）依规落实入园项目生态环境保护审批及</w:t>
      </w:r>
      <w:r>
        <w:rPr>
          <w:rFonts w:hint="eastAsia" w:ascii="仿宋_GB2312" w:hAnsi="仿宋_GB2312" w:eastAsia="仿宋_GB2312" w:cs="仿宋_GB2312"/>
          <w:sz w:val="32"/>
          <w:szCs w:val="32"/>
        </w:rPr>
        <w:t>环保“三同时”制度</w:t>
      </w:r>
      <w:r>
        <w:rPr>
          <w:rFonts w:hint="eastAsia" w:ascii="仿宋_GB2312" w:hAnsi="仿宋_GB2312" w:eastAsia="仿宋_GB2312" w:cs="仿宋_GB2312"/>
          <w:sz w:val="32"/>
          <w:szCs w:val="32"/>
          <w:lang w:eastAsia="zh-CN"/>
        </w:rPr>
        <w:t>。</w:t>
      </w:r>
    </w:p>
    <w:p w14:paraId="632FB3C6">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rightChars="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建设并正常运行污染防治设施，确保污染物达标排放。</w:t>
      </w:r>
    </w:p>
    <w:p w14:paraId="64A05F0E">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rightChars="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制定突发环境事件应急预案，定期开展应急演练。</w:t>
      </w:r>
    </w:p>
    <w:p w14:paraId="698F0786">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rightChars="0" w:firstLine="640" w:firstLineChars="200"/>
        <w:jc w:val="left"/>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落实清洁生产审核，推进节能减排和资源循环利用。</w:t>
      </w:r>
    </w:p>
    <w:p w14:paraId="5757528A">
      <w:pPr>
        <w:pStyle w:val="9"/>
        <w:keepNext w:val="0"/>
        <w:keepLines w:val="0"/>
        <w:pageBreakBefore w:val="0"/>
        <w:widowControl w:val="0"/>
        <w:tabs>
          <w:tab w:val="left" w:pos="0"/>
        </w:tabs>
        <w:kinsoku/>
        <w:wordWrap/>
        <w:overflowPunct w:val="0"/>
        <w:topLinePunct w:val="0"/>
        <w:autoSpaceDE w:val="0"/>
        <w:autoSpaceDN w:val="0"/>
        <w:bidi w:val="0"/>
        <w:adjustRightInd/>
        <w:snapToGrid/>
        <w:spacing w:after="0" w:line="640" w:lineRule="exact"/>
        <w:ind w:firstLine="640" w:firstLineChars="200"/>
        <w:jc w:val="both"/>
        <w:textAlignment w:val="auto"/>
        <w:rPr>
          <w:rFonts w:hint="default" w:ascii="仿宋_GB2312" w:hAnsi="仿宋_GB2312" w:eastAsia="仿宋_GB2312" w:cs="仿宋_GB2312"/>
          <w:color w:val="auto"/>
          <w:spacing w:val="0"/>
          <w:w w:val="100"/>
          <w:kern w:val="0"/>
          <w:sz w:val="32"/>
          <w:szCs w:val="32"/>
          <w:lang w:val="zh-CN" w:eastAsia="zh-CN" w:bidi="zh-CN"/>
        </w:rPr>
      </w:pPr>
      <w:r>
        <w:rPr>
          <w:rFonts w:hint="eastAsia" w:ascii="楷体_GB2312" w:hAnsi="楷体_GB2312" w:eastAsia="楷体_GB2312" w:cs="楷体_GB2312"/>
          <w:bCs/>
          <w:color w:val="auto"/>
          <w:spacing w:val="0"/>
          <w:w w:val="100"/>
          <w:kern w:val="0"/>
          <w:sz w:val="32"/>
          <w:szCs w:val="32"/>
          <w:lang w:val="en-US" w:eastAsia="zh-CN" w:bidi="zh-CN"/>
        </w:rPr>
        <w:t>3.</w:t>
      </w:r>
      <w:r>
        <w:rPr>
          <w:rFonts w:hint="eastAsia" w:ascii="仿宋_GB2312" w:hAnsi="仿宋_GB2312" w:eastAsia="仿宋_GB2312" w:cs="仿宋_GB2312"/>
          <w:color w:val="auto"/>
          <w:spacing w:val="0"/>
          <w:w w:val="100"/>
          <w:kern w:val="0"/>
          <w:sz w:val="32"/>
          <w:szCs w:val="32"/>
          <w:lang w:val="zh-CN" w:eastAsia="zh-CN" w:bidi="zh-CN"/>
        </w:rPr>
        <w:t>化工园</w:t>
      </w:r>
      <w:r>
        <w:rPr>
          <w:rFonts w:hint="default" w:ascii="仿宋_GB2312" w:hAnsi="仿宋_GB2312" w:eastAsia="仿宋_GB2312" w:cs="仿宋_GB2312"/>
          <w:color w:val="auto"/>
          <w:spacing w:val="0"/>
          <w:w w:val="100"/>
          <w:kern w:val="0"/>
          <w:sz w:val="32"/>
          <w:szCs w:val="32"/>
          <w:lang w:val="zh-CN" w:eastAsia="zh-CN" w:bidi="zh-CN"/>
        </w:rPr>
        <w:t>区</w:t>
      </w:r>
      <w:r>
        <w:rPr>
          <w:rFonts w:hint="eastAsia" w:ascii="仿宋_GB2312" w:hAnsi="仿宋_GB2312" w:eastAsia="仿宋_GB2312" w:cs="仿宋_GB2312"/>
          <w:color w:val="auto"/>
          <w:spacing w:val="0"/>
          <w:w w:val="100"/>
          <w:kern w:val="0"/>
          <w:sz w:val="32"/>
          <w:szCs w:val="32"/>
          <w:lang w:val="zh-CN" w:eastAsia="zh-CN" w:bidi="zh-CN"/>
        </w:rPr>
        <w:t>办</w:t>
      </w:r>
      <w:r>
        <w:rPr>
          <w:rFonts w:hint="default" w:ascii="仿宋_GB2312" w:hAnsi="仿宋_GB2312" w:eastAsia="仿宋_GB2312" w:cs="仿宋_GB2312"/>
          <w:color w:val="auto"/>
          <w:spacing w:val="0"/>
          <w:w w:val="100"/>
          <w:kern w:val="0"/>
          <w:sz w:val="32"/>
          <w:szCs w:val="32"/>
          <w:lang w:val="zh-CN" w:eastAsia="zh-CN" w:bidi="zh-CN"/>
        </w:rPr>
        <w:t>应加强与</w:t>
      </w:r>
      <w:r>
        <w:rPr>
          <w:rFonts w:hint="eastAsia" w:ascii="仿宋_GB2312" w:hAnsi="仿宋_GB2312" w:eastAsia="仿宋_GB2312" w:cs="仿宋_GB2312"/>
          <w:color w:val="auto"/>
          <w:spacing w:val="0"/>
          <w:w w:val="100"/>
          <w:kern w:val="0"/>
          <w:sz w:val="32"/>
          <w:szCs w:val="32"/>
          <w:lang w:val="zh-CN" w:eastAsia="zh-CN" w:bidi="zh-CN"/>
        </w:rPr>
        <w:t>生态环境部门的对接</w:t>
      </w:r>
      <w:r>
        <w:rPr>
          <w:rFonts w:hint="default" w:ascii="仿宋_GB2312" w:hAnsi="仿宋_GB2312" w:eastAsia="仿宋_GB2312" w:cs="仿宋_GB2312"/>
          <w:color w:val="auto"/>
          <w:spacing w:val="0"/>
          <w:w w:val="100"/>
          <w:kern w:val="0"/>
          <w:sz w:val="32"/>
          <w:szCs w:val="32"/>
          <w:lang w:val="zh-CN" w:eastAsia="zh-CN" w:bidi="zh-CN"/>
        </w:rPr>
        <w:t>与协调，保证生态环境保护管理工作的顺利进行。</w:t>
      </w:r>
    </w:p>
    <w:p w14:paraId="509D85B9">
      <w:pPr>
        <w:pStyle w:val="4"/>
        <w:bidi w:val="0"/>
        <w:rPr>
          <w:rFonts w:hint="default"/>
          <w:lang w:val="zh-CN" w:eastAsia="zh-CN"/>
        </w:rPr>
      </w:pPr>
      <w:r>
        <w:rPr>
          <w:rFonts w:hint="eastAsia"/>
          <w:lang w:val="zh-CN" w:eastAsia="zh-CN"/>
        </w:rPr>
        <w:t>（</w:t>
      </w:r>
      <w:r>
        <w:rPr>
          <w:rFonts w:hint="eastAsia"/>
          <w:lang w:val="en-US" w:eastAsia="zh-CN"/>
        </w:rPr>
        <w:t>3</w:t>
      </w:r>
      <w:r>
        <w:rPr>
          <w:rFonts w:hint="eastAsia"/>
          <w:lang w:val="zh-CN" w:eastAsia="zh-CN"/>
        </w:rPr>
        <w:t>）项目入园</w:t>
      </w:r>
      <w:r>
        <w:rPr>
          <w:rFonts w:hint="default"/>
          <w:lang w:val="zh-CN" w:eastAsia="zh-CN"/>
        </w:rPr>
        <w:t>与审批</w:t>
      </w:r>
    </w:p>
    <w:p w14:paraId="5A494D7D">
      <w:pPr>
        <w:pStyle w:val="9"/>
        <w:keepNext w:val="0"/>
        <w:keepLines w:val="0"/>
        <w:pageBreakBefore w:val="0"/>
        <w:widowControl w:val="0"/>
        <w:tabs>
          <w:tab w:val="left" w:pos="0"/>
        </w:tabs>
        <w:kinsoku/>
        <w:wordWrap/>
        <w:overflowPunct w:val="0"/>
        <w:topLinePunct w:val="0"/>
        <w:autoSpaceDE w:val="0"/>
        <w:autoSpaceDN w:val="0"/>
        <w:bidi w:val="0"/>
        <w:adjustRightInd/>
        <w:snapToGrid/>
        <w:spacing w:after="0" w:line="640" w:lineRule="exact"/>
        <w:ind w:firstLine="640" w:firstLineChars="200"/>
        <w:jc w:val="both"/>
        <w:textAlignment w:val="auto"/>
        <w:rPr>
          <w:rFonts w:hint="eastAsia" w:ascii="仿宋_GB2312" w:hAnsi="仿宋_GB2312" w:eastAsia="仿宋_GB2312" w:cs="仿宋_GB2312"/>
          <w:color w:val="auto"/>
          <w:spacing w:val="0"/>
          <w:w w:val="100"/>
          <w:kern w:val="0"/>
          <w:sz w:val="32"/>
          <w:szCs w:val="32"/>
          <w:lang w:val="en-US" w:eastAsia="zh-CN" w:bidi="zh-CN"/>
        </w:rPr>
      </w:pPr>
      <w:r>
        <w:rPr>
          <w:rFonts w:hint="eastAsia" w:ascii="楷体_GB2312" w:hAnsi="楷体_GB2312" w:eastAsia="楷体_GB2312" w:cs="楷体_GB2312"/>
          <w:bCs/>
          <w:color w:val="auto"/>
          <w:spacing w:val="0"/>
          <w:w w:val="100"/>
          <w:kern w:val="0"/>
          <w:sz w:val="32"/>
          <w:szCs w:val="32"/>
          <w:lang w:val="en-US" w:eastAsia="zh-CN" w:bidi="zh-CN"/>
        </w:rPr>
        <w:t>1.</w:t>
      </w:r>
      <w:r>
        <w:rPr>
          <w:rFonts w:hint="eastAsia" w:ascii="仿宋_GB2312" w:hAnsi="仿宋_GB2312" w:eastAsia="仿宋_GB2312" w:cs="仿宋_GB2312"/>
          <w:color w:val="auto"/>
          <w:spacing w:val="0"/>
          <w:w w:val="100"/>
          <w:kern w:val="0"/>
          <w:sz w:val="32"/>
          <w:szCs w:val="32"/>
          <w:lang w:val="en-US" w:eastAsia="zh-CN" w:bidi="zh-CN"/>
        </w:rPr>
        <w:t>园区</w:t>
      </w:r>
      <w:r>
        <w:rPr>
          <w:rFonts w:hint="eastAsia" w:ascii="仿宋_GB2312" w:hAnsi="仿宋_GB2312" w:eastAsia="仿宋_GB2312" w:cs="仿宋_GB2312"/>
          <w:color w:val="auto"/>
          <w:spacing w:val="0"/>
          <w:w w:val="100"/>
          <w:kern w:val="0"/>
          <w:sz w:val="32"/>
          <w:szCs w:val="32"/>
          <w:lang w:val="zh-CN" w:eastAsia="zh-CN" w:bidi="zh-CN"/>
        </w:rPr>
        <w:t>入园项目</w:t>
      </w:r>
      <w:r>
        <w:rPr>
          <w:rFonts w:hint="eastAsia" w:ascii="仿宋_GB2312" w:hAnsi="仿宋_GB2312" w:eastAsia="仿宋_GB2312" w:cs="仿宋_GB2312"/>
          <w:color w:val="auto"/>
          <w:spacing w:val="0"/>
          <w:w w:val="100"/>
          <w:kern w:val="0"/>
          <w:sz w:val="32"/>
          <w:szCs w:val="32"/>
          <w:lang w:val="en-US" w:eastAsia="zh-CN" w:bidi="zh-CN"/>
        </w:rPr>
        <w:t>选址应符合《长江保护法》和园区整体规划要求。</w:t>
      </w:r>
    </w:p>
    <w:p w14:paraId="1CBD6A46">
      <w:pPr>
        <w:pStyle w:val="9"/>
        <w:keepNext w:val="0"/>
        <w:keepLines w:val="0"/>
        <w:pageBreakBefore w:val="0"/>
        <w:widowControl w:val="0"/>
        <w:tabs>
          <w:tab w:val="left" w:pos="0"/>
        </w:tabs>
        <w:kinsoku/>
        <w:wordWrap/>
        <w:overflowPunct w:val="0"/>
        <w:topLinePunct w:val="0"/>
        <w:autoSpaceDE w:val="0"/>
        <w:autoSpaceDN w:val="0"/>
        <w:bidi w:val="0"/>
        <w:adjustRightInd/>
        <w:snapToGrid/>
        <w:spacing w:after="0" w:line="640" w:lineRule="exact"/>
        <w:ind w:firstLine="640" w:firstLineChars="200"/>
        <w:jc w:val="both"/>
        <w:textAlignment w:val="auto"/>
        <w:rPr>
          <w:rFonts w:hint="eastAsia" w:ascii="仿宋_GB2312" w:hAnsi="仿宋_GB2312" w:eastAsia="仿宋_GB2312" w:cs="仿宋_GB2312"/>
          <w:color w:val="auto"/>
          <w:spacing w:val="0"/>
          <w:w w:val="100"/>
          <w:kern w:val="0"/>
          <w:sz w:val="32"/>
          <w:szCs w:val="32"/>
          <w:lang w:val="en-US" w:eastAsia="zh-CN" w:bidi="zh-CN"/>
        </w:rPr>
      </w:pPr>
      <w:r>
        <w:rPr>
          <w:rFonts w:hint="eastAsia" w:ascii="楷体_GB2312" w:hAnsi="楷体_GB2312" w:eastAsia="楷体_GB2312" w:cs="楷体_GB2312"/>
          <w:bCs/>
          <w:color w:val="auto"/>
          <w:spacing w:val="0"/>
          <w:w w:val="100"/>
          <w:kern w:val="0"/>
          <w:sz w:val="32"/>
          <w:szCs w:val="32"/>
          <w:lang w:val="en-US" w:eastAsia="zh-CN" w:bidi="zh-CN"/>
        </w:rPr>
        <w:t>2.</w:t>
      </w:r>
      <w:r>
        <w:rPr>
          <w:rFonts w:hint="eastAsia" w:ascii="仿宋_GB2312" w:hAnsi="仿宋_GB2312" w:eastAsia="仿宋_GB2312" w:cs="仿宋_GB2312"/>
          <w:color w:val="auto"/>
          <w:spacing w:val="0"/>
          <w:w w:val="100"/>
          <w:kern w:val="0"/>
          <w:sz w:val="32"/>
          <w:szCs w:val="32"/>
          <w:lang w:val="zh-CN" w:eastAsia="zh-CN" w:bidi="zh-CN"/>
        </w:rPr>
        <w:t>园区入园项目应当符合国家产业发展政策；符合《随州市青春化工工业园产业项目准入禁限（控）目录（试行）》及规划环评准入要求，严禁建设与园区产业发展规划无关的项目；严禁采用列入《淘汰落后危险化学品安全生产工艺技术设备目录》的工艺技术设备。优先引入围绕本化工园区主导产业延链、强链、补链项目。</w:t>
      </w:r>
    </w:p>
    <w:p w14:paraId="057CFE7B">
      <w:pPr>
        <w:pStyle w:val="9"/>
        <w:keepNext w:val="0"/>
        <w:keepLines w:val="0"/>
        <w:pageBreakBefore w:val="0"/>
        <w:widowControl w:val="0"/>
        <w:tabs>
          <w:tab w:val="left" w:pos="0"/>
        </w:tabs>
        <w:kinsoku/>
        <w:wordWrap/>
        <w:overflowPunct w:val="0"/>
        <w:topLinePunct w:val="0"/>
        <w:autoSpaceDE w:val="0"/>
        <w:autoSpaceDN w:val="0"/>
        <w:bidi w:val="0"/>
        <w:adjustRightInd/>
        <w:snapToGrid/>
        <w:spacing w:after="0" w:line="640" w:lineRule="exact"/>
        <w:ind w:firstLine="640" w:firstLineChars="200"/>
        <w:jc w:val="both"/>
        <w:textAlignment w:val="auto"/>
        <w:rPr>
          <w:rFonts w:hint="eastAsia" w:ascii="仿宋_GB2312" w:hAnsi="仿宋_GB2312" w:eastAsia="仿宋_GB2312" w:cs="仿宋_GB2312"/>
          <w:color w:val="auto"/>
          <w:spacing w:val="0"/>
          <w:w w:val="100"/>
          <w:kern w:val="0"/>
          <w:sz w:val="32"/>
          <w:szCs w:val="32"/>
          <w:lang w:val="en-US" w:eastAsia="zh-CN" w:bidi="zh-CN"/>
        </w:rPr>
      </w:pPr>
      <w:r>
        <w:rPr>
          <w:rFonts w:hint="eastAsia" w:ascii="楷体_GB2312" w:hAnsi="楷体_GB2312" w:eastAsia="楷体_GB2312" w:cs="楷体_GB2312"/>
          <w:bCs/>
          <w:color w:val="auto"/>
          <w:spacing w:val="0"/>
          <w:w w:val="100"/>
          <w:kern w:val="0"/>
          <w:sz w:val="32"/>
          <w:szCs w:val="32"/>
          <w:lang w:val="en-US" w:eastAsia="zh-CN" w:bidi="zh-CN"/>
        </w:rPr>
        <w:t>3.</w:t>
      </w:r>
      <w:r>
        <w:rPr>
          <w:rFonts w:hint="eastAsia" w:ascii="仿宋_GB2312" w:hAnsi="仿宋_GB2312" w:eastAsia="仿宋_GB2312" w:cs="仿宋_GB2312"/>
          <w:color w:val="auto"/>
          <w:spacing w:val="0"/>
          <w:w w:val="100"/>
          <w:kern w:val="0"/>
          <w:sz w:val="32"/>
          <w:szCs w:val="32"/>
          <w:lang w:val="zh-CN" w:eastAsia="zh-CN" w:bidi="zh-CN"/>
        </w:rPr>
        <w:t>园区入园项目</w:t>
      </w:r>
      <w:r>
        <w:rPr>
          <w:rFonts w:hint="eastAsia" w:ascii="仿宋_GB2312" w:hAnsi="仿宋_GB2312" w:eastAsia="仿宋_GB2312" w:cs="仿宋_GB2312"/>
          <w:color w:val="auto"/>
          <w:spacing w:val="0"/>
          <w:w w:val="100"/>
          <w:kern w:val="0"/>
          <w:sz w:val="32"/>
          <w:szCs w:val="32"/>
          <w:lang w:val="en-US" w:eastAsia="zh-CN" w:bidi="zh-CN"/>
        </w:rPr>
        <w:t>必须按照《化工投资项目可行性研究报告编制办法》等相关要求编制项目可行性研究报告。</w:t>
      </w:r>
    </w:p>
    <w:p w14:paraId="19190925">
      <w:pPr>
        <w:pStyle w:val="9"/>
        <w:keepNext w:val="0"/>
        <w:keepLines w:val="0"/>
        <w:pageBreakBefore w:val="0"/>
        <w:widowControl w:val="0"/>
        <w:tabs>
          <w:tab w:val="left" w:pos="0"/>
        </w:tabs>
        <w:kinsoku/>
        <w:wordWrap/>
        <w:overflowPunct w:val="0"/>
        <w:topLinePunct w:val="0"/>
        <w:autoSpaceDE w:val="0"/>
        <w:autoSpaceDN w:val="0"/>
        <w:bidi w:val="0"/>
        <w:adjustRightInd/>
        <w:snapToGrid/>
        <w:spacing w:after="0" w:line="640" w:lineRule="exact"/>
        <w:ind w:firstLine="640" w:firstLineChars="200"/>
        <w:jc w:val="both"/>
        <w:textAlignment w:val="auto"/>
        <w:rPr>
          <w:rFonts w:hint="eastAsia" w:ascii="仿宋_GB2312" w:hAnsi="仿宋_GB2312" w:eastAsia="仿宋_GB2312" w:cs="仿宋_GB2312"/>
          <w:color w:val="auto"/>
          <w:spacing w:val="0"/>
          <w:w w:val="100"/>
          <w:kern w:val="0"/>
          <w:sz w:val="32"/>
          <w:szCs w:val="32"/>
          <w:lang w:val="en-US" w:eastAsia="zh-CN" w:bidi="zh-CN"/>
        </w:rPr>
      </w:pPr>
      <w:r>
        <w:rPr>
          <w:rFonts w:hint="eastAsia" w:ascii="楷体_GB2312" w:hAnsi="楷体_GB2312" w:eastAsia="楷体_GB2312" w:cs="楷体_GB2312"/>
          <w:bCs/>
          <w:color w:val="auto"/>
          <w:spacing w:val="0"/>
          <w:w w:val="100"/>
          <w:kern w:val="0"/>
          <w:sz w:val="32"/>
          <w:szCs w:val="32"/>
          <w:lang w:val="en-US" w:eastAsia="zh-CN" w:bidi="zh-CN"/>
        </w:rPr>
        <w:t>4.</w:t>
      </w:r>
      <w:r>
        <w:rPr>
          <w:rFonts w:hint="eastAsia" w:ascii="仿宋_GB2312" w:hAnsi="仿宋_GB2312" w:eastAsia="仿宋_GB2312" w:cs="仿宋_GB2312"/>
          <w:color w:val="auto"/>
          <w:spacing w:val="0"/>
          <w:w w:val="100"/>
          <w:kern w:val="0"/>
          <w:sz w:val="32"/>
          <w:szCs w:val="32"/>
          <w:lang w:val="en-US" w:eastAsia="zh-CN" w:bidi="zh-CN"/>
        </w:rPr>
        <w:t>拟</w:t>
      </w:r>
      <w:r>
        <w:rPr>
          <w:rFonts w:hint="eastAsia" w:ascii="仿宋_GB2312" w:hAnsi="仿宋_GB2312" w:eastAsia="仿宋_GB2312" w:cs="仿宋_GB2312"/>
          <w:color w:val="auto"/>
          <w:spacing w:val="0"/>
          <w:w w:val="100"/>
          <w:kern w:val="0"/>
          <w:sz w:val="32"/>
          <w:szCs w:val="32"/>
          <w:lang w:val="zh-CN" w:eastAsia="zh-CN" w:bidi="zh-CN"/>
        </w:rPr>
        <w:t>入园项目需</w:t>
      </w:r>
      <w:r>
        <w:rPr>
          <w:rFonts w:hint="eastAsia" w:ascii="仿宋_GB2312" w:hAnsi="仿宋_GB2312" w:eastAsia="仿宋_GB2312" w:cs="仿宋_GB2312"/>
          <w:color w:val="auto"/>
          <w:spacing w:val="0"/>
          <w:w w:val="100"/>
          <w:kern w:val="0"/>
          <w:sz w:val="32"/>
          <w:szCs w:val="32"/>
          <w:lang w:val="en-US" w:eastAsia="zh-CN" w:bidi="zh-CN"/>
        </w:rPr>
        <w:t>按照《随州市青春化工工业园项目准入评审管理制度（试行）》要求提供相关佐证资料。</w:t>
      </w:r>
    </w:p>
    <w:p w14:paraId="7CF3A363">
      <w:pPr>
        <w:pStyle w:val="9"/>
        <w:keepNext w:val="0"/>
        <w:keepLines w:val="0"/>
        <w:pageBreakBefore w:val="0"/>
        <w:widowControl w:val="0"/>
        <w:tabs>
          <w:tab w:val="left" w:pos="0"/>
        </w:tabs>
        <w:kinsoku/>
        <w:wordWrap/>
        <w:overflowPunct w:val="0"/>
        <w:topLinePunct w:val="0"/>
        <w:autoSpaceDE w:val="0"/>
        <w:autoSpaceDN w:val="0"/>
        <w:bidi w:val="0"/>
        <w:adjustRightInd/>
        <w:snapToGrid/>
        <w:spacing w:after="0" w:line="640" w:lineRule="exact"/>
        <w:ind w:firstLine="640" w:firstLineChars="200"/>
        <w:jc w:val="both"/>
        <w:textAlignment w:val="auto"/>
        <w:rPr>
          <w:rFonts w:hint="eastAsia" w:ascii="楷体_GB2312" w:hAnsi="楷体_GB2312" w:eastAsia="楷体_GB2312" w:cs="楷体_GB2312"/>
          <w:bCs/>
          <w:color w:val="auto"/>
          <w:spacing w:val="0"/>
          <w:w w:val="100"/>
          <w:kern w:val="0"/>
          <w:sz w:val="32"/>
          <w:szCs w:val="32"/>
          <w:lang w:val="en-US" w:eastAsia="zh-CN" w:bidi="zh-CN"/>
        </w:rPr>
      </w:pPr>
      <w:r>
        <w:rPr>
          <w:rFonts w:hint="eastAsia" w:ascii="楷体_GB2312" w:hAnsi="楷体_GB2312" w:eastAsia="楷体_GB2312" w:cs="楷体_GB2312"/>
          <w:bCs/>
          <w:color w:val="auto"/>
          <w:spacing w:val="0"/>
          <w:w w:val="100"/>
          <w:kern w:val="0"/>
          <w:sz w:val="32"/>
          <w:szCs w:val="32"/>
          <w:lang w:val="en-US" w:eastAsia="zh-CN" w:bidi="zh-CN"/>
        </w:rPr>
        <w:t>5.</w:t>
      </w:r>
      <w:r>
        <w:rPr>
          <w:rFonts w:hint="eastAsia" w:ascii="仿宋_GB2312" w:hAnsi="仿宋_GB2312" w:eastAsia="仿宋_GB2312" w:cs="仿宋_GB2312"/>
          <w:color w:val="auto"/>
          <w:spacing w:val="0"/>
          <w:w w:val="100"/>
          <w:kern w:val="0"/>
          <w:sz w:val="32"/>
          <w:szCs w:val="32"/>
          <w:lang w:val="en-US" w:eastAsia="zh-CN" w:bidi="zh-CN"/>
        </w:rPr>
        <w:t>园区按照《随州市青春化工工业园项目准入评审管理制度（试行）》的相关要求组织开展项目入园评审和相关手续的办理。</w:t>
      </w:r>
    </w:p>
    <w:p w14:paraId="6C8747D5">
      <w:pPr>
        <w:pStyle w:val="9"/>
        <w:keepNext w:val="0"/>
        <w:keepLines w:val="0"/>
        <w:pageBreakBefore w:val="0"/>
        <w:widowControl w:val="0"/>
        <w:tabs>
          <w:tab w:val="left" w:pos="0"/>
        </w:tabs>
        <w:kinsoku/>
        <w:wordWrap/>
        <w:overflowPunct w:val="0"/>
        <w:topLinePunct w:val="0"/>
        <w:autoSpaceDE w:val="0"/>
        <w:autoSpaceDN w:val="0"/>
        <w:bidi w:val="0"/>
        <w:adjustRightInd/>
        <w:snapToGrid/>
        <w:spacing w:after="0" w:line="640" w:lineRule="exact"/>
        <w:ind w:firstLine="640" w:firstLineChars="200"/>
        <w:jc w:val="both"/>
        <w:textAlignment w:val="auto"/>
        <w:rPr>
          <w:rFonts w:hint="eastAsia" w:ascii="仿宋_GB2312" w:hAnsi="仿宋_GB2312" w:eastAsia="仿宋_GB2312" w:cs="仿宋_GB2312"/>
          <w:color w:val="auto"/>
          <w:spacing w:val="0"/>
          <w:w w:val="100"/>
          <w:kern w:val="0"/>
          <w:sz w:val="32"/>
          <w:szCs w:val="32"/>
          <w:lang w:val="en-US" w:eastAsia="zh-CN" w:bidi="zh-CN"/>
        </w:rPr>
      </w:pPr>
      <w:r>
        <w:rPr>
          <w:rFonts w:hint="eastAsia" w:ascii="楷体_GB2312" w:hAnsi="楷体_GB2312" w:eastAsia="楷体_GB2312" w:cs="楷体_GB2312"/>
          <w:bCs/>
          <w:color w:val="auto"/>
          <w:spacing w:val="0"/>
          <w:w w:val="100"/>
          <w:kern w:val="0"/>
          <w:sz w:val="32"/>
          <w:szCs w:val="32"/>
          <w:lang w:val="en-US" w:eastAsia="zh-CN" w:bidi="zh-CN"/>
        </w:rPr>
        <w:t>6.</w:t>
      </w:r>
      <w:r>
        <w:rPr>
          <w:rFonts w:hint="eastAsia" w:ascii="仿宋_GB2312" w:hAnsi="仿宋_GB2312" w:eastAsia="仿宋_GB2312" w:cs="仿宋_GB2312"/>
          <w:color w:val="auto"/>
          <w:spacing w:val="0"/>
          <w:w w:val="100"/>
          <w:kern w:val="0"/>
          <w:sz w:val="32"/>
          <w:szCs w:val="32"/>
          <w:lang w:val="zh-CN" w:eastAsia="zh-CN" w:bidi="zh-CN"/>
        </w:rPr>
        <w:t>园区入园项目需</w:t>
      </w:r>
      <w:r>
        <w:rPr>
          <w:rFonts w:hint="eastAsia" w:ascii="仿宋_GB2312" w:hAnsi="仿宋_GB2312" w:eastAsia="仿宋_GB2312" w:cs="仿宋_GB2312"/>
          <w:color w:val="auto"/>
          <w:spacing w:val="0"/>
          <w:w w:val="100"/>
          <w:kern w:val="0"/>
          <w:sz w:val="32"/>
          <w:szCs w:val="32"/>
          <w:lang w:val="en-US" w:eastAsia="zh-CN" w:bidi="zh-CN"/>
        </w:rPr>
        <w:t>按照《中华人民共和国环境影响评价法》开展建设项目环境影响评价报告的编制和审批工作，并完成相关审批手续的办理。企业扩建、改建或技术改造项目，应重新进行环境影响评价和审批。</w:t>
      </w:r>
    </w:p>
    <w:p w14:paraId="7316A39A">
      <w:pPr>
        <w:pStyle w:val="9"/>
        <w:keepNext w:val="0"/>
        <w:keepLines w:val="0"/>
        <w:pageBreakBefore w:val="0"/>
        <w:widowControl w:val="0"/>
        <w:tabs>
          <w:tab w:val="left" w:pos="0"/>
        </w:tabs>
        <w:kinsoku/>
        <w:wordWrap/>
        <w:overflowPunct w:val="0"/>
        <w:topLinePunct w:val="0"/>
        <w:autoSpaceDE w:val="0"/>
        <w:autoSpaceDN w:val="0"/>
        <w:bidi w:val="0"/>
        <w:adjustRightInd/>
        <w:snapToGrid/>
        <w:spacing w:after="0" w:line="640" w:lineRule="exact"/>
        <w:ind w:firstLine="640" w:firstLineChars="200"/>
        <w:jc w:val="both"/>
        <w:textAlignment w:val="auto"/>
        <w:rPr>
          <w:rFonts w:hint="eastAsia" w:ascii="仿宋_GB2312" w:hAnsi="仿宋_GB2312" w:eastAsia="仿宋_GB2312" w:cs="仿宋_GB2312"/>
          <w:color w:val="auto"/>
          <w:spacing w:val="0"/>
          <w:w w:val="100"/>
          <w:kern w:val="0"/>
          <w:sz w:val="32"/>
          <w:szCs w:val="32"/>
          <w:lang w:val="en-US" w:eastAsia="zh-CN" w:bidi="zh-CN"/>
        </w:rPr>
      </w:pPr>
      <w:r>
        <w:rPr>
          <w:rFonts w:hint="eastAsia" w:ascii="楷体_GB2312" w:hAnsi="楷体_GB2312" w:eastAsia="楷体_GB2312" w:cs="楷体_GB2312"/>
          <w:bCs/>
          <w:color w:val="auto"/>
          <w:spacing w:val="0"/>
          <w:w w:val="100"/>
          <w:kern w:val="0"/>
          <w:sz w:val="32"/>
          <w:szCs w:val="32"/>
          <w:lang w:val="en-US" w:eastAsia="zh-CN" w:bidi="zh-CN"/>
        </w:rPr>
        <w:t>7.</w:t>
      </w:r>
      <w:r>
        <w:rPr>
          <w:rFonts w:hint="eastAsia" w:ascii="仿宋_GB2312" w:hAnsi="仿宋_GB2312" w:eastAsia="仿宋_GB2312" w:cs="仿宋_GB2312"/>
          <w:color w:val="auto"/>
          <w:spacing w:val="0"/>
          <w:w w:val="100"/>
          <w:kern w:val="0"/>
          <w:sz w:val="32"/>
          <w:szCs w:val="32"/>
          <w:lang w:val="zh-CN" w:eastAsia="zh-CN" w:bidi="zh-CN"/>
        </w:rPr>
        <w:t>园区入园项目需</w:t>
      </w:r>
      <w:r>
        <w:rPr>
          <w:rFonts w:hint="eastAsia" w:ascii="仿宋_GB2312" w:hAnsi="仿宋_GB2312" w:eastAsia="仿宋_GB2312" w:cs="仿宋_GB2312"/>
          <w:color w:val="auto"/>
          <w:spacing w:val="0"/>
          <w:w w:val="100"/>
          <w:kern w:val="0"/>
          <w:sz w:val="32"/>
          <w:szCs w:val="32"/>
          <w:lang w:val="en-US" w:eastAsia="zh-CN" w:bidi="zh-CN"/>
        </w:rPr>
        <w:t>根据节能法规、标准对项目的能源利用是否科学合理进行分析评估，并编制节能评估文件或填写节能登记表后进行审批手续办理。</w:t>
      </w:r>
    </w:p>
    <w:p w14:paraId="0207A12D">
      <w:pPr>
        <w:pStyle w:val="9"/>
        <w:keepNext w:val="0"/>
        <w:keepLines w:val="0"/>
        <w:pageBreakBefore w:val="0"/>
        <w:widowControl w:val="0"/>
        <w:tabs>
          <w:tab w:val="left" w:pos="0"/>
        </w:tabs>
        <w:kinsoku/>
        <w:wordWrap/>
        <w:overflowPunct w:val="0"/>
        <w:topLinePunct w:val="0"/>
        <w:autoSpaceDE w:val="0"/>
        <w:autoSpaceDN w:val="0"/>
        <w:bidi w:val="0"/>
        <w:adjustRightInd/>
        <w:snapToGrid/>
        <w:spacing w:after="0" w:line="640" w:lineRule="exact"/>
        <w:ind w:firstLine="640" w:firstLineChars="200"/>
        <w:jc w:val="both"/>
        <w:textAlignment w:val="auto"/>
        <w:rPr>
          <w:rFonts w:hint="eastAsia" w:ascii="仿宋_GB2312" w:hAnsi="仿宋_GB2312" w:eastAsia="仿宋_GB2312" w:cs="仿宋_GB2312"/>
          <w:color w:val="auto"/>
          <w:spacing w:val="0"/>
          <w:w w:val="100"/>
          <w:kern w:val="0"/>
          <w:sz w:val="32"/>
          <w:szCs w:val="32"/>
          <w:lang w:val="en-US" w:eastAsia="zh-CN" w:bidi="zh-CN"/>
        </w:rPr>
      </w:pPr>
      <w:r>
        <w:rPr>
          <w:rFonts w:hint="eastAsia" w:ascii="楷体_GB2312" w:hAnsi="楷体_GB2312" w:eastAsia="楷体_GB2312" w:cs="楷体_GB2312"/>
          <w:bCs/>
          <w:color w:val="auto"/>
          <w:spacing w:val="0"/>
          <w:w w:val="100"/>
          <w:kern w:val="0"/>
          <w:sz w:val="32"/>
          <w:szCs w:val="32"/>
          <w:lang w:val="en-US" w:eastAsia="zh-CN" w:bidi="zh-CN"/>
        </w:rPr>
        <w:t>8.</w:t>
      </w:r>
      <w:r>
        <w:rPr>
          <w:rFonts w:hint="eastAsia" w:ascii="仿宋_GB2312" w:hAnsi="仿宋_GB2312" w:eastAsia="仿宋_GB2312" w:cs="仿宋_GB2312"/>
          <w:color w:val="auto"/>
          <w:spacing w:val="0"/>
          <w:w w:val="100"/>
          <w:kern w:val="0"/>
          <w:sz w:val="32"/>
          <w:szCs w:val="32"/>
          <w:lang w:val="zh-CN" w:eastAsia="zh-CN" w:bidi="zh-CN"/>
        </w:rPr>
        <w:t>园区入园项目需</w:t>
      </w:r>
      <w:r>
        <w:rPr>
          <w:rFonts w:hint="eastAsia" w:ascii="仿宋_GB2312" w:hAnsi="仿宋_GB2312" w:eastAsia="仿宋_GB2312" w:cs="仿宋_GB2312"/>
          <w:color w:val="auto"/>
          <w:spacing w:val="0"/>
          <w:w w:val="100"/>
          <w:kern w:val="0"/>
          <w:sz w:val="32"/>
          <w:szCs w:val="32"/>
          <w:lang w:val="en-US" w:eastAsia="zh-CN" w:bidi="zh-CN"/>
        </w:rPr>
        <w:t>编制清洁生产报告，提出减少有毒有害物料的使用、产生，降低能耗、物耗以及废物产生的方案，选定技术经济及环境可行的清洁生产方案。</w:t>
      </w:r>
    </w:p>
    <w:p w14:paraId="19283EB8">
      <w:pPr>
        <w:pStyle w:val="9"/>
        <w:keepNext w:val="0"/>
        <w:keepLines w:val="0"/>
        <w:pageBreakBefore w:val="0"/>
        <w:widowControl w:val="0"/>
        <w:tabs>
          <w:tab w:val="left" w:pos="0"/>
        </w:tabs>
        <w:kinsoku/>
        <w:wordWrap/>
        <w:overflowPunct w:val="0"/>
        <w:topLinePunct w:val="0"/>
        <w:autoSpaceDE w:val="0"/>
        <w:autoSpaceDN w:val="0"/>
        <w:bidi w:val="0"/>
        <w:adjustRightInd/>
        <w:snapToGrid/>
        <w:spacing w:after="0" w:line="640" w:lineRule="exact"/>
        <w:ind w:firstLine="640" w:firstLineChars="200"/>
        <w:jc w:val="both"/>
        <w:textAlignment w:val="auto"/>
        <w:rPr>
          <w:rFonts w:hint="eastAsia" w:ascii="仿宋_GB2312" w:hAnsi="仿宋_GB2312" w:eastAsia="仿宋_GB2312" w:cs="仿宋_GB2312"/>
          <w:color w:val="auto"/>
          <w:spacing w:val="0"/>
          <w:w w:val="100"/>
          <w:kern w:val="0"/>
          <w:sz w:val="32"/>
          <w:szCs w:val="32"/>
          <w:lang w:val="en-US" w:eastAsia="zh-CN" w:bidi="zh-CN"/>
        </w:rPr>
      </w:pPr>
      <w:r>
        <w:rPr>
          <w:rFonts w:hint="eastAsia" w:ascii="楷体_GB2312" w:hAnsi="楷体_GB2312" w:eastAsia="楷体_GB2312" w:cs="楷体_GB2312"/>
          <w:bCs/>
          <w:color w:val="auto"/>
          <w:spacing w:val="0"/>
          <w:w w:val="100"/>
          <w:kern w:val="0"/>
          <w:sz w:val="32"/>
          <w:szCs w:val="32"/>
          <w:lang w:val="en-US" w:eastAsia="zh-CN" w:bidi="zh-CN"/>
        </w:rPr>
        <w:t>9.</w:t>
      </w:r>
      <w:r>
        <w:rPr>
          <w:rFonts w:hint="eastAsia" w:ascii="仿宋_GB2312" w:hAnsi="仿宋_GB2312" w:eastAsia="仿宋_GB2312" w:cs="仿宋_GB2312"/>
          <w:color w:val="auto"/>
          <w:spacing w:val="0"/>
          <w:w w:val="100"/>
          <w:kern w:val="0"/>
          <w:sz w:val="32"/>
          <w:szCs w:val="32"/>
          <w:lang w:val="zh-CN" w:eastAsia="zh-CN" w:bidi="zh-CN"/>
        </w:rPr>
        <w:t>园区入园项目需</w:t>
      </w:r>
      <w:r>
        <w:rPr>
          <w:rFonts w:hint="eastAsia" w:ascii="仿宋_GB2312" w:hAnsi="仿宋_GB2312" w:eastAsia="仿宋_GB2312" w:cs="仿宋_GB2312"/>
          <w:color w:val="auto"/>
          <w:spacing w:val="0"/>
          <w:w w:val="100"/>
          <w:kern w:val="0"/>
          <w:sz w:val="32"/>
          <w:szCs w:val="32"/>
          <w:lang w:val="en-US" w:eastAsia="zh-CN" w:bidi="zh-CN"/>
        </w:rPr>
        <w:t>根据项目环评的相关要求在项目规划设计和施工图纸设计过程中对项目运营过程中产生的污染物治理措施进行设计。</w:t>
      </w:r>
    </w:p>
    <w:p w14:paraId="088BB448">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rightChars="0" w:firstLine="640" w:firstLineChars="200"/>
        <w:jc w:val="left"/>
        <w:textAlignment w:val="auto"/>
        <w:rPr>
          <w:rFonts w:hint="default" w:ascii="仿宋_GB2312" w:hAnsi="仿宋_GB2312" w:eastAsia="仿宋_GB2312" w:cs="仿宋_GB2312"/>
          <w:color w:val="auto"/>
          <w:spacing w:val="0"/>
          <w:w w:val="100"/>
          <w:kern w:val="0"/>
          <w:sz w:val="32"/>
          <w:szCs w:val="32"/>
          <w:lang w:val="en-US" w:eastAsia="zh-CN" w:bidi="zh-CN"/>
        </w:rPr>
      </w:pPr>
      <w:r>
        <w:rPr>
          <w:rFonts w:hint="eastAsia" w:ascii="楷体_GB2312" w:hAnsi="楷体_GB2312" w:eastAsia="楷体_GB2312" w:cs="楷体_GB2312"/>
          <w:bCs/>
          <w:color w:val="auto"/>
          <w:spacing w:val="0"/>
          <w:w w:val="100"/>
          <w:kern w:val="0"/>
          <w:sz w:val="32"/>
          <w:szCs w:val="32"/>
          <w:lang w:val="en-US" w:eastAsia="zh-CN" w:bidi="zh-CN"/>
        </w:rPr>
        <w:t>10.</w:t>
      </w:r>
      <w:r>
        <w:rPr>
          <w:rFonts w:hint="eastAsia" w:ascii="仿宋_GB2312" w:hAnsi="仿宋_GB2312" w:eastAsia="仿宋_GB2312" w:cs="仿宋_GB2312"/>
          <w:color w:val="auto"/>
          <w:spacing w:val="0"/>
          <w:w w:val="100"/>
          <w:kern w:val="0"/>
          <w:sz w:val="32"/>
          <w:szCs w:val="32"/>
          <w:lang w:val="zh-CN" w:eastAsia="zh-CN" w:bidi="zh-CN"/>
        </w:rPr>
        <w:t>园区入园</w:t>
      </w:r>
      <w:r>
        <w:rPr>
          <w:rFonts w:hint="default" w:ascii="仿宋_GB2312" w:hAnsi="仿宋_GB2312" w:eastAsia="仿宋_GB2312" w:cs="仿宋_GB2312"/>
          <w:color w:val="auto"/>
          <w:spacing w:val="0"/>
          <w:w w:val="100"/>
          <w:kern w:val="0"/>
          <w:sz w:val="32"/>
          <w:szCs w:val="32"/>
          <w:lang w:val="en-US" w:eastAsia="zh-CN" w:bidi="zh-CN"/>
        </w:rPr>
        <w:t>项目应严格执行环境影响评价及建设项目环境保护“三同时”制度，优先采用高效可靠的污水、废气等污染治理工艺，严格控制废气无组织排放，依法执行相关排放标准。</w:t>
      </w:r>
      <w:r>
        <w:rPr>
          <w:rFonts w:hint="default" w:ascii="Times New Roman" w:hAnsi="Times New Roman" w:eastAsia="仿宋_GB2312"/>
          <w:sz w:val="32"/>
          <w:szCs w:val="32"/>
        </w:rPr>
        <w:t>依法取得排污许可证，</w:t>
      </w:r>
      <w:r>
        <w:rPr>
          <w:rFonts w:hint="eastAsia" w:ascii="Times New Roman" w:hAnsi="Times New Roman" w:eastAsia="仿宋_GB2312"/>
          <w:sz w:val="32"/>
          <w:szCs w:val="32"/>
          <w:lang w:eastAsia="zh-CN"/>
        </w:rPr>
        <w:t>并</w:t>
      </w:r>
      <w:r>
        <w:rPr>
          <w:rFonts w:hint="default" w:ascii="Times New Roman" w:hAnsi="Times New Roman" w:eastAsia="仿宋_GB2312"/>
          <w:sz w:val="32"/>
          <w:szCs w:val="32"/>
        </w:rPr>
        <w:t>按证排污并公开环境信息</w:t>
      </w:r>
      <w:r>
        <w:rPr>
          <w:rFonts w:hint="eastAsia" w:ascii="Times New Roman" w:hAnsi="Times New Roman" w:eastAsia="仿宋_GB2312"/>
          <w:sz w:val="32"/>
          <w:szCs w:val="32"/>
          <w:lang w:eastAsia="zh-CN"/>
        </w:rPr>
        <w:t>。</w:t>
      </w:r>
    </w:p>
    <w:p w14:paraId="2963F6A0">
      <w:pPr>
        <w:pStyle w:val="4"/>
        <w:bidi w:val="0"/>
        <w:rPr>
          <w:rFonts w:hint="default"/>
          <w:lang w:val="zh-CN" w:eastAsia="zh-CN"/>
        </w:rPr>
      </w:pPr>
      <w:r>
        <w:rPr>
          <w:rFonts w:hint="eastAsia"/>
          <w:lang w:val="zh-CN" w:eastAsia="zh-CN"/>
        </w:rPr>
        <w:t>（</w:t>
      </w:r>
      <w:r>
        <w:rPr>
          <w:rFonts w:hint="eastAsia"/>
          <w:lang w:val="en-US" w:eastAsia="zh-CN"/>
        </w:rPr>
        <w:t>四</w:t>
      </w:r>
      <w:r>
        <w:rPr>
          <w:rFonts w:hint="eastAsia"/>
          <w:lang w:val="zh-CN" w:eastAsia="zh-CN"/>
        </w:rPr>
        <w:t>）</w:t>
      </w:r>
      <w:r>
        <w:rPr>
          <w:rFonts w:hint="default"/>
          <w:lang w:val="zh-CN" w:eastAsia="zh-CN"/>
        </w:rPr>
        <w:t>环境监测与评估</w:t>
      </w:r>
    </w:p>
    <w:p w14:paraId="585BD46F">
      <w:pPr>
        <w:pStyle w:val="9"/>
        <w:keepNext w:val="0"/>
        <w:keepLines w:val="0"/>
        <w:pageBreakBefore w:val="0"/>
        <w:widowControl w:val="0"/>
        <w:tabs>
          <w:tab w:val="left" w:pos="0"/>
        </w:tabs>
        <w:kinsoku/>
        <w:wordWrap/>
        <w:overflowPunct w:val="0"/>
        <w:topLinePunct w:val="0"/>
        <w:autoSpaceDE w:val="0"/>
        <w:autoSpaceDN w:val="0"/>
        <w:bidi w:val="0"/>
        <w:adjustRightInd/>
        <w:snapToGrid/>
        <w:spacing w:after="0" w:line="640" w:lineRule="exact"/>
        <w:ind w:firstLine="640" w:firstLineChars="200"/>
        <w:jc w:val="both"/>
        <w:textAlignment w:val="auto"/>
        <w:rPr>
          <w:rFonts w:hint="default" w:ascii="仿宋_GB2312" w:hAnsi="仿宋_GB2312" w:eastAsia="仿宋_GB2312" w:cs="仿宋_GB2312"/>
          <w:color w:val="auto"/>
          <w:spacing w:val="0"/>
          <w:w w:val="100"/>
          <w:kern w:val="0"/>
          <w:sz w:val="32"/>
          <w:szCs w:val="32"/>
          <w:lang w:val="zh-CN" w:eastAsia="zh-CN" w:bidi="zh-CN"/>
        </w:rPr>
      </w:pPr>
      <w:r>
        <w:rPr>
          <w:rFonts w:hint="eastAsia" w:ascii="楷体_GB2312" w:hAnsi="楷体_GB2312" w:eastAsia="楷体_GB2312" w:cs="楷体_GB2312"/>
          <w:bCs/>
          <w:color w:val="auto"/>
          <w:spacing w:val="0"/>
          <w:w w:val="100"/>
          <w:kern w:val="0"/>
          <w:sz w:val="32"/>
          <w:szCs w:val="32"/>
          <w:lang w:val="en-US" w:eastAsia="zh-CN" w:bidi="zh-CN"/>
        </w:rPr>
        <w:t>1.</w:t>
      </w:r>
      <w:r>
        <w:rPr>
          <w:rFonts w:hint="eastAsia" w:ascii="仿宋_GB2312" w:hAnsi="仿宋_GB2312" w:eastAsia="仿宋_GB2312" w:cs="仿宋_GB2312"/>
          <w:color w:val="auto"/>
          <w:spacing w:val="0"/>
          <w:w w:val="100"/>
          <w:kern w:val="0"/>
          <w:sz w:val="32"/>
          <w:szCs w:val="32"/>
          <w:lang w:val="zh-CN" w:eastAsia="zh-CN" w:bidi="zh-CN"/>
        </w:rPr>
        <w:t>园区按照相关要求组织开展园区生态环境检测工作，</w:t>
      </w:r>
      <w:r>
        <w:rPr>
          <w:rFonts w:hint="default" w:ascii="仿宋_GB2312" w:hAnsi="仿宋_GB2312" w:eastAsia="仿宋_GB2312" w:cs="仿宋_GB2312"/>
          <w:color w:val="auto"/>
          <w:spacing w:val="0"/>
          <w:w w:val="100"/>
          <w:kern w:val="0"/>
          <w:sz w:val="32"/>
          <w:szCs w:val="32"/>
          <w:lang w:val="zh-CN" w:eastAsia="zh-CN" w:bidi="zh-CN"/>
        </w:rPr>
        <w:t>对</w:t>
      </w:r>
      <w:r>
        <w:rPr>
          <w:rFonts w:hint="eastAsia" w:ascii="仿宋_GB2312" w:hAnsi="仿宋_GB2312" w:eastAsia="仿宋_GB2312" w:cs="仿宋_GB2312"/>
          <w:color w:val="auto"/>
          <w:spacing w:val="0"/>
          <w:w w:val="100"/>
          <w:kern w:val="0"/>
          <w:sz w:val="32"/>
          <w:szCs w:val="32"/>
          <w:lang w:val="zh-CN" w:eastAsia="zh-CN" w:bidi="zh-CN"/>
        </w:rPr>
        <w:t>园区</w:t>
      </w:r>
      <w:r>
        <w:rPr>
          <w:rFonts w:hint="default" w:ascii="仿宋_GB2312" w:hAnsi="仿宋_GB2312" w:eastAsia="仿宋_GB2312" w:cs="仿宋_GB2312"/>
          <w:color w:val="auto"/>
          <w:spacing w:val="0"/>
          <w:w w:val="100"/>
          <w:kern w:val="0"/>
          <w:sz w:val="32"/>
          <w:szCs w:val="32"/>
          <w:lang w:val="zh-CN" w:eastAsia="zh-CN" w:bidi="zh-CN"/>
        </w:rPr>
        <w:t>内大气、水、土壤</w:t>
      </w:r>
      <w:r>
        <w:rPr>
          <w:rFonts w:hint="eastAsia" w:ascii="仿宋_GB2312" w:hAnsi="仿宋_GB2312" w:eastAsia="仿宋_GB2312" w:cs="仿宋_GB2312"/>
          <w:color w:val="auto"/>
          <w:spacing w:val="0"/>
          <w:w w:val="100"/>
          <w:kern w:val="0"/>
          <w:sz w:val="32"/>
          <w:szCs w:val="32"/>
          <w:lang w:val="zh-CN" w:eastAsia="zh-CN" w:bidi="zh-CN"/>
        </w:rPr>
        <w:t>、声</w:t>
      </w:r>
      <w:r>
        <w:rPr>
          <w:rFonts w:hint="default" w:ascii="仿宋_GB2312" w:hAnsi="仿宋_GB2312" w:eastAsia="仿宋_GB2312" w:cs="仿宋_GB2312"/>
          <w:color w:val="auto"/>
          <w:spacing w:val="0"/>
          <w:w w:val="100"/>
          <w:kern w:val="0"/>
          <w:sz w:val="32"/>
          <w:szCs w:val="32"/>
          <w:lang w:val="zh-CN" w:eastAsia="zh-CN" w:bidi="zh-CN"/>
        </w:rPr>
        <w:t>等环境</w:t>
      </w:r>
      <w:r>
        <w:rPr>
          <w:rFonts w:hint="eastAsia" w:ascii="仿宋_GB2312" w:hAnsi="仿宋_GB2312" w:eastAsia="仿宋_GB2312" w:cs="仿宋_GB2312"/>
          <w:color w:val="auto"/>
          <w:spacing w:val="0"/>
          <w:w w:val="100"/>
          <w:kern w:val="0"/>
          <w:sz w:val="32"/>
          <w:szCs w:val="32"/>
          <w:lang w:val="zh-CN" w:eastAsia="zh-CN" w:bidi="zh-CN"/>
        </w:rPr>
        <w:t>因子</w:t>
      </w:r>
      <w:r>
        <w:rPr>
          <w:rFonts w:hint="default" w:ascii="仿宋_GB2312" w:hAnsi="仿宋_GB2312" w:eastAsia="仿宋_GB2312" w:cs="仿宋_GB2312"/>
          <w:color w:val="auto"/>
          <w:spacing w:val="0"/>
          <w:w w:val="100"/>
          <w:kern w:val="0"/>
          <w:sz w:val="32"/>
          <w:szCs w:val="32"/>
          <w:lang w:val="zh-CN" w:eastAsia="zh-CN" w:bidi="zh-CN"/>
        </w:rPr>
        <w:t>进行定期的监测。</w:t>
      </w:r>
    </w:p>
    <w:p w14:paraId="1CBECC62">
      <w:pPr>
        <w:pStyle w:val="9"/>
        <w:keepNext w:val="0"/>
        <w:keepLines w:val="0"/>
        <w:pageBreakBefore w:val="0"/>
        <w:widowControl w:val="0"/>
        <w:tabs>
          <w:tab w:val="left" w:pos="0"/>
        </w:tabs>
        <w:kinsoku/>
        <w:wordWrap/>
        <w:overflowPunct w:val="0"/>
        <w:topLinePunct w:val="0"/>
        <w:autoSpaceDE w:val="0"/>
        <w:autoSpaceDN w:val="0"/>
        <w:bidi w:val="0"/>
        <w:adjustRightInd/>
        <w:snapToGrid/>
        <w:spacing w:after="0" w:line="640" w:lineRule="exact"/>
        <w:ind w:firstLine="640" w:firstLineChars="200"/>
        <w:jc w:val="both"/>
        <w:textAlignment w:val="auto"/>
        <w:rPr>
          <w:rFonts w:hint="default" w:ascii="仿宋_GB2312" w:hAnsi="仿宋_GB2312" w:eastAsia="仿宋_GB2312" w:cs="仿宋_GB2312"/>
          <w:color w:val="auto"/>
          <w:spacing w:val="0"/>
          <w:w w:val="100"/>
          <w:kern w:val="0"/>
          <w:sz w:val="32"/>
          <w:szCs w:val="32"/>
          <w:lang w:val="en-US" w:eastAsia="zh-CN" w:bidi="zh-CN"/>
        </w:rPr>
      </w:pPr>
      <w:r>
        <w:rPr>
          <w:rFonts w:hint="eastAsia" w:ascii="楷体_GB2312" w:hAnsi="楷体_GB2312" w:eastAsia="楷体_GB2312" w:cs="楷体_GB2312"/>
          <w:bCs/>
          <w:color w:val="auto"/>
          <w:spacing w:val="0"/>
          <w:w w:val="100"/>
          <w:kern w:val="0"/>
          <w:sz w:val="32"/>
          <w:szCs w:val="32"/>
          <w:lang w:val="en-US" w:eastAsia="zh-CN" w:bidi="zh-CN"/>
        </w:rPr>
        <w:t>2.</w:t>
      </w:r>
      <w:r>
        <w:rPr>
          <w:rFonts w:hint="eastAsia" w:ascii="仿宋_GB2312" w:hAnsi="仿宋_GB2312" w:eastAsia="仿宋_GB2312" w:cs="仿宋_GB2312"/>
          <w:color w:val="auto"/>
          <w:spacing w:val="0"/>
          <w:w w:val="100"/>
          <w:kern w:val="0"/>
          <w:sz w:val="32"/>
          <w:szCs w:val="32"/>
          <w:lang w:val="zh-CN" w:eastAsia="zh-CN" w:bidi="zh-CN"/>
        </w:rPr>
        <w:t>园区</w:t>
      </w:r>
      <w:r>
        <w:rPr>
          <w:rFonts w:hint="default" w:ascii="仿宋_GB2312" w:hAnsi="仿宋_GB2312" w:eastAsia="仿宋_GB2312" w:cs="仿宋_GB2312"/>
          <w:color w:val="auto"/>
          <w:spacing w:val="0"/>
          <w:w w:val="100"/>
          <w:kern w:val="0"/>
          <w:sz w:val="32"/>
          <w:szCs w:val="32"/>
          <w:lang w:val="zh-CN" w:eastAsia="zh-CN" w:bidi="zh-CN"/>
        </w:rPr>
        <w:t>内所有生产经营</w:t>
      </w:r>
      <w:r>
        <w:rPr>
          <w:rFonts w:hint="eastAsia" w:ascii="仿宋_GB2312" w:hAnsi="仿宋_GB2312" w:eastAsia="仿宋_GB2312" w:cs="仿宋_GB2312"/>
          <w:color w:val="auto"/>
          <w:spacing w:val="0"/>
          <w:w w:val="100"/>
          <w:kern w:val="0"/>
          <w:sz w:val="32"/>
          <w:szCs w:val="32"/>
          <w:lang w:val="zh-CN" w:eastAsia="zh-CN" w:bidi="zh-CN"/>
        </w:rPr>
        <w:t>企业</w:t>
      </w:r>
      <w:r>
        <w:rPr>
          <w:rFonts w:hint="eastAsia" w:ascii="仿宋_GB2312" w:hAnsi="仿宋_GB2312" w:eastAsia="仿宋_GB2312" w:cs="仿宋_GB2312"/>
          <w:color w:val="auto"/>
          <w:spacing w:val="0"/>
          <w:w w:val="100"/>
          <w:kern w:val="0"/>
          <w:sz w:val="32"/>
          <w:szCs w:val="32"/>
          <w:lang w:val="en-US" w:eastAsia="zh-CN" w:bidi="zh-CN"/>
        </w:rPr>
        <w:t>应按照排污许可证的相关要求开展自行监测，并配合</w:t>
      </w:r>
      <w:r>
        <w:rPr>
          <w:rFonts w:hint="eastAsia" w:ascii="仿宋_GB2312" w:hAnsi="仿宋_GB2312" w:eastAsia="仿宋_GB2312" w:cs="仿宋_GB2312"/>
          <w:color w:val="auto"/>
          <w:spacing w:val="0"/>
          <w:w w:val="100"/>
          <w:kern w:val="0"/>
          <w:sz w:val="32"/>
          <w:szCs w:val="32"/>
          <w:lang w:val="zh-CN" w:eastAsia="zh-CN" w:bidi="zh-CN"/>
        </w:rPr>
        <w:t>化工园</w:t>
      </w:r>
      <w:r>
        <w:rPr>
          <w:rFonts w:hint="default" w:ascii="仿宋_GB2312" w:hAnsi="仿宋_GB2312" w:eastAsia="仿宋_GB2312" w:cs="仿宋_GB2312"/>
          <w:color w:val="auto"/>
          <w:spacing w:val="0"/>
          <w:w w:val="100"/>
          <w:kern w:val="0"/>
          <w:sz w:val="32"/>
          <w:szCs w:val="32"/>
          <w:lang w:val="zh-CN" w:eastAsia="zh-CN" w:bidi="zh-CN"/>
        </w:rPr>
        <w:t>区</w:t>
      </w:r>
      <w:r>
        <w:rPr>
          <w:rFonts w:hint="eastAsia" w:ascii="仿宋_GB2312" w:hAnsi="仿宋_GB2312" w:eastAsia="仿宋_GB2312" w:cs="仿宋_GB2312"/>
          <w:color w:val="auto"/>
          <w:spacing w:val="0"/>
          <w:w w:val="100"/>
          <w:kern w:val="0"/>
          <w:sz w:val="32"/>
          <w:szCs w:val="32"/>
          <w:lang w:val="zh-CN" w:eastAsia="zh-CN" w:bidi="zh-CN"/>
        </w:rPr>
        <w:t>办及生态环境部门监督和检查</w:t>
      </w:r>
      <w:r>
        <w:rPr>
          <w:rFonts w:hint="eastAsia" w:ascii="仿宋_GB2312" w:hAnsi="仿宋_GB2312" w:eastAsia="仿宋_GB2312" w:cs="仿宋_GB2312"/>
          <w:color w:val="auto"/>
          <w:spacing w:val="0"/>
          <w:w w:val="100"/>
          <w:kern w:val="0"/>
          <w:sz w:val="32"/>
          <w:szCs w:val="32"/>
          <w:lang w:val="en-US" w:eastAsia="zh-CN" w:bidi="zh-CN"/>
        </w:rPr>
        <w:t>。</w:t>
      </w:r>
    </w:p>
    <w:p w14:paraId="6CE24064">
      <w:pPr>
        <w:pStyle w:val="9"/>
        <w:keepNext w:val="0"/>
        <w:keepLines w:val="0"/>
        <w:pageBreakBefore w:val="0"/>
        <w:widowControl w:val="0"/>
        <w:tabs>
          <w:tab w:val="left" w:pos="0"/>
        </w:tabs>
        <w:kinsoku/>
        <w:wordWrap/>
        <w:overflowPunct w:val="0"/>
        <w:topLinePunct w:val="0"/>
        <w:autoSpaceDE w:val="0"/>
        <w:autoSpaceDN w:val="0"/>
        <w:bidi w:val="0"/>
        <w:adjustRightInd/>
        <w:snapToGrid/>
        <w:spacing w:after="0" w:line="640" w:lineRule="exact"/>
        <w:ind w:firstLine="640" w:firstLineChars="200"/>
        <w:jc w:val="both"/>
        <w:textAlignment w:val="auto"/>
        <w:rPr>
          <w:rFonts w:hint="default" w:ascii="仿宋_GB2312" w:hAnsi="仿宋_GB2312" w:eastAsia="仿宋_GB2312" w:cs="仿宋_GB2312"/>
          <w:color w:val="auto"/>
          <w:spacing w:val="0"/>
          <w:w w:val="100"/>
          <w:kern w:val="0"/>
          <w:sz w:val="32"/>
          <w:szCs w:val="32"/>
          <w:lang w:val="en-US" w:eastAsia="zh-CN" w:bidi="zh-CN"/>
        </w:rPr>
      </w:pPr>
      <w:r>
        <w:rPr>
          <w:rFonts w:hint="eastAsia" w:ascii="楷体_GB2312" w:hAnsi="楷体_GB2312" w:eastAsia="楷体_GB2312" w:cs="楷体_GB2312"/>
          <w:bCs/>
          <w:color w:val="auto"/>
          <w:spacing w:val="0"/>
          <w:w w:val="100"/>
          <w:kern w:val="0"/>
          <w:sz w:val="32"/>
          <w:szCs w:val="32"/>
          <w:lang w:val="en-US" w:eastAsia="zh-CN" w:bidi="zh-CN"/>
        </w:rPr>
        <w:t>3.</w:t>
      </w:r>
      <w:r>
        <w:rPr>
          <w:rFonts w:hint="eastAsia" w:ascii="仿宋_GB2312" w:hAnsi="仿宋_GB2312" w:eastAsia="仿宋_GB2312" w:cs="仿宋_GB2312"/>
          <w:color w:val="auto"/>
          <w:spacing w:val="0"/>
          <w:w w:val="100"/>
          <w:kern w:val="0"/>
          <w:sz w:val="32"/>
          <w:szCs w:val="32"/>
          <w:lang w:val="zh-CN" w:eastAsia="zh-CN" w:bidi="zh-CN"/>
        </w:rPr>
        <w:t>化工园区办</w:t>
      </w:r>
      <w:r>
        <w:rPr>
          <w:rFonts w:hint="default" w:ascii="仿宋_GB2312" w:hAnsi="仿宋_GB2312" w:eastAsia="仿宋_GB2312" w:cs="仿宋_GB2312"/>
          <w:color w:val="auto"/>
          <w:spacing w:val="0"/>
          <w:w w:val="100"/>
          <w:kern w:val="0"/>
          <w:sz w:val="32"/>
          <w:szCs w:val="32"/>
          <w:lang w:val="zh-CN" w:eastAsia="zh-CN" w:bidi="zh-CN"/>
        </w:rPr>
        <w:t>应当委托具有资质的第三方机构对园区环境进行定期评估，确保环境质量符合国家相关标准。</w:t>
      </w:r>
    </w:p>
    <w:p w14:paraId="45DDA789">
      <w:pPr>
        <w:pStyle w:val="9"/>
        <w:keepNext w:val="0"/>
        <w:keepLines w:val="0"/>
        <w:pageBreakBefore w:val="0"/>
        <w:widowControl w:val="0"/>
        <w:tabs>
          <w:tab w:val="left" w:pos="0"/>
        </w:tabs>
        <w:kinsoku/>
        <w:wordWrap/>
        <w:overflowPunct w:val="0"/>
        <w:topLinePunct w:val="0"/>
        <w:autoSpaceDE w:val="0"/>
        <w:autoSpaceDN w:val="0"/>
        <w:bidi w:val="0"/>
        <w:adjustRightInd/>
        <w:snapToGrid/>
        <w:spacing w:after="0" w:line="640" w:lineRule="exact"/>
        <w:ind w:firstLine="640" w:firstLineChars="200"/>
        <w:jc w:val="both"/>
        <w:textAlignment w:val="auto"/>
        <w:rPr>
          <w:rFonts w:hint="default" w:ascii="仿宋_GB2312" w:hAnsi="仿宋_GB2312" w:eastAsia="仿宋_GB2312" w:cs="仿宋_GB2312"/>
          <w:color w:val="auto"/>
          <w:spacing w:val="0"/>
          <w:w w:val="100"/>
          <w:kern w:val="0"/>
          <w:sz w:val="32"/>
          <w:szCs w:val="32"/>
          <w:lang w:val="zh-CN" w:eastAsia="zh-CN" w:bidi="zh-CN"/>
        </w:rPr>
      </w:pPr>
      <w:r>
        <w:rPr>
          <w:rFonts w:hint="eastAsia" w:ascii="楷体_GB2312" w:hAnsi="楷体_GB2312" w:eastAsia="楷体_GB2312" w:cs="楷体_GB2312"/>
          <w:bCs/>
          <w:color w:val="auto"/>
          <w:spacing w:val="0"/>
          <w:w w:val="100"/>
          <w:kern w:val="0"/>
          <w:sz w:val="32"/>
          <w:szCs w:val="32"/>
          <w:lang w:val="en-US" w:eastAsia="zh-CN" w:bidi="zh-CN"/>
        </w:rPr>
        <w:t>4.</w:t>
      </w:r>
      <w:r>
        <w:rPr>
          <w:rFonts w:hint="eastAsia" w:ascii="仿宋_GB2312" w:hAnsi="仿宋_GB2312" w:eastAsia="仿宋_GB2312" w:cs="仿宋_GB2312"/>
          <w:color w:val="auto"/>
          <w:spacing w:val="0"/>
          <w:w w:val="100"/>
          <w:kern w:val="0"/>
          <w:sz w:val="32"/>
          <w:szCs w:val="32"/>
          <w:lang w:val="zh-CN" w:eastAsia="zh-CN" w:bidi="zh-CN"/>
        </w:rPr>
        <w:t>化工园区办</w:t>
      </w:r>
      <w:r>
        <w:rPr>
          <w:rFonts w:hint="default" w:ascii="仿宋_GB2312" w:hAnsi="仿宋_GB2312" w:eastAsia="仿宋_GB2312" w:cs="仿宋_GB2312"/>
          <w:color w:val="auto"/>
          <w:spacing w:val="0"/>
          <w:w w:val="100"/>
          <w:kern w:val="0"/>
          <w:sz w:val="32"/>
          <w:szCs w:val="32"/>
          <w:lang w:val="zh-CN" w:eastAsia="zh-CN" w:bidi="zh-CN"/>
        </w:rPr>
        <w:t>应当建立环境监测与评估档案，将监测数据和评估报告进行归档保存，</w:t>
      </w:r>
      <w:r>
        <w:rPr>
          <w:rFonts w:hint="eastAsia" w:ascii="仿宋_GB2312" w:hAnsi="仿宋_GB2312" w:eastAsia="仿宋_GB2312" w:cs="仿宋_GB2312"/>
          <w:color w:val="auto"/>
          <w:spacing w:val="0"/>
          <w:w w:val="100"/>
          <w:kern w:val="0"/>
          <w:sz w:val="32"/>
          <w:szCs w:val="32"/>
          <w:lang w:val="zh-CN" w:eastAsia="zh-CN" w:bidi="zh-CN"/>
        </w:rPr>
        <w:t>上报</w:t>
      </w:r>
      <w:r>
        <w:rPr>
          <w:rFonts w:hint="default" w:ascii="仿宋_GB2312" w:hAnsi="仿宋_GB2312" w:eastAsia="仿宋_GB2312" w:cs="仿宋_GB2312"/>
          <w:color w:val="auto"/>
          <w:spacing w:val="0"/>
          <w:w w:val="100"/>
          <w:kern w:val="0"/>
          <w:sz w:val="32"/>
          <w:szCs w:val="32"/>
          <w:lang w:val="zh-CN" w:eastAsia="zh-CN" w:bidi="zh-CN"/>
        </w:rPr>
        <w:t>生态环境部门</w:t>
      </w:r>
      <w:r>
        <w:rPr>
          <w:rFonts w:hint="eastAsia" w:ascii="仿宋_GB2312" w:hAnsi="仿宋_GB2312" w:eastAsia="仿宋_GB2312" w:cs="仿宋_GB2312"/>
          <w:color w:val="auto"/>
          <w:spacing w:val="0"/>
          <w:w w:val="100"/>
          <w:kern w:val="0"/>
          <w:sz w:val="32"/>
          <w:szCs w:val="32"/>
          <w:lang w:val="zh-CN" w:eastAsia="zh-CN" w:bidi="zh-CN"/>
        </w:rPr>
        <w:t>并进行年度环境质量报告公示</w:t>
      </w:r>
      <w:r>
        <w:rPr>
          <w:rFonts w:hint="default" w:ascii="仿宋_GB2312" w:hAnsi="仿宋_GB2312" w:eastAsia="仿宋_GB2312" w:cs="仿宋_GB2312"/>
          <w:color w:val="auto"/>
          <w:spacing w:val="0"/>
          <w:w w:val="100"/>
          <w:kern w:val="0"/>
          <w:sz w:val="32"/>
          <w:szCs w:val="32"/>
          <w:lang w:val="zh-CN" w:eastAsia="zh-CN" w:bidi="zh-CN"/>
        </w:rPr>
        <w:t>。</w:t>
      </w:r>
    </w:p>
    <w:p w14:paraId="2CE75298">
      <w:pPr>
        <w:pStyle w:val="4"/>
        <w:bidi w:val="0"/>
        <w:rPr>
          <w:rFonts w:hint="default"/>
          <w:lang w:val="zh-CN" w:eastAsia="zh-CN"/>
        </w:rPr>
      </w:pPr>
      <w:r>
        <w:rPr>
          <w:rFonts w:hint="eastAsia"/>
          <w:lang w:val="zh-CN" w:eastAsia="zh-CN"/>
        </w:rPr>
        <w:t>（</w:t>
      </w:r>
      <w:r>
        <w:rPr>
          <w:rFonts w:hint="eastAsia"/>
          <w:lang w:val="en-US" w:eastAsia="zh-CN"/>
        </w:rPr>
        <w:t>五</w:t>
      </w:r>
      <w:r>
        <w:rPr>
          <w:rFonts w:hint="eastAsia"/>
          <w:lang w:val="zh-CN" w:eastAsia="zh-CN"/>
        </w:rPr>
        <w:t>）</w:t>
      </w:r>
      <w:r>
        <w:rPr>
          <w:rFonts w:hint="default"/>
          <w:lang w:val="zh-CN" w:eastAsia="zh-CN"/>
        </w:rPr>
        <w:t>污染防治</w:t>
      </w:r>
      <w:r>
        <w:rPr>
          <w:rFonts w:hint="eastAsia"/>
          <w:lang w:val="zh-CN" w:eastAsia="zh-CN"/>
        </w:rPr>
        <w:t>管理</w:t>
      </w:r>
    </w:p>
    <w:p w14:paraId="04E964CF">
      <w:pPr>
        <w:pStyle w:val="9"/>
        <w:keepNext w:val="0"/>
        <w:keepLines w:val="0"/>
        <w:pageBreakBefore w:val="0"/>
        <w:widowControl w:val="0"/>
        <w:tabs>
          <w:tab w:val="left" w:pos="0"/>
        </w:tabs>
        <w:kinsoku/>
        <w:wordWrap/>
        <w:overflowPunct w:val="0"/>
        <w:topLinePunct w:val="0"/>
        <w:autoSpaceDE w:val="0"/>
        <w:autoSpaceDN w:val="0"/>
        <w:bidi w:val="0"/>
        <w:adjustRightInd/>
        <w:snapToGrid/>
        <w:spacing w:after="0" w:line="640" w:lineRule="exact"/>
        <w:ind w:firstLine="640" w:firstLineChars="200"/>
        <w:jc w:val="both"/>
        <w:textAlignment w:val="auto"/>
        <w:rPr>
          <w:rFonts w:hint="eastAsia" w:ascii="仿宋_GB2312" w:hAnsi="仿宋_GB2312" w:eastAsia="仿宋_GB2312" w:cs="仿宋_GB2312"/>
          <w:color w:val="auto"/>
          <w:spacing w:val="0"/>
          <w:w w:val="100"/>
          <w:kern w:val="0"/>
          <w:sz w:val="32"/>
          <w:szCs w:val="32"/>
          <w:lang w:val="zh-CN" w:eastAsia="zh-CN" w:bidi="zh-CN"/>
        </w:rPr>
      </w:pPr>
      <w:r>
        <w:rPr>
          <w:rFonts w:hint="eastAsia" w:ascii="仿宋_GB2312" w:hAnsi="仿宋_GB2312" w:eastAsia="仿宋_GB2312" w:cs="仿宋_GB2312"/>
          <w:bCs/>
          <w:color w:val="auto"/>
          <w:spacing w:val="0"/>
          <w:w w:val="100"/>
          <w:kern w:val="0"/>
          <w:sz w:val="32"/>
          <w:szCs w:val="32"/>
          <w:lang w:val="en-US" w:eastAsia="zh-CN" w:bidi="zh-CN"/>
        </w:rPr>
        <w:t>1.</w:t>
      </w:r>
      <w:r>
        <w:rPr>
          <w:rFonts w:hint="eastAsia" w:ascii="仿宋_GB2312" w:hAnsi="仿宋_GB2312" w:eastAsia="仿宋_GB2312" w:cs="仿宋_GB2312"/>
          <w:color w:val="auto"/>
          <w:spacing w:val="0"/>
          <w:w w:val="100"/>
          <w:kern w:val="0"/>
          <w:sz w:val="32"/>
          <w:szCs w:val="32"/>
          <w:lang w:val="zh-CN" w:eastAsia="zh-CN" w:bidi="zh-CN"/>
        </w:rPr>
        <w:t>园区应按照园区规划环境影响评价报告的相关要求落实园区污染治理和应急救援设施的建设和管理。</w:t>
      </w:r>
    </w:p>
    <w:p w14:paraId="0B1CD355">
      <w:pPr>
        <w:pStyle w:val="9"/>
        <w:keepNext w:val="0"/>
        <w:keepLines w:val="0"/>
        <w:pageBreakBefore w:val="0"/>
        <w:widowControl w:val="0"/>
        <w:tabs>
          <w:tab w:val="left" w:pos="0"/>
        </w:tabs>
        <w:kinsoku/>
        <w:wordWrap/>
        <w:overflowPunct w:val="0"/>
        <w:topLinePunct w:val="0"/>
        <w:autoSpaceDE w:val="0"/>
        <w:autoSpaceDN w:val="0"/>
        <w:bidi w:val="0"/>
        <w:adjustRightInd/>
        <w:snapToGrid/>
        <w:spacing w:after="0" w:line="640" w:lineRule="exact"/>
        <w:ind w:firstLine="640" w:firstLineChars="200"/>
        <w:jc w:val="both"/>
        <w:textAlignment w:val="auto"/>
        <w:rPr>
          <w:rFonts w:hint="eastAsia" w:ascii="仿宋_GB2312" w:hAnsi="仿宋_GB2312" w:eastAsia="仿宋_GB2312" w:cs="仿宋_GB2312"/>
          <w:color w:val="auto"/>
          <w:spacing w:val="0"/>
          <w:w w:val="100"/>
          <w:kern w:val="0"/>
          <w:sz w:val="32"/>
          <w:szCs w:val="32"/>
          <w:lang w:val="en-US" w:eastAsia="zh-CN" w:bidi="zh-CN"/>
        </w:rPr>
      </w:pPr>
      <w:r>
        <w:rPr>
          <w:rFonts w:hint="eastAsia" w:ascii="仿宋_GB2312" w:hAnsi="仿宋_GB2312" w:eastAsia="仿宋_GB2312" w:cs="仿宋_GB2312"/>
          <w:bCs/>
          <w:color w:val="auto"/>
          <w:spacing w:val="0"/>
          <w:w w:val="100"/>
          <w:kern w:val="0"/>
          <w:sz w:val="32"/>
          <w:szCs w:val="32"/>
          <w:lang w:val="en-US" w:eastAsia="zh-CN" w:bidi="zh-CN"/>
        </w:rPr>
        <w:t>2.</w:t>
      </w:r>
      <w:r>
        <w:rPr>
          <w:rFonts w:hint="eastAsia" w:ascii="仿宋_GB2312" w:hAnsi="仿宋_GB2312" w:eastAsia="仿宋_GB2312" w:cs="仿宋_GB2312"/>
          <w:color w:val="auto"/>
          <w:spacing w:val="0"/>
          <w:w w:val="100"/>
          <w:kern w:val="0"/>
          <w:sz w:val="32"/>
          <w:szCs w:val="32"/>
          <w:lang w:val="zh-CN" w:eastAsia="zh-CN" w:bidi="zh-CN"/>
        </w:rPr>
        <w:t>园区内所有生产经营企业应当按照国家相关标准和规定，加强污染治理设施的建设和运维管理，并严格遵守相关标准。</w:t>
      </w:r>
      <w:r>
        <w:rPr>
          <w:rFonts w:hint="eastAsia" w:ascii="仿宋_GB2312" w:hAnsi="仿宋_GB2312" w:eastAsia="仿宋_GB2312" w:cs="仿宋_GB2312"/>
          <w:color w:val="auto"/>
          <w:spacing w:val="0"/>
          <w:w w:val="100"/>
          <w:kern w:val="0"/>
          <w:sz w:val="32"/>
          <w:szCs w:val="32"/>
          <w:lang w:val="en-US" w:eastAsia="zh-CN" w:bidi="zh-CN"/>
        </w:rPr>
        <w:t xml:space="preserve"> </w:t>
      </w:r>
    </w:p>
    <w:p w14:paraId="5E6DDBC5">
      <w:pPr>
        <w:pStyle w:val="9"/>
        <w:keepNext w:val="0"/>
        <w:keepLines w:val="0"/>
        <w:pageBreakBefore w:val="0"/>
        <w:widowControl w:val="0"/>
        <w:tabs>
          <w:tab w:val="left" w:pos="0"/>
        </w:tabs>
        <w:kinsoku/>
        <w:wordWrap/>
        <w:overflowPunct w:val="0"/>
        <w:topLinePunct w:val="0"/>
        <w:autoSpaceDE w:val="0"/>
        <w:autoSpaceDN w:val="0"/>
        <w:bidi w:val="0"/>
        <w:adjustRightInd/>
        <w:snapToGrid/>
        <w:spacing w:after="0" w:line="640" w:lineRule="exact"/>
        <w:ind w:firstLine="640" w:firstLineChars="200"/>
        <w:jc w:val="both"/>
        <w:textAlignment w:val="auto"/>
        <w:rPr>
          <w:rFonts w:hint="eastAsia" w:ascii="仿宋_GB2312" w:hAnsi="仿宋_GB2312" w:eastAsia="仿宋_GB2312" w:cs="仿宋_GB2312"/>
          <w:color w:val="auto"/>
          <w:spacing w:val="0"/>
          <w:w w:val="100"/>
          <w:kern w:val="0"/>
          <w:sz w:val="32"/>
          <w:szCs w:val="32"/>
          <w:lang w:val="zh-CN" w:eastAsia="zh-CN" w:bidi="zh-CN"/>
        </w:rPr>
      </w:pPr>
      <w:r>
        <w:rPr>
          <w:rFonts w:hint="eastAsia" w:ascii="仿宋_GB2312" w:hAnsi="仿宋_GB2312" w:eastAsia="仿宋_GB2312" w:cs="仿宋_GB2312"/>
          <w:bCs/>
          <w:color w:val="auto"/>
          <w:spacing w:val="0"/>
          <w:w w:val="100"/>
          <w:kern w:val="0"/>
          <w:sz w:val="32"/>
          <w:szCs w:val="32"/>
          <w:lang w:val="en-US" w:eastAsia="zh-CN" w:bidi="zh-CN"/>
        </w:rPr>
        <w:t>3.</w:t>
      </w:r>
      <w:r>
        <w:rPr>
          <w:rFonts w:hint="eastAsia" w:ascii="仿宋_GB2312" w:hAnsi="仿宋_GB2312" w:eastAsia="仿宋_GB2312" w:cs="仿宋_GB2312"/>
          <w:bCs/>
          <w:color w:val="auto"/>
          <w:spacing w:val="0"/>
          <w:w w:val="100"/>
          <w:kern w:val="0"/>
          <w:sz w:val="32"/>
          <w:szCs w:val="32"/>
          <w:lang w:val="zh-CN" w:eastAsia="zh-CN" w:bidi="zh-CN"/>
        </w:rPr>
        <w:t>大气污染防治：</w:t>
      </w:r>
    </w:p>
    <w:p w14:paraId="64FF5381">
      <w:pPr>
        <w:pStyle w:val="9"/>
        <w:keepNext w:val="0"/>
        <w:keepLines w:val="0"/>
        <w:pageBreakBefore w:val="0"/>
        <w:widowControl w:val="0"/>
        <w:numPr>
          <w:ilvl w:val="0"/>
          <w:numId w:val="0"/>
        </w:numPr>
        <w:tabs>
          <w:tab w:val="left" w:pos="0"/>
        </w:tabs>
        <w:kinsoku/>
        <w:wordWrap/>
        <w:overflowPunct w:val="0"/>
        <w:topLinePunct w:val="0"/>
        <w:autoSpaceDE w:val="0"/>
        <w:autoSpaceDN w:val="0"/>
        <w:bidi w:val="0"/>
        <w:adjustRightInd/>
        <w:snapToGrid/>
        <w:spacing w:after="0" w:line="640" w:lineRule="exact"/>
        <w:ind w:firstLine="640" w:firstLineChars="200"/>
        <w:jc w:val="both"/>
        <w:textAlignment w:val="auto"/>
        <w:rPr>
          <w:rFonts w:hint="eastAsia" w:ascii="仿宋_GB2312" w:hAnsi="仿宋_GB2312" w:eastAsia="仿宋_GB2312" w:cs="仿宋_GB2312"/>
          <w:color w:val="auto"/>
          <w:spacing w:val="0"/>
          <w:w w:val="100"/>
          <w:kern w:val="0"/>
          <w:sz w:val="32"/>
          <w:szCs w:val="32"/>
          <w:lang w:val="zh-CN" w:eastAsia="zh-CN" w:bidi="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企业需安装废气收集处理设施，确保二氧化硫、氮氧化物、挥发性有机物等达标排放。</w:t>
      </w:r>
    </w:p>
    <w:p w14:paraId="28C3FE29">
      <w:pPr>
        <w:pStyle w:val="9"/>
        <w:keepNext w:val="0"/>
        <w:keepLines w:val="0"/>
        <w:pageBreakBefore w:val="0"/>
        <w:widowControl w:val="0"/>
        <w:numPr>
          <w:ilvl w:val="0"/>
          <w:numId w:val="0"/>
        </w:numPr>
        <w:tabs>
          <w:tab w:val="left" w:pos="0"/>
        </w:tabs>
        <w:kinsoku/>
        <w:wordWrap/>
        <w:overflowPunct w:val="0"/>
        <w:topLinePunct w:val="0"/>
        <w:autoSpaceDE w:val="0"/>
        <w:autoSpaceDN w:val="0"/>
        <w:bidi w:val="0"/>
        <w:adjustRightInd/>
        <w:snapToGrid/>
        <w:spacing w:after="0" w:line="640" w:lineRule="exact"/>
        <w:ind w:firstLine="640" w:firstLineChars="200"/>
        <w:jc w:val="both"/>
        <w:textAlignment w:val="auto"/>
        <w:rPr>
          <w:rFonts w:hint="eastAsia" w:ascii="仿宋_GB2312" w:hAnsi="仿宋_GB2312" w:eastAsia="仿宋_GB2312" w:cs="仿宋_GB2312"/>
          <w:color w:val="auto"/>
          <w:spacing w:val="0"/>
          <w:w w:val="100"/>
          <w:kern w:val="0"/>
          <w:sz w:val="32"/>
          <w:szCs w:val="32"/>
          <w:lang w:val="zh-CN" w:eastAsia="zh-CN" w:bidi="zh-CN"/>
        </w:rPr>
      </w:pPr>
      <w:r>
        <w:rPr>
          <w:rFonts w:hint="eastAsia" w:ascii="仿宋_GB2312" w:hAnsi="仿宋_GB2312" w:eastAsia="仿宋_GB2312" w:cs="仿宋_GB2312"/>
          <w:color w:val="auto"/>
          <w:spacing w:val="0"/>
          <w:w w:val="100"/>
          <w:kern w:val="0"/>
          <w:sz w:val="32"/>
          <w:szCs w:val="32"/>
          <w:lang w:val="zh-CN" w:eastAsia="zh-CN" w:bidi="zh-CN"/>
        </w:rPr>
        <w:t>（</w:t>
      </w:r>
      <w:r>
        <w:rPr>
          <w:rFonts w:hint="eastAsia" w:ascii="仿宋_GB2312" w:hAnsi="仿宋_GB2312" w:eastAsia="仿宋_GB2312" w:cs="仿宋_GB2312"/>
          <w:color w:val="auto"/>
          <w:spacing w:val="0"/>
          <w:w w:val="100"/>
          <w:kern w:val="0"/>
          <w:sz w:val="32"/>
          <w:szCs w:val="32"/>
          <w:lang w:val="en-US" w:eastAsia="zh-CN" w:bidi="zh-CN"/>
        </w:rPr>
        <w:t>2</w:t>
      </w:r>
      <w:r>
        <w:rPr>
          <w:rFonts w:hint="eastAsia" w:ascii="仿宋_GB2312" w:hAnsi="仿宋_GB2312" w:eastAsia="仿宋_GB2312" w:cs="仿宋_GB2312"/>
          <w:color w:val="auto"/>
          <w:spacing w:val="0"/>
          <w:w w:val="100"/>
          <w:kern w:val="0"/>
          <w:sz w:val="32"/>
          <w:szCs w:val="32"/>
          <w:lang w:val="zh-CN" w:eastAsia="zh-CN" w:bidi="zh-CN"/>
        </w:rPr>
        <w:t>）禁止露天焚烧、无组织排放等行为。</w:t>
      </w:r>
    </w:p>
    <w:p w14:paraId="055832F2">
      <w:pPr>
        <w:pStyle w:val="9"/>
        <w:keepNext w:val="0"/>
        <w:keepLines w:val="0"/>
        <w:pageBreakBefore w:val="0"/>
        <w:widowControl w:val="0"/>
        <w:numPr>
          <w:ilvl w:val="0"/>
          <w:numId w:val="0"/>
        </w:numPr>
        <w:tabs>
          <w:tab w:val="left" w:pos="0"/>
        </w:tabs>
        <w:kinsoku/>
        <w:wordWrap/>
        <w:overflowPunct w:val="0"/>
        <w:topLinePunct w:val="0"/>
        <w:autoSpaceDE w:val="0"/>
        <w:autoSpaceDN w:val="0"/>
        <w:bidi w:val="0"/>
        <w:adjustRightInd/>
        <w:snapToGrid/>
        <w:spacing w:after="0" w:line="640" w:lineRule="exact"/>
        <w:ind w:firstLine="640" w:firstLineChars="200"/>
        <w:jc w:val="both"/>
        <w:textAlignment w:val="auto"/>
        <w:rPr>
          <w:rFonts w:hint="eastAsia" w:ascii="仿宋_GB2312" w:hAnsi="仿宋_GB2312" w:eastAsia="仿宋_GB2312" w:cs="仿宋_GB2312"/>
          <w:color w:val="auto"/>
          <w:spacing w:val="0"/>
          <w:w w:val="100"/>
          <w:kern w:val="0"/>
          <w:sz w:val="32"/>
          <w:szCs w:val="32"/>
          <w:lang w:val="zh-CN" w:eastAsia="zh-CN" w:bidi="zh-CN"/>
        </w:rPr>
      </w:pPr>
      <w:r>
        <w:rPr>
          <w:rFonts w:hint="eastAsia" w:ascii="仿宋_GB2312" w:hAnsi="仿宋_GB2312" w:eastAsia="仿宋_GB2312" w:cs="仿宋_GB2312"/>
          <w:color w:val="auto"/>
          <w:spacing w:val="0"/>
          <w:w w:val="100"/>
          <w:kern w:val="0"/>
          <w:sz w:val="32"/>
          <w:szCs w:val="32"/>
          <w:lang w:val="zh-CN" w:eastAsia="zh-CN" w:bidi="zh-CN"/>
        </w:rPr>
        <w:t>（</w:t>
      </w:r>
      <w:r>
        <w:rPr>
          <w:rFonts w:hint="eastAsia" w:ascii="仿宋_GB2312" w:hAnsi="仿宋_GB2312" w:eastAsia="仿宋_GB2312" w:cs="仿宋_GB2312"/>
          <w:color w:val="auto"/>
          <w:spacing w:val="0"/>
          <w:w w:val="100"/>
          <w:kern w:val="0"/>
          <w:sz w:val="32"/>
          <w:szCs w:val="32"/>
          <w:lang w:val="en-US" w:eastAsia="zh-CN" w:bidi="zh-CN"/>
        </w:rPr>
        <w:t>3</w:t>
      </w:r>
      <w:r>
        <w:rPr>
          <w:rFonts w:hint="eastAsia" w:ascii="仿宋_GB2312" w:hAnsi="仿宋_GB2312" w:eastAsia="仿宋_GB2312" w:cs="仿宋_GB2312"/>
          <w:color w:val="auto"/>
          <w:spacing w:val="0"/>
          <w:w w:val="100"/>
          <w:kern w:val="0"/>
          <w:sz w:val="32"/>
          <w:szCs w:val="32"/>
          <w:lang w:val="zh-CN" w:eastAsia="zh-CN" w:bidi="zh-CN"/>
        </w:rPr>
        <w:t>）化工园区办应当加强对大气污染源的监管，及时发现并处理污染源，确保大气污染物排放符合国家相关要求。</w:t>
      </w:r>
    </w:p>
    <w:p w14:paraId="413C6919">
      <w:pPr>
        <w:pStyle w:val="9"/>
        <w:keepNext w:val="0"/>
        <w:keepLines w:val="0"/>
        <w:pageBreakBefore w:val="0"/>
        <w:widowControl w:val="0"/>
        <w:tabs>
          <w:tab w:val="left" w:pos="0"/>
        </w:tabs>
        <w:kinsoku/>
        <w:wordWrap/>
        <w:overflowPunct w:val="0"/>
        <w:topLinePunct w:val="0"/>
        <w:autoSpaceDE w:val="0"/>
        <w:autoSpaceDN w:val="0"/>
        <w:bidi w:val="0"/>
        <w:adjustRightInd/>
        <w:snapToGrid/>
        <w:spacing w:after="0" w:line="640" w:lineRule="exact"/>
        <w:ind w:firstLine="640" w:firstLineChars="200"/>
        <w:jc w:val="both"/>
        <w:textAlignment w:val="auto"/>
        <w:rPr>
          <w:rFonts w:hint="eastAsia" w:ascii="仿宋_GB2312" w:hAnsi="仿宋_GB2312" w:eastAsia="仿宋_GB2312" w:cs="仿宋_GB2312"/>
          <w:color w:val="auto"/>
          <w:spacing w:val="0"/>
          <w:w w:val="100"/>
          <w:kern w:val="0"/>
          <w:sz w:val="32"/>
          <w:szCs w:val="32"/>
          <w:lang w:val="zh-CN" w:eastAsia="zh-CN" w:bidi="zh-CN"/>
        </w:rPr>
      </w:pPr>
      <w:r>
        <w:rPr>
          <w:rFonts w:hint="eastAsia" w:ascii="仿宋_GB2312" w:hAnsi="仿宋_GB2312" w:eastAsia="仿宋_GB2312" w:cs="仿宋_GB2312"/>
          <w:bCs/>
          <w:color w:val="auto"/>
          <w:spacing w:val="0"/>
          <w:w w:val="100"/>
          <w:kern w:val="0"/>
          <w:sz w:val="32"/>
          <w:szCs w:val="32"/>
          <w:lang w:val="en-US" w:eastAsia="zh-CN" w:bidi="zh-CN"/>
        </w:rPr>
        <w:t>4.</w:t>
      </w:r>
      <w:r>
        <w:rPr>
          <w:rFonts w:hint="eastAsia" w:ascii="仿宋_GB2312" w:hAnsi="仿宋_GB2312" w:eastAsia="仿宋_GB2312" w:cs="仿宋_GB2312"/>
          <w:bCs/>
          <w:color w:val="auto"/>
          <w:spacing w:val="0"/>
          <w:w w:val="100"/>
          <w:kern w:val="0"/>
          <w:sz w:val="32"/>
          <w:szCs w:val="32"/>
          <w:lang w:val="zh-CN" w:eastAsia="zh-CN" w:bidi="zh-CN"/>
        </w:rPr>
        <w:t>水污染防治</w:t>
      </w:r>
    </w:p>
    <w:p w14:paraId="00CD1D11">
      <w:pPr>
        <w:pStyle w:val="9"/>
        <w:keepNext w:val="0"/>
        <w:keepLines w:val="0"/>
        <w:pageBreakBefore w:val="0"/>
        <w:widowControl w:val="0"/>
        <w:numPr>
          <w:ilvl w:val="0"/>
          <w:numId w:val="0"/>
        </w:numPr>
        <w:tabs>
          <w:tab w:val="left" w:pos="0"/>
        </w:tabs>
        <w:kinsoku/>
        <w:wordWrap/>
        <w:overflowPunct w:val="0"/>
        <w:topLinePunct w:val="0"/>
        <w:autoSpaceDE w:val="0"/>
        <w:autoSpaceDN w:val="0"/>
        <w:bidi w:val="0"/>
        <w:adjustRightInd/>
        <w:snapToGrid/>
        <w:spacing w:after="0" w:line="640" w:lineRule="exact"/>
        <w:ind w:firstLine="640" w:firstLineChars="200"/>
        <w:jc w:val="both"/>
        <w:textAlignment w:val="auto"/>
        <w:rPr>
          <w:rFonts w:hint="eastAsia" w:ascii="仿宋_GB2312" w:hAnsi="仿宋_GB2312" w:eastAsia="仿宋_GB2312" w:cs="仿宋_GB2312"/>
          <w:color w:val="auto"/>
          <w:spacing w:val="0"/>
          <w:w w:val="100"/>
          <w:kern w:val="0"/>
          <w:sz w:val="32"/>
          <w:szCs w:val="32"/>
          <w:lang w:val="zh-CN" w:eastAsia="zh-CN" w:bidi="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企业废水需预处理达到园区污水处理厂</w:t>
      </w:r>
      <w:r>
        <w:rPr>
          <w:rFonts w:hint="eastAsia" w:ascii="仿宋_GB2312" w:hAnsi="仿宋_GB2312" w:eastAsia="仿宋_GB2312" w:cs="仿宋_GB2312"/>
          <w:sz w:val="32"/>
          <w:szCs w:val="32"/>
          <w:lang w:eastAsia="zh-CN"/>
        </w:rPr>
        <w:t>纳</w:t>
      </w:r>
      <w:r>
        <w:rPr>
          <w:rFonts w:hint="eastAsia" w:ascii="仿宋_GB2312" w:hAnsi="仿宋_GB2312" w:eastAsia="仿宋_GB2312" w:cs="仿宋_GB2312"/>
          <w:sz w:val="32"/>
          <w:szCs w:val="32"/>
        </w:rPr>
        <w:t>管标准后方可排放。</w:t>
      </w:r>
    </w:p>
    <w:p w14:paraId="3D07E0FB">
      <w:pPr>
        <w:pStyle w:val="9"/>
        <w:keepNext w:val="0"/>
        <w:keepLines w:val="0"/>
        <w:pageBreakBefore w:val="0"/>
        <w:widowControl w:val="0"/>
        <w:numPr>
          <w:ilvl w:val="0"/>
          <w:numId w:val="0"/>
        </w:numPr>
        <w:tabs>
          <w:tab w:val="left" w:pos="0"/>
        </w:tabs>
        <w:kinsoku/>
        <w:wordWrap/>
        <w:overflowPunct w:val="0"/>
        <w:topLinePunct w:val="0"/>
        <w:autoSpaceDE w:val="0"/>
        <w:autoSpaceDN w:val="0"/>
        <w:bidi w:val="0"/>
        <w:adjustRightInd/>
        <w:snapToGrid/>
        <w:spacing w:after="0" w:line="640" w:lineRule="exact"/>
        <w:ind w:firstLine="640" w:firstLineChars="200"/>
        <w:jc w:val="both"/>
        <w:textAlignment w:val="auto"/>
        <w:rPr>
          <w:rFonts w:hint="eastAsia" w:ascii="仿宋_GB2312" w:hAnsi="仿宋_GB2312" w:eastAsia="仿宋_GB2312" w:cs="仿宋_GB2312"/>
          <w:color w:val="auto"/>
          <w:spacing w:val="0"/>
          <w:w w:val="100"/>
          <w:kern w:val="0"/>
          <w:sz w:val="32"/>
          <w:szCs w:val="32"/>
          <w:lang w:val="zh-CN" w:eastAsia="zh-CN" w:bidi="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园区污水处理厂需稳定达标运行，尾水排放符合地表水功能区划要求。</w:t>
      </w:r>
    </w:p>
    <w:p w14:paraId="66D2B2C1">
      <w:pPr>
        <w:pStyle w:val="9"/>
        <w:keepNext w:val="0"/>
        <w:keepLines w:val="0"/>
        <w:pageBreakBefore w:val="0"/>
        <w:widowControl w:val="0"/>
        <w:numPr>
          <w:ilvl w:val="0"/>
          <w:numId w:val="0"/>
        </w:numPr>
        <w:tabs>
          <w:tab w:val="left" w:pos="0"/>
        </w:tabs>
        <w:kinsoku/>
        <w:wordWrap/>
        <w:overflowPunct w:val="0"/>
        <w:topLinePunct w:val="0"/>
        <w:autoSpaceDE w:val="0"/>
        <w:autoSpaceDN w:val="0"/>
        <w:bidi w:val="0"/>
        <w:adjustRightInd/>
        <w:snapToGrid/>
        <w:spacing w:after="0" w:line="640" w:lineRule="exact"/>
        <w:ind w:firstLine="640" w:firstLineChars="200"/>
        <w:jc w:val="both"/>
        <w:textAlignment w:val="auto"/>
        <w:rPr>
          <w:rFonts w:hint="eastAsia" w:ascii="仿宋_GB2312" w:hAnsi="仿宋_GB2312" w:eastAsia="仿宋_GB2312" w:cs="仿宋_GB2312"/>
          <w:color w:val="auto"/>
          <w:spacing w:val="0"/>
          <w:w w:val="100"/>
          <w:kern w:val="0"/>
          <w:sz w:val="32"/>
          <w:szCs w:val="32"/>
          <w:lang w:val="zh-CN" w:eastAsia="zh-CN" w:bidi="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实施雨污分流、清污分流，防止废水渗漏和扩散。</w:t>
      </w:r>
    </w:p>
    <w:p w14:paraId="0C78BFF1">
      <w:pPr>
        <w:pStyle w:val="9"/>
        <w:keepNext w:val="0"/>
        <w:keepLines w:val="0"/>
        <w:pageBreakBefore w:val="0"/>
        <w:widowControl w:val="0"/>
        <w:numPr>
          <w:ilvl w:val="0"/>
          <w:numId w:val="0"/>
        </w:numPr>
        <w:tabs>
          <w:tab w:val="left" w:pos="0"/>
        </w:tabs>
        <w:kinsoku/>
        <w:wordWrap/>
        <w:overflowPunct w:val="0"/>
        <w:topLinePunct w:val="0"/>
        <w:autoSpaceDE w:val="0"/>
        <w:autoSpaceDN w:val="0"/>
        <w:bidi w:val="0"/>
        <w:adjustRightInd/>
        <w:snapToGrid/>
        <w:spacing w:after="0" w:line="640" w:lineRule="exact"/>
        <w:ind w:firstLine="640" w:firstLineChars="200"/>
        <w:jc w:val="both"/>
        <w:textAlignment w:val="auto"/>
        <w:rPr>
          <w:rFonts w:hint="eastAsia" w:ascii="仿宋_GB2312" w:hAnsi="仿宋_GB2312" w:eastAsia="仿宋_GB2312" w:cs="仿宋_GB2312"/>
          <w:color w:val="auto"/>
          <w:spacing w:val="0"/>
          <w:w w:val="100"/>
          <w:kern w:val="0"/>
          <w:sz w:val="32"/>
          <w:szCs w:val="32"/>
          <w:lang w:val="zh-CN" w:eastAsia="zh-CN" w:bidi="zh-CN"/>
        </w:rPr>
      </w:pPr>
      <w:r>
        <w:rPr>
          <w:rFonts w:hint="eastAsia" w:ascii="仿宋_GB2312" w:hAnsi="仿宋_GB2312" w:eastAsia="仿宋_GB2312" w:cs="仿宋_GB2312"/>
          <w:color w:val="auto"/>
          <w:spacing w:val="0"/>
          <w:w w:val="100"/>
          <w:kern w:val="0"/>
          <w:sz w:val="32"/>
          <w:szCs w:val="32"/>
          <w:lang w:val="zh-CN" w:eastAsia="zh-CN" w:bidi="zh-CN"/>
        </w:rPr>
        <w:t>（</w:t>
      </w:r>
      <w:r>
        <w:rPr>
          <w:rFonts w:hint="eastAsia" w:ascii="仿宋_GB2312" w:hAnsi="仿宋_GB2312" w:eastAsia="仿宋_GB2312" w:cs="仿宋_GB2312"/>
          <w:color w:val="auto"/>
          <w:spacing w:val="0"/>
          <w:w w:val="100"/>
          <w:kern w:val="0"/>
          <w:sz w:val="32"/>
          <w:szCs w:val="32"/>
          <w:lang w:val="en-US" w:eastAsia="zh-CN" w:bidi="zh-CN"/>
        </w:rPr>
        <w:t>4</w:t>
      </w:r>
      <w:r>
        <w:rPr>
          <w:rFonts w:hint="eastAsia" w:ascii="仿宋_GB2312" w:hAnsi="仿宋_GB2312" w:eastAsia="仿宋_GB2312" w:cs="仿宋_GB2312"/>
          <w:color w:val="auto"/>
          <w:spacing w:val="0"/>
          <w:w w:val="100"/>
          <w:kern w:val="0"/>
          <w:sz w:val="32"/>
          <w:szCs w:val="32"/>
          <w:lang w:val="zh-CN" w:eastAsia="zh-CN" w:bidi="zh-CN"/>
        </w:rPr>
        <w:t>）化工园区办应当加强对污染物排放数据监管，并与相关部门保持通畅的信息沟通。</w:t>
      </w:r>
    </w:p>
    <w:p w14:paraId="6972BCB3">
      <w:pPr>
        <w:pStyle w:val="9"/>
        <w:keepNext w:val="0"/>
        <w:keepLines w:val="0"/>
        <w:pageBreakBefore w:val="0"/>
        <w:widowControl w:val="0"/>
        <w:tabs>
          <w:tab w:val="left" w:pos="0"/>
        </w:tabs>
        <w:kinsoku/>
        <w:wordWrap/>
        <w:overflowPunct w:val="0"/>
        <w:topLinePunct w:val="0"/>
        <w:autoSpaceDE w:val="0"/>
        <w:autoSpaceDN w:val="0"/>
        <w:bidi w:val="0"/>
        <w:adjustRightInd/>
        <w:snapToGrid/>
        <w:spacing w:after="0" w:line="640" w:lineRule="exact"/>
        <w:ind w:firstLine="640" w:firstLineChars="200"/>
        <w:jc w:val="both"/>
        <w:textAlignment w:val="auto"/>
        <w:rPr>
          <w:rFonts w:hint="eastAsia" w:ascii="仿宋_GB2312" w:hAnsi="仿宋_GB2312" w:eastAsia="仿宋_GB2312" w:cs="仿宋_GB2312"/>
          <w:bCs/>
          <w:color w:val="auto"/>
          <w:spacing w:val="0"/>
          <w:w w:val="100"/>
          <w:kern w:val="0"/>
          <w:sz w:val="32"/>
          <w:szCs w:val="32"/>
          <w:lang w:val="zh-CN" w:eastAsia="zh-CN" w:bidi="zh-CN"/>
        </w:rPr>
      </w:pPr>
      <w:r>
        <w:rPr>
          <w:rFonts w:hint="eastAsia" w:ascii="仿宋_GB2312" w:hAnsi="仿宋_GB2312" w:eastAsia="仿宋_GB2312" w:cs="仿宋_GB2312"/>
          <w:bCs/>
          <w:color w:val="auto"/>
          <w:spacing w:val="0"/>
          <w:w w:val="100"/>
          <w:kern w:val="0"/>
          <w:sz w:val="32"/>
          <w:szCs w:val="32"/>
          <w:lang w:val="en-US" w:eastAsia="zh-CN" w:bidi="zh-CN"/>
        </w:rPr>
        <w:t>5.</w:t>
      </w:r>
      <w:r>
        <w:rPr>
          <w:rFonts w:hint="eastAsia" w:ascii="仿宋_GB2312" w:hAnsi="仿宋_GB2312" w:eastAsia="仿宋_GB2312" w:cs="仿宋_GB2312"/>
          <w:bCs/>
          <w:color w:val="auto"/>
          <w:spacing w:val="0"/>
          <w:w w:val="100"/>
          <w:kern w:val="0"/>
          <w:sz w:val="32"/>
          <w:szCs w:val="32"/>
          <w:lang w:val="zh-CN" w:eastAsia="zh-CN" w:bidi="zh-CN"/>
        </w:rPr>
        <w:t>固废和危废管理</w:t>
      </w:r>
    </w:p>
    <w:p w14:paraId="1F73F9E0">
      <w:pPr>
        <w:pStyle w:val="9"/>
        <w:keepNext w:val="0"/>
        <w:keepLines w:val="0"/>
        <w:pageBreakBefore w:val="0"/>
        <w:widowControl w:val="0"/>
        <w:numPr>
          <w:ilvl w:val="0"/>
          <w:numId w:val="0"/>
        </w:numPr>
        <w:tabs>
          <w:tab w:val="left" w:pos="0"/>
        </w:tabs>
        <w:kinsoku/>
        <w:wordWrap/>
        <w:overflowPunct w:val="0"/>
        <w:topLinePunct w:val="0"/>
        <w:autoSpaceDE w:val="0"/>
        <w:autoSpaceDN w:val="0"/>
        <w:bidi w:val="0"/>
        <w:adjustRightInd/>
        <w:snapToGrid/>
        <w:spacing w:after="0" w:line="640" w:lineRule="exact"/>
        <w:ind w:leftChars="200"/>
        <w:jc w:val="both"/>
        <w:textAlignment w:val="auto"/>
        <w:rPr>
          <w:rFonts w:hint="eastAsia" w:ascii="仿宋_GB2312" w:hAnsi="仿宋_GB2312" w:eastAsia="仿宋_GB2312" w:cs="仿宋_GB2312"/>
          <w:color w:val="auto"/>
          <w:spacing w:val="0"/>
          <w:w w:val="100"/>
          <w:kern w:val="0"/>
          <w:sz w:val="32"/>
          <w:szCs w:val="32"/>
          <w:lang w:val="zh-CN" w:eastAsia="zh-CN" w:bidi="zh-CN"/>
        </w:rPr>
      </w:pPr>
      <w:r>
        <w:rPr>
          <w:rFonts w:hint="eastAsia" w:ascii="仿宋_GB2312" w:hAnsi="仿宋_GB2312" w:eastAsia="仿宋_GB2312" w:cs="仿宋_GB2312"/>
          <w:color w:val="auto"/>
          <w:spacing w:val="0"/>
          <w:w w:val="100"/>
          <w:kern w:val="0"/>
          <w:sz w:val="32"/>
          <w:szCs w:val="32"/>
          <w:lang w:val="zh-CN" w:eastAsia="zh-CN" w:bidi="zh-CN"/>
        </w:rPr>
        <w:t>（</w:t>
      </w:r>
      <w:r>
        <w:rPr>
          <w:rFonts w:hint="eastAsia" w:ascii="仿宋_GB2312" w:hAnsi="仿宋_GB2312" w:eastAsia="仿宋_GB2312" w:cs="仿宋_GB2312"/>
          <w:color w:val="auto"/>
          <w:spacing w:val="0"/>
          <w:w w:val="100"/>
          <w:kern w:val="0"/>
          <w:sz w:val="32"/>
          <w:szCs w:val="32"/>
          <w:lang w:val="en-US" w:eastAsia="zh-CN" w:bidi="zh-CN"/>
        </w:rPr>
        <w:t>1</w:t>
      </w:r>
      <w:r>
        <w:rPr>
          <w:rFonts w:hint="eastAsia" w:ascii="仿宋_GB2312" w:hAnsi="仿宋_GB2312" w:eastAsia="仿宋_GB2312" w:cs="仿宋_GB2312"/>
          <w:color w:val="auto"/>
          <w:spacing w:val="0"/>
          <w:w w:val="100"/>
          <w:kern w:val="0"/>
          <w:sz w:val="32"/>
          <w:szCs w:val="32"/>
          <w:lang w:val="zh-CN" w:eastAsia="zh-CN" w:bidi="zh-CN"/>
        </w:rPr>
        <w:t>）企业需规范贮存、处置一般工业固废，严禁随意倾倒。</w:t>
      </w:r>
    </w:p>
    <w:p w14:paraId="1C985F9B">
      <w:pPr>
        <w:pStyle w:val="9"/>
        <w:keepNext w:val="0"/>
        <w:keepLines w:val="0"/>
        <w:pageBreakBefore w:val="0"/>
        <w:widowControl w:val="0"/>
        <w:numPr>
          <w:ilvl w:val="0"/>
          <w:numId w:val="0"/>
        </w:numPr>
        <w:tabs>
          <w:tab w:val="left" w:pos="0"/>
        </w:tabs>
        <w:kinsoku/>
        <w:wordWrap/>
        <w:overflowPunct w:val="0"/>
        <w:topLinePunct w:val="0"/>
        <w:autoSpaceDE w:val="0"/>
        <w:autoSpaceDN w:val="0"/>
        <w:bidi w:val="0"/>
        <w:adjustRightInd/>
        <w:snapToGrid/>
        <w:spacing w:after="0" w:line="640" w:lineRule="exact"/>
        <w:ind w:leftChars="200"/>
        <w:jc w:val="both"/>
        <w:textAlignment w:val="auto"/>
        <w:rPr>
          <w:rFonts w:hint="eastAsia" w:ascii="仿宋_GB2312" w:hAnsi="仿宋_GB2312" w:eastAsia="仿宋_GB2312" w:cs="仿宋_GB2312"/>
          <w:color w:val="auto"/>
          <w:spacing w:val="0"/>
          <w:w w:val="100"/>
          <w:kern w:val="0"/>
          <w:sz w:val="32"/>
          <w:szCs w:val="32"/>
          <w:lang w:val="zh-CN" w:eastAsia="zh-CN" w:bidi="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危险废物需依法委托有资质单位处置，执行转移联单制度。</w:t>
      </w:r>
    </w:p>
    <w:p w14:paraId="1CE71ED1">
      <w:pPr>
        <w:pStyle w:val="9"/>
        <w:keepNext w:val="0"/>
        <w:keepLines w:val="0"/>
        <w:pageBreakBefore w:val="0"/>
        <w:widowControl w:val="0"/>
        <w:tabs>
          <w:tab w:val="left" w:pos="0"/>
        </w:tabs>
        <w:kinsoku/>
        <w:wordWrap/>
        <w:overflowPunct w:val="0"/>
        <w:topLinePunct w:val="0"/>
        <w:autoSpaceDE w:val="0"/>
        <w:autoSpaceDN w:val="0"/>
        <w:bidi w:val="0"/>
        <w:adjustRightInd/>
        <w:snapToGrid/>
        <w:spacing w:after="0" w:line="640" w:lineRule="exact"/>
        <w:ind w:firstLine="640" w:firstLineChars="200"/>
        <w:jc w:val="both"/>
        <w:textAlignment w:val="auto"/>
        <w:rPr>
          <w:rFonts w:hint="default" w:ascii="仿宋_GB2312" w:hAnsi="仿宋_GB2312" w:eastAsia="仿宋_GB2312" w:cs="仿宋_GB2312"/>
          <w:color w:val="auto"/>
          <w:spacing w:val="0"/>
          <w:w w:val="100"/>
          <w:kern w:val="0"/>
          <w:sz w:val="32"/>
          <w:szCs w:val="32"/>
          <w:lang w:val="zh-CN" w:eastAsia="zh-CN" w:bidi="zh-CN"/>
        </w:rPr>
      </w:pPr>
      <w:r>
        <w:rPr>
          <w:rFonts w:hint="eastAsia" w:ascii="仿宋_GB2312" w:hAnsi="仿宋_GB2312" w:eastAsia="仿宋_GB2312" w:cs="仿宋_GB2312"/>
          <w:bCs/>
          <w:color w:val="auto"/>
          <w:spacing w:val="0"/>
          <w:w w:val="100"/>
          <w:kern w:val="0"/>
          <w:sz w:val="32"/>
          <w:szCs w:val="32"/>
          <w:lang w:val="en-US" w:eastAsia="zh-CN" w:bidi="zh-CN"/>
        </w:rPr>
        <w:t>6.</w:t>
      </w:r>
      <w:r>
        <w:rPr>
          <w:rFonts w:hint="eastAsia" w:ascii="仿宋_GB2312" w:hAnsi="仿宋_GB2312" w:eastAsia="仿宋_GB2312" w:cs="仿宋_GB2312"/>
          <w:color w:val="auto"/>
          <w:spacing w:val="0"/>
          <w:w w:val="100"/>
          <w:kern w:val="0"/>
          <w:sz w:val="32"/>
          <w:szCs w:val="32"/>
          <w:lang w:val="zh-CN" w:eastAsia="zh-CN" w:bidi="zh-CN"/>
        </w:rPr>
        <w:t>企业</w:t>
      </w:r>
      <w:r>
        <w:rPr>
          <w:rFonts w:hint="eastAsia" w:ascii="仿宋_GB2312" w:hAnsi="仿宋_GB2312" w:eastAsia="仿宋_GB2312" w:cs="仿宋_GB2312"/>
          <w:color w:val="auto"/>
          <w:spacing w:val="0"/>
          <w:w w:val="100"/>
          <w:kern w:val="0"/>
          <w:sz w:val="32"/>
          <w:szCs w:val="32"/>
          <w:lang w:val="en-US" w:eastAsia="zh-CN" w:bidi="zh-CN"/>
        </w:rPr>
        <w:t>雨水排口、污水排口、危废暂存间需加装视频</w:t>
      </w:r>
      <w:r>
        <w:rPr>
          <w:rFonts w:hint="default" w:ascii="仿宋_GB2312" w:hAnsi="仿宋_GB2312" w:eastAsia="仿宋_GB2312" w:cs="仿宋_GB2312"/>
          <w:color w:val="auto"/>
          <w:spacing w:val="0"/>
          <w:w w:val="100"/>
          <w:kern w:val="0"/>
          <w:sz w:val="32"/>
          <w:szCs w:val="32"/>
          <w:lang w:val="en-US" w:eastAsia="zh-CN" w:bidi="zh-CN"/>
        </w:rPr>
        <w:t>监控，废气废水排口需安装在线监测设施，污染防治设施重要工段配套工况监测，相关数据应主动上传至园区指挥中心信息平台，做到实时传送。</w:t>
      </w:r>
    </w:p>
    <w:p w14:paraId="70782E56">
      <w:pPr>
        <w:pStyle w:val="4"/>
        <w:bidi w:val="0"/>
        <w:rPr>
          <w:rFonts w:hint="default"/>
          <w:lang w:val="zh-CN" w:eastAsia="zh-CN"/>
        </w:rPr>
      </w:pPr>
      <w:r>
        <w:rPr>
          <w:rFonts w:hint="eastAsia"/>
          <w:lang w:val="zh-CN" w:eastAsia="zh-CN"/>
        </w:rPr>
        <w:t>（</w:t>
      </w:r>
      <w:r>
        <w:rPr>
          <w:rFonts w:hint="eastAsia"/>
          <w:lang w:val="en-US" w:eastAsia="zh-CN"/>
        </w:rPr>
        <w:t>六</w:t>
      </w:r>
      <w:r>
        <w:rPr>
          <w:rFonts w:hint="eastAsia"/>
          <w:lang w:val="zh-CN" w:eastAsia="zh-CN"/>
        </w:rPr>
        <w:t>）</w:t>
      </w:r>
      <w:r>
        <w:rPr>
          <w:rFonts w:hint="default"/>
          <w:lang w:val="zh-CN" w:eastAsia="zh-CN"/>
        </w:rPr>
        <w:t>生态修复与保护</w:t>
      </w:r>
    </w:p>
    <w:p w14:paraId="6C5F44E8">
      <w:pPr>
        <w:pStyle w:val="9"/>
        <w:keepNext w:val="0"/>
        <w:keepLines w:val="0"/>
        <w:pageBreakBefore w:val="0"/>
        <w:widowControl w:val="0"/>
        <w:tabs>
          <w:tab w:val="left" w:pos="0"/>
        </w:tabs>
        <w:kinsoku/>
        <w:wordWrap/>
        <w:overflowPunct w:val="0"/>
        <w:topLinePunct w:val="0"/>
        <w:autoSpaceDE w:val="0"/>
        <w:autoSpaceDN w:val="0"/>
        <w:bidi w:val="0"/>
        <w:adjustRightInd/>
        <w:snapToGrid/>
        <w:spacing w:after="0" w:line="640" w:lineRule="exact"/>
        <w:ind w:firstLine="640" w:firstLineChars="200"/>
        <w:jc w:val="both"/>
        <w:textAlignment w:val="auto"/>
        <w:rPr>
          <w:rFonts w:hint="default" w:ascii="仿宋_GB2312" w:hAnsi="仿宋_GB2312" w:eastAsia="仿宋_GB2312" w:cs="仿宋_GB2312"/>
          <w:color w:val="auto"/>
          <w:spacing w:val="0"/>
          <w:w w:val="100"/>
          <w:kern w:val="0"/>
          <w:sz w:val="32"/>
          <w:szCs w:val="32"/>
          <w:lang w:val="zh-CN" w:eastAsia="zh-CN" w:bidi="zh-CN"/>
        </w:rPr>
      </w:pPr>
      <w:r>
        <w:rPr>
          <w:rFonts w:hint="eastAsia" w:ascii="楷体_GB2312" w:hAnsi="楷体_GB2312" w:eastAsia="楷体_GB2312" w:cs="楷体_GB2312"/>
          <w:bCs/>
          <w:color w:val="auto"/>
          <w:spacing w:val="0"/>
          <w:w w:val="100"/>
          <w:kern w:val="0"/>
          <w:sz w:val="32"/>
          <w:szCs w:val="32"/>
          <w:lang w:val="en-US" w:eastAsia="zh-CN" w:bidi="zh-CN"/>
        </w:rPr>
        <w:t>1.</w:t>
      </w:r>
      <w:r>
        <w:rPr>
          <w:rFonts w:hint="eastAsia" w:ascii="仿宋_GB2312" w:hAnsi="仿宋_GB2312" w:eastAsia="仿宋_GB2312" w:cs="仿宋_GB2312"/>
          <w:color w:val="auto"/>
          <w:spacing w:val="0"/>
          <w:w w:val="100"/>
          <w:kern w:val="0"/>
          <w:sz w:val="32"/>
          <w:szCs w:val="32"/>
          <w:lang w:val="zh-CN" w:eastAsia="zh-CN" w:bidi="zh-CN"/>
        </w:rPr>
        <w:t>化工园区办</w:t>
      </w:r>
      <w:r>
        <w:rPr>
          <w:rFonts w:hint="default" w:ascii="仿宋_GB2312" w:hAnsi="仿宋_GB2312" w:eastAsia="仿宋_GB2312" w:cs="仿宋_GB2312"/>
          <w:color w:val="auto"/>
          <w:spacing w:val="0"/>
          <w:w w:val="100"/>
          <w:kern w:val="0"/>
          <w:sz w:val="32"/>
          <w:szCs w:val="32"/>
          <w:lang w:val="zh-CN" w:eastAsia="zh-CN" w:bidi="zh-CN"/>
        </w:rPr>
        <w:t>应当</w:t>
      </w:r>
      <w:r>
        <w:rPr>
          <w:rFonts w:hint="eastAsia" w:ascii="仿宋_GB2312" w:hAnsi="仿宋_GB2312" w:eastAsia="仿宋_GB2312" w:cs="仿宋_GB2312"/>
          <w:color w:val="auto"/>
          <w:spacing w:val="0"/>
          <w:w w:val="100"/>
          <w:kern w:val="0"/>
          <w:sz w:val="32"/>
          <w:szCs w:val="32"/>
          <w:lang w:val="zh-CN" w:eastAsia="zh-CN" w:bidi="zh-CN"/>
        </w:rPr>
        <w:t>根据实际情况</w:t>
      </w:r>
      <w:r>
        <w:rPr>
          <w:rFonts w:hint="default" w:ascii="仿宋_GB2312" w:hAnsi="仿宋_GB2312" w:eastAsia="仿宋_GB2312" w:cs="仿宋_GB2312"/>
          <w:color w:val="auto"/>
          <w:spacing w:val="0"/>
          <w:w w:val="100"/>
          <w:kern w:val="0"/>
          <w:sz w:val="32"/>
          <w:szCs w:val="32"/>
          <w:lang w:val="zh-CN" w:eastAsia="zh-CN" w:bidi="zh-CN"/>
        </w:rPr>
        <w:t>制定生态修复与保护方案，对园区内的生态环境进行保护和修复，确保园区内的生态环境质量。</w:t>
      </w:r>
    </w:p>
    <w:p w14:paraId="3156B668">
      <w:pPr>
        <w:pStyle w:val="9"/>
        <w:keepNext w:val="0"/>
        <w:keepLines w:val="0"/>
        <w:pageBreakBefore w:val="0"/>
        <w:widowControl w:val="0"/>
        <w:tabs>
          <w:tab w:val="left" w:pos="0"/>
        </w:tabs>
        <w:kinsoku/>
        <w:wordWrap/>
        <w:overflowPunct w:val="0"/>
        <w:topLinePunct w:val="0"/>
        <w:autoSpaceDE w:val="0"/>
        <w:autoSpaceDN w:val="0"/>
        <w:bidi w:val="0"/>
        <w:adjustRightInd/>
        <w:snapToGrid/>
        <w:spacing w:after="0" w:line="640" w:lineRule="exact"/>
        <w:ind w:firstLine="640" w:firstLineChars="200"/>
        <w:jc w:val="both"/>
        <w:textAlignment w:val="auto"/>
        <w:rPr>
          <w:rFonts w:hint="default" w:ascii="仿宋_GB2312" w:hAnsi="仿宋_GB2312" w:eastAsia="仿宋_GB2312" w:cs="仿宋_GB2312"/>
          <w:color w:val="auto"/>
          <w:spacing w:val="0"/>
          <w:w w:val="100"/>
          <w:kern w:val="0"/>
          <w:sz w:val="32"/>
          <w:szCs w:val="32"/>
          <w:lang w:val="zh-CN" w:eastAsia="zh-CN" w:bidi="zh-CN"/>
        </w:rPr>
      </w:pPr>
      <w:r>
        <w:rPr>
          <w:rFonts w:hint="eastAsia" w:ascii="楷体_GB2312" w:hAnsi="楷体_GB2312" w:eastAsia="楷体_GB2312" w:cs="楷体_GB2312"/>
          <w:bCs/>
          <w:color w:val="auto"/>
          <w:spacing w:val="0"/>
          <w:w w:val="100"/>
          <w:kern w:val="0"/>
          <w:sz w:val="32"/>
          <w:szCs w:val="32"/>
          <w:lang w:val="en-US" w:eastAsia="zh-CN" w:bidi="zh-CN"/>
        </w:rPr>
        <w:t>2.</w:t>
      </w:r>
      <w:r>
        <w:rPr>
          <w:rFonts w:hint="eastAsia" w:ascii="仿宋_GB2312" w:hAnsi="仿宋_GB2312" w:eastAsia="仿宋_GB2312" w:cs="仿宋_GB2312"/>
          <w:color w:val="auto"/>
          <w:spacing w:val="0"/>
          <w:w w:val="100"/>
          <w:kern w:val="0"/>
          <w:sz w:val="32"/>
          <w:szCs w:val="32"/>
          <w:lang w:val="zh-CN" w:eastAsia="zh-CN" w:bidi="zh-CN"/>
        </w:rPr>
        <w:t>化工园区办</w:t>
      </w:r>
      <w:r>
        <w:rPr>
          <w:rFonts w:hint="default" w:ascii="仿宋_GB2312" w:hAnsi="仿宋_GB2312" w:eastAsia="仿宋_GB2312" w:cs="仿宋_GB2312"/>
          <w:color w:val="auto"/>
          <w:spacing w:val="0"/>
          <w:w w:val="100"/>
          <w:kern w:val="0"/>
          <w:sz w:val="32"/>
          <w:szCs w:val="32"/>
          <w:lang w:val="zh-CN" w:eastAsia="zh-CN" w:bidi="zh-CN"/>
        </w:rPr>
        <w:t>应当保护和修复园区内的湿地、林地、草地等生态资源，加强对园区内的自然生态系统的保护。</w:t>
      </w:r>
    </w:p>
    <w:p w14:paraId="2C364E85">
      <w:pPr>
        <w:pStyle w:val="9"/>
        <w:keepNext w:val="0"/>
        <w:keepLines w:val="0"/>
        <w:pageBreakBefore w:val="0"/>
        <w:widowControl w:val="0"/>
        <w:tabs>
          <w:tab w:val="left" w:pos="0"/>
        </w:tabs>
        <w:kinsoku/>
        <w:wordWrap/>
        <w:overflowPunct w:val="0"/>
        <w:topLinePunct w:val="0"/>
        <w:autoSpaceDE w:val="0"/>
        <w:autoSpaceDN w:val="0"/>
        <w:bidi w:val="0"/>
        <w:adjustRightInd/>
        <w:snapToGrid/>
        <w:spacing w:after="0" w:line="640" w:lineRule="exact"/>
        <w:ind w:firstLine="640" w:firstLineChars="200"/>
        <w:jc w:val="both"/>
        <w:textAlignment w:val="auto"/>
        <w:rPr>
          <w:rFonts w:hint="default" w:ascii="仿宋_GB2312" w:hAnsi="仿宋_GB2312" w:eastAsia="仿宋_GB2312" w:cs="仿宋_GB2312"/>
          <w:color w:val="auto"/>
          <w:spacing w:val="0"/>
          <w:w w:val="100"/>
          <w:kern w:val="0"/>
          <w:sz w:val="32"/>
          <w:szCs w:val="32"/>
          <w:lang w:val="zh-CN" w:eastAsia="zh-CN" w:bidi="zh-CN"/>
        </w:rPr>
      </w:pPr>
      <w:r>
        <w:rPr>
          <w:rFonts w:hint="eastAsia" w:ascii="楷体_GB2312" w:hAnsi="楷体_GB2312" w:eastAsia="楷体_GB2312" w:cs="楷体_GB2312"/>
          <w:bCs/>
          <w:color w:val="auto"/>
          <w:spacing w:val="0"/>
          <w:w w:val="100"/>
          <w:kern w:val="0"/>
          <w:sz w:val="32"/>
          <w:szCs w:val="32"/>
          <w:lang w:val="en-US" w:eastAsia="zh-CN" w:bidi="zh-CN"/>
        </w:rPr>
        <w:t>3.</w:t>
      </w:r>
      <w:r>
        <w:rPr>
          <w:rFonts w:hint="eastAsia" w:ascii="仿宋_GB2312" w:hAnsi="仿宋_GB2312" w:eastAsia="仿宋_GB2312" w:cs="仿宋_GB2312"/>
          <w:color w:val="auto"/>
          <w:spacing w:val="0"/>
          <w:w w:val="100"/>
          <w:kern w:val="0"/>
          <w:sz w:val="32"/>
          <w:szCs w:val="32"/>
          <w:lang w:val="zh-CN" w:eastAsia="zh-CN" w:bidi="zh-CN"/>
        </w:rPr>
        <w:t>园区</w:t>
      </w:r>
      <w:r>
        <w:rPr>
          <w:rFonts w:hint="default" w:ascii="仿宋_GB2312" w:hAnsi="仿宋_GB2312" w:eastAsia="仿宋_GB2312" w:cs="仿宋_GB2312"/>
          <w:color w:val="auto"/>
          <w:spacing w:val="0"/>
          <w:w w:val="100"/>
          <w:kern w:val="0"/>
          <w:sz w:val="32"/>
          <w:szCs w:val="32"/>
          <w:lang w:val="zh-CN" w:eastAsia="zh-CN" w:bidi="zh-CN"/>
        </w:rPr>
        <w:t>内所有生产经营</w:t>
      </w:r>
      <w:r>
        <w:rPr>
          <w:rFonts w:hint="eastAsia" w:ascii="仿宋_GB2312" w:hAnsi="仿宋_GB2312" w:eastAsia="仿宋_GB2312" w:cs="仿宋_GB2312"/>
          <w:color w:val="auto"/>
          <w:spacing w:val="0"/>
          <w:w w:val="100"/>
          <w:kern w:val="0"/>
          <w:sz w:val="32"/>
          <w:szCs w:val="32"/>
          <w:lang w:val="zh-CN" w:eastAsia="zh-CN" w:bidi="zh-CN"/>
        </w:rPr>
        <w:t>企业</w:t>
      </w:r>
      <w:r>
        <w:rPr>
          <w:rFonts w:hint="default" w:ascii="仿宋_GB2312" w:hAnsi="仿宋_GB2312" w:eastAsia="仿宋_GB2312" w:cs="仿宋_GB2312"/>
          <w:color w:val="auto"/>
          <w:spacing w:val="0"/>
          <w:w w:val="100"/>
          <w:kern w:val="0"/>
          <w:sz w:val="32"/>
          <w:szCs w:val="32"/>
          <w:lang w:val="zh-CN" w:eastAsia="zh-CN" w:bidi="zh-CN"/>
        </w:rPr>
        <w:t>应当配合</w:t>
      </w:r>
      <w:r>
        <w:rPr>
          <w:rFonts w:hint="eastAsia" w:ascii="仿宋_GB2312" w:hAnsi="仿宋_GB2312" w:eastAsia="仿宋_GB2312" w:cs="仿宋_GB2312"/>
          <w:color w:val="auto"/>
          <w:spacing w:val="0"/>
          <w:w w:val="100"/>
          <w:kern w:val="0"/>
          <w:sz w:val="32"/>
          <w:szCs w:val="32"/>
          <w:lang w:val="zh-CN" w:eastAsia="zh-CN" w:bidi="zh-CN"/>
        </w:rPr>
        <w:t>化工园区办</w:t>
      </w:r>
      <w:r>
        <w:rPr>
          <w:rFonts w:hint="default" w:ascii="仿宋_GB2312" w:hAnsi="仿宋_GB2312" w:eastAsia="仿宋_GB2312" w:cs="仿宋_GB2312"/>
          <w:color w:val="auto"/>
          <w:spacing w:val="0"/>
          <w:w w:val="100"/>
          <w:kern w:val="0"/>
          <w:sz w:val="32"/>
          <w:szCs w:val="32"/>
          <w:lang w:val="zh-CN" w:eastAsia="zh-CN" w:bidi="zh-CN"/>
        </w:rPr>
        <w:t>的工作，对周围环境进行保护，防止对生态系统的破坏。</w:t>
      </w:r>
    </w:p>
    <w:p w14:paraId="7767F398">
      <w:pPr>
        <w:pStyle w:val="4"/>
        <w:bidi w:val="0"/>
        <w:rPr>
          <w:rFonts w:hint="default"/>
          <w:lang w:val="zh-CN" w:eastAsia="zh-CN"/>
        </w:rPr>
      </w:pPr>
      <w:r>
        <w:rPr>
          <w:rFonts w:hint="eastAsia"/>
          <w:lang w:val="zh-CN" w:eastAsia="zh-CN"/>
        </w:rPr>
        <w:t>（</w:t>
      </w:r>
      <w:r>
        <w:rPr>
          <w:rFonts w:hint="eastAsia"/>
          <w:lang w:val="en-US" w:eastAsia="zh-CN"/>
        </w:rPr>
        <w:t>七</w:t>
      </w:r>
      <w:r>
        <w:rPr>
          <w:rFonts w:hint="eastAsia"/>
          <w:lang w:val="zh-CN" w:eastAsia="zh-CN"/>
        </w:rPr>
        <w:t>）</w:t>
      </w:r>
      <w:r>
        <w:rPr>
          <w:rFonts w:hint="default"/>
          <w:lang w:val="zh-CN" w:eastAsia="zh-CN"/>
        </w:rPr>
        <w:t>预案和应急处理</w:t>
      </w:r>
    </w:p>
    <w:p w14:paraId="3F4BC42D">
      <w:pPr>
        <w:pStyle w:val="9"/>
        <w:keepNext w:val="0"/>
        <w:keepLines w:val="0"/>
        <w:pageBreakBefore w:val="0"/>
        <w:widowControl w:val="0"/>
        <w:tabs>
          <w:tab w:val="left" w:pos="0"/>
        </w:tabs>
        <w:kinsoku/>
        <w:wordWrap/>
        <w:overflowPunct w:val="0"/>
        <w:topLinePunct w:val="0"/>
        <w:autoSpaceDE w:val="0"/>
        <w:autoSpaceDN w:val="0"/>
        <w:bidi w:val="0"/>
        <w:adjustRightInd/>
        <w:snapToGrid/>
        <w:spacing w:after="0" w:line="640" w:lineRule="exact"/>
        <w:ind w:firstLine="640" w:firstLineChars="200"/>
        <w:jc w:val="both"/>
        <w:textAlignment w:val="auto"/>
        <w:rPr>
          <w:rFonts w:hint="default" w:ascii="仿宋_GB2312" w:hAnsi="仿宋_GB2312" w:eastAsia="仿宋_GB2312" w:cs="仿宋_GB2312"/>
          <w:color w:val="auto"/>
          <w:spacing w:val="0"/>
          <w:w w:val="100"/>
          <w:kern w:val="0"/>
          <w:sz w:val="32"/>
          <w:szCs w:val="32"/>
          <w:lang w:val="zh-CN" w:eastAsia="zh-CN" w:bidi="zh-CN"/>
        </w:rPr>
      </w:pPr>
      <w:r>
        <w:rPr>
          <w:rFonts w:hint="eastAsia" w:ascii="楷体_GB2312" w:hAnsi="楷体_GB2312" w:eastAsia="楷体_GB2312" w:cs="楷体_GB2312"/>
          <w:bCs/>
          <w:color w:val="auto"/>
          <w:spacing w:val="0"/>
          <w:w w:val="100"/>
          <w:kern w:val="0"/>
          <w:sz w:val="32"/>
          <w:szCs w:val="32"/>
          <w:lang w:val="en-US" w:eastAsia="zh-CN" w:bidi="zh-CN"/>
        </w:rPr>
        <w:t>1.</w:t>
      </w:r>
      <w:r>
        <w:rPr>
          <w:rFonts w:hint="eastAsia" w:ascii="仿宋_GB2312" w:hAnsi="仿宋_GB2312" w:eastAsia="仿宋_GB2312" w:cs="仿宋_GB2312"/>
          <w:color w:val="auto"/>
          <w:spacing w:val="0"/>
          <w:w w:val="100"/>
          <w:kern w:val="0"/>
          <w:sz w:val="32"/>
          <w:szCs w:val="32"/>
          <w:lang w:val="zh-CN" w:eastAsia="zh-CN" w:bidi="zh-CN"/>
        </w:rPr>
        <w:t>化工园区办</w:t>
      </w:r>
      <w:r>
        <w:rPr>
          <w:rFonts w:hint="default" w:ascii="仿宋_GB2312" w:hAnsi="仿宋_GB2312" w:eastAsia="仿宋_GB2312" w:cs="仿宋_GB2312"/>
          <w:color w:val="auto"/>
          <w:spacing w:val="0"/>
          <w:w w:val="100"/>
          <w:kern w:val="0"/>
          <w:sz w:val="32"/>
          <w:szCs w:val="32"/>
          <w:lang w:val="zh-CN" w:eastAsia="zh-CN" w:bidi="zh-CN"/>
        </w:rPr>
        <w:t>应当制定各类环境应急预案，并举行演练，确保在发生环境突发事件时能够及时有效地处</w:t>
      </w:r>
      <w:r>
        <w:rPr>
          <w:rFonts w:hint="eastAsia" w:ascii="仿宋_GB2312" w:hAnsi="仿宋_GB2312" w:eastAsia="仿宋_GB2312" w:cs="仿宋_GB2312"/>
          <w:color w:val="auto"/>
          <w:spacing w:val="0"/>
          <w:w w:val="100"/>
          <w:kern w:val="0"/>
          <w:sz w:val="32"/>
          <w:szCs w:val="32"/>
          <w:lang w:val="zh-CN" w:eastAsia="zh-CN" w:bidi="zh-CN"/>
        </w:rPr>
        <w:t>置</w:t>
      </w:r>
      <w:r>
        <w:rPr>
          <w:rFonts w:hint="default" w:ascii="仿宋_GB2312" w:hAnsi="仿宋_GB2312" w:eastAsia="仿宋_GB2312" w:cs="仿宋_GB2312"/>
          <w:color w:val="auto"/>
          <w:spacing w:val="0"/>
          <w:w w:val="100"/>
          <w:kern w:val="0"/>
          <w:sz w:val="32"/>
          <w:szCs w:val="32"/>
          <w:lang w:val="zh-CN" w:eastAsia="zh-CN" w:bidi="zh-CN"/>
        </w:rPr>
        <w:t>。</w:t>
      </w:r>
    </w:p>
    <w:p w14:paraId="7DEDD434">
      <w:pPr>
        <w:pStyle w:val="9"/>
        <w:keepNext w:val="0"/>
        <w:keepLines w:val="0"/>
        <w:pageBreakBefore w:val="0"/>
        <w:widowControl w:val="0"/>
        <w:tabs>
          <w:tab w:val="left" w:pos="0"/>
        </w:tabs>
        <w:kinsoku/>
        <w:wordWrap/>
        <w:overflowPunct w:val="0"/>
        <w:topLinePunct w:val="0"/>
        <w:autoSpaceDE w:val="0"/>
        <w:autoSpaceDN w:val="0"/>
        <w:bidi w:val="0"/>
        <w:adjustRightInd/>
        <w:snapToGrid/>
        <w:spacing w:after="0" w:line="640" w:lineRule="exact"/>
        <w:ind w:firstLine="640" w:firstLineChars="200"/>
        <w:jc w:val="both"/>
        <w:textAlignment w:val="auto"/>
        <w:rPr>
          <w:rFonts w:hint="default" w:ascii="仿宋_GB2312" w:hAnsi="仿宋_GB2312" w:eastAsia="仿宋_GB2312" w:cs="仿宋_GB2312"/>
          <w:color w:val="auto"/>
          <w:spacing w:val="0"/>
          <w:w w:val="100"/>
          <w:kern w:val="0"/>
          <w:sz w:val="32"/>
          <w:szCs w:val="32"/>
          <w:lang w:val="zh-CN" w:eastAsia="zh-CN" w:bidi="zh-CN"/>
        </w:rPr>
      </w:pPr>
      <w:r>
        <w:rPr>
          <w:rFonts w:hint="eastAsia" w:ascii="楷体_GB2312" w:hAnsi="楷体_GB2312" w:eastAsia="楷体_GB2312" w:cs="楷体_GB2312"/>
          <w:bCs/>
          <w:color w:val="auto"/>
          <w:spacing w:val="0"/>
          <w:w w:val="100"/>
          <w:kern w:val="0"/>
          <w:sz w:val="32"/>
          <w:szCs w:val="32"/>
          <w:lang w:val="en-US" w:eastAsia="zh-CN" w:bidi="zh-CN"/>
        </w:rPr>
        <w:t>2.</w:t>
      </w:r>
      <w:r>
        <w:rPr>
          <w:rFonts w:hint="eastAsia" w:ascii="仿宋_GB2312" w:hAnsi="仿宋_GB2312" w:eastAsia="仿宋_GB2312" w:cs="仿宋_GB2312"/>
          <w:color w:val="auto"/>
          <w:spacing w:val="0"/>
          <w:w w:val="100"/>
          <w:kern w:val="0"/>
          <w:sz w:val="32"/>
          <w:szCs w:val="32"/>
          <w:lang w:val="zh-CN" w:eastAsia="zh-CN" w:bidi="zh-CN"/>
        </w:rPr>
        <w:t>园区</w:t>
      </w:r>
      <w:r>
        <w:rPr>
          <w:rFonts w:hint="default" w:ascii="仿宋_GB2312" w:hAnsi="仿宋_GB2312" w:eastAsia="仿宋_GB2312" w:cs="仿宋_GB2312"/>
          <w:color w:val="auto"/>
          <w:spacing w:val="0"/>
          <w:w w:val="100"/>
          <w:kern w:val="0"/>
          <w:sz w:val="32"/>
          <w:szCs w:val="32"/>
          <w:lang w:val="zh-CN" w:eastAsia="zh-CN" w:bidi="zh-CN"/>
        </w:rPr>
        <w:t>内所有生产经营</w:t>
      </w:r>
      <w:r>
        <w:rPr>
          <w:rFonts w:hint="eastAsia" w:ascii="仿宋_GB2312" w:hAnsi="仿宋_GB2312" w:eastAsia="仿宋_GB2312" w:cs="仿宋_GB2312"/>
          <w:color w:val="auto"/>
          <w:spacing w:val="0"/>
          <w:w w:val="100"/>
          <w:kern w:val="0"/>
          <w:sz w:val="32"/>
          <w:szCs w:val="32"/>
          <w:lang w:val="zh-CN" w:eastAsia="zh-CN" w:bidi="zh-CN"/>
        </w:rPr>
        <w:t>企业</w:t>
      </w:r>
      <w:r>
        <w:rPr>
          <w:rFonts w:hint="default" w:ascii="仿宋_GB2312" w:hAnsi="仿宋_GB2312" w:eastAsia="仿宋_GB2312" w:cs="仿宋_GB2312"/>
          <w:color w:val="auto"/>
          <w:spacing w:val="0"/>
          <w:w w:val="100"/>
          <w:kern w:val="0"/>
          <w:sz w:val="32"/>
          <w:szCs w:val="32"/>
          <w:lang w:val="zh-CN" w:eastAsia="zh-CN" w:bidi="zh-CN"/>
        </w:rPr>
        <w:t>应当建立健全自身的环境应急预案，与</w:t>
      </w:r>
      <w:r>
        <w:rPr>
          <w:rFonts w:hint="eastAsia" w:ascii="仿宋_GB2312" w:hAnsi="仿宋_GB2312" w:eastAsia="仿宋_GB2312" w:cs="仿宋_GB2312"/>
          <w:color w:val="auto"/>
          <w:spacing w:val="0"/>
          <w:w w:val="100"/>
          <w:kern w:val="0"/>
          <w:sz w:val="32"/>
          <w:szCs w:val="32"/>
          <w:lang w:val="zh-CN" w:eastAsia="zh-CN" w:bidi="zh-CN"/>
        </w:rPr>
        <w:t>化工园区办</w:t>
      </w:r>
      <w:r>
        <w:rPr>
          <w:rFonts w:hint="default" w:ascii="仿宋_GB2312" w:hAnsi="仿宋_GB2312" w:eastAsia="仿宋_GB2312" w:cs="仿宋_GB2312"/>
          <w:color w:val="auto"/>
          <w:spacing w:val="0"/>
          <w:w w:val="100"/>
          <w:kern w:val="0"/>
          <w:sz w:val="32"/>
          <w:szCs w:val="32"/>
          <w:lang w:val="zh-CN" w:eastAsia="zh-CN" w:bidi="zh-CN"/>
        </w:rPr>
        <w:t>建立紧密的联系，协助园区顺利进行应急处置。</w:t>
      </w:r>
    </w:p>
    <w:p w14:paraId="5DB27337">
      <w:pPr>
        <w:pStyle w:val="9"/>
        <w:keepNext w:val="0"/>
        <w:keepLines w:val="0"/>
        <w:pageBreakBefore w:val="0"/>
        <w:widowControl w:val="0"/>
        <w:tabs>
          <w:tab w:val="left" w:pos="0"/>
        </w:tabs>
        <w:kinsoku/>
        <w:wordWrap/>
        <w:overflowPunct w:val="0"/>
        <w:topLinePunct w:val="0"/>
        <w:autoSpaceDE w:val="0"/>
        <w:autoSpaceDN w:val="0"/>
        <w:bidi w:val="0"/>
        <w:adjustRightInd/>
        <w:snapToGrid/>
        <w:spacing w:after="0" w:line="640" w:lineRule="exact"/>
        <w:ind w:firstLine="640" w:firstLineChars="200"/>
        <w:jc w:val="both"/>
        <w:textAlignment w:val="auto"/>
        <w:rPr>
          <w:rFonts w:hint="default" w:ascii="仿宋_GB2312" w:hAnsi="仿宋_GB2312" w:eastAsia="仿宋_GB2312" w:cs="仿宋_GB2312"/>
          <w:color w:val="auto"/>
          <w:spacing w:val="0"/>
          <w:w w:val="100"/>
          <w:kern w:val="0"/>
          <w:sz w:val="32"/>
          <w:szCs w:val="32"/>
          <w:lang w:val="zh-CN" w:eastAsia="zh-CN" w:bidi="zh-CN"/>
        </w:rPr>
      </w:pPr>
      <w:r>
        <w:rPr>
          <w:rFonts w:hint="eastAsia" w:ascii="楷体_GB2312" w:hAnsi="楷体_GB2312" w:eastAsia="楷体_GB2312" w:cs="楷体_GB2312"/>
          <w:bCs/>
          <w:color w:val="auto"/>
          <w:spacing w:val="0"/>
          <w:w w:val="100"/>
          <w:kern w:val="0"/>
          <w:sz w:val="32"/>
          <w:szCs w:val="32"/>
          <w:lang w:val="en-US" w:eastAsia="zh-CN" w:bidi="zh-CN"/>
        </w:rPr>
        <w:t>3.</w:t>
      </w:r>
      <w:r>
        <w:rPr>
          <w:rFonts w:hint="eastAsia" w:ascii="仿宋_GB2312" w:hAnsi="仿宋_GB2312" w:eastAsia="仿宋_GB2312" w:cs="仿宋_GB2312"/>
          <w:color w:val="auto"/>
          <w:spacing w:val="0"/>
          <w:w w:val="100"/>
          <w:kern w:val="0"/>
          <w:sz w:val="32"/>
          <w:szCs w:val="32"/>
          <w:lang w:val="zh-CN" w:eastAsia="zh-CN" w:bidi="zh-CN"/>
        </w:rPr>
        <w:t>园区</w:t>
      </w:r>
      <w:r>
        <w:rPr>
          <w:rFonts w:hint="default" w:ascii="仿宋_GB2312" w:hAnsi="仿宋_GB2312" w:eastAsia="仿宋_GB2312" w:cs="仿宋_GB2312"/>
          <w:color w:val="auto"/>
          <w:spacing w:val="0"/>
          <w:w w:val="100"/>
          <w:kern w:val="0"/>
          <w:sz w:val="32"/>
          <w:szCs w:val="32"/>
          <w:lang w:val="zh-CN" w:eastAsia="zh-CN" w:bidi="zh-CN"/>
        </w:rPr>
        <w:t>内的</w:t>
      </w:r>
      <w:r>
        <w:rPr>
          <w:rFonts w:hint="eastAsia" w:ascii="仿宋_GB2312" w:hAnsi="仿宋_GB2312" w:eastAsia="仿宋_GB2312" w:cs="仿宋_GB2312"/>
          <w:color w:val="auto"/>
          <w:spacing w:val="0"/>
          <w:w w:val="100"/>
          <w:kern w:val="0"/>
          <w:sz w:val="32"/>
          <w:szCs w:val="32"/>
          <w:lang w:val="zh-CN" w:eastAsia="zh-CN" w:bidi="zh-CN"/>
        </w:rPr>
        <w:t>生态环境保护管理部室</w:t>
      </w:r>
      <w:r>
        <w:rPr>
          <w:rFonts w:hint="default" w:ascii="仿宋_GB2312" w:hAnsi="仿宋_GB2312" w:eastAsia="仿宋_GB2312" w:cs="仿宋_GB2312"/>
          <w:color w:val="auto"/>
          <w:spacing w:val="0"/>
          <w:w w:val="100"/>
          <w:kern w:val="0"/>
          <w:sz w:val="32"/>
          <w:szCs w:val="32"/>
          <w:lang w:val="zh-CN" w:eastAsia="zh-CN" w:bidi="zh-CN"/>
        </w:rPr>
        <w:t>应当加强对环境突发事件的监管和处置，确保环境突发事件的及时处置和影响的最小化。</w:t>
      </w:r>
    </w:p>
    <w:p w14:paraId="1C22588C">
      <w:pPr>
        <w:pStyle w:val="4"/>
        <w:bidi w:val="0"/>
        <w:rPr>
          <w:rFonts w:hint="default"/>
          <w:lang w:val="zh-CN" w:eastAsia="zh-CN"/>
        </w:rPr>
      </w:pPr>
      <w:r>
        <w:rPr>
          <w:rFonts w:hint="eastAsia"/>
          <w:lang w:val="zh-CN" w:eastAsia="zh-CN"/>
        </w:rPr>
        <w:t>（</w:t>
      </w:r>
      <w:r>
        <w:rPr>
          <w:rFonts w:hint="eastAsia"/>
          <w:lang w:val="en-US" w:eastAsia="zh-CN"/>
        </w:rPr>
        <w:t>八</w:t>
      </w:r>
      <w:r>
        <w:rPr>
          <w:rFonts w:hint="eastAsia"/>
          <w:lang w:val="zh-CN" w:eastAsia="zh-CN"/>
        </w:rPr>
        <w:t>）</w:t>
      </w:r>
      <w:r>
        <w:rPr>
          <w:rFonts w:hint="default"/>
          <w:lang w:val="zh-CN" w:eastAsia="zh-CN"/>
        </w:rPr>
        <w:t>监督与管理</w:t>
      </w:r>
    </w:p>
    <w:p w14:paraId="1622EE1E">
      <w:pPr>
        <w:pStyle w:val="9"/>
        <w:keepNext w:val="0"/>
        <w:keepLines w:val="0"/>
        <w:pageBreakBefore w:val="0"/>
        <w:widowControl w:val="0"/>
        <w:tabs>
          <w:tab w:val="left" w:pos="0"/>
        </w:tabs>
        <w:kinsoku/>
        <w:wordWrap/>
        <w:overflowPunct w:val="0"/>
        <w:topLinePunct w:val="0"/>
        <w:autoSpaceDE w:val="0"/>
        <w:autoSpaceDN w:val="0"/>
        <w:bidi w:val="0"/>
        <w:adjustRightInd/>
        <w:snapToGrid/>
        <w:spacing w:after="0" w:line="640" w:lineRule="exact"/>
        <w:ind w:firstLine="640" w:firstLineChars="200"/>
        <w:jc w:val="both"/>
        <w:textAlignment w:val="auto"/>
        <w:rPr>
          <w:rFonts w:hint="default" w:ascii="仿宋_GB2312" w:hAnsi="仿宋_GB2312" w:eastAsia="仿宋_GB2312" w:cs="仿宋_GB2312"/>
          <w:color w:val="auto"/>
          <w:spacing w:val="0"/>
          <w:w w:val="100"/>
          <w:kern w:val="0"/>
          <w:sz w:val="32"/>
          <w:szCs w:val="32"/>
          <w:lang w:val="zh-CN" w:eastAsia="zh-CN" w:bidi="zh-CN"/>
        </w:rPr>
      </w:pPr>
      <w:r>
        <w:rPr>
          <w:rFonts w:hint="eastAsia" w:ascii="楷体_GB2312" w:hAnsi="楷体_GB2312" w:eastAsia="楷体_GB2312" w:cs="楷体_GB2312"/>
          <w:bCs/>
          <w:color w:val="auto"/>
          <w:spacing w:val="0"/>
          <w:w w:val="100"/>
          <w:kern w:val="0"/>
          <w:sz w:val="32"/>
          <w:szCs w:val="32"/>
          <w:lang w:val="en-US" w:eastAsia="zh-CN" w:bidi="zh-CN"/>
        </w:rPr>
        <w:t>1.</w:t>
      </w:r>
      <w:r>
        <w:rPr>
          <w:rFonts w:hint="eastAsia" w:ascii="仿宋_GB2312" w:hAnsi="仿宋_GB2312" w:eastAsia="仿宋_GB2312" w:cs="仿宋_GB2312"/>
          <w:color w:val="auto"/>
          <w:spacing w:val="0"/>
          <w:w w:val="100"/>
          <w:kern w:val="0"/>
          <w:sz w:val="32"/>
          <w:szCs w:val="32"/>
          <w:lang w:val="zh-CN" w:eastAsia="zh-CN" w:bidi="zh-CN"/>
        </w:rPr>
        <w:t>化工园区办</w:t>
      </w:r>
      <w:r>
        <w:rPr>
          <w:rFonts w:hint="default" w:ascii="Times New Roman" w:hAnsi="Times New Roman" w:eastAsia="仿宋_GB2312"/>
          <w:sz w:val="32"/>
          <w:szCs w:val="32"/>
        </w:rPr>
        <w:t>联合生态环境部门</w:t>
      </w:r>
      <w:r>
        <w:rPr>
          <w:rFonts w:hint="eastAsia" w:ascii="Times New Roman" w:hAnsi="Times New Roman" w:eastAsia="仿宋_GB2312"/>
          <w:sz w:val="32"/>
          <w:szCs w:val="32"/>
          <w:lang w:eastAsia="zh-CN"/>
        </w:rPr>
        <w:t>定期</w:t>
      </w:r>
      <w:r>
        <w:rPr>
          <w:rFonts w:hint="default" w:ascii="仿宋_GB2312" w:hAnsi="仿宋_GB2312" w:eastAsia="仿宋_GB2312" w:cs="仿宋_GB2312"/>
          <w:color w:val="auto"/>
          <w:spacing w:val="0"/>
          <w:w w:val="100"/>
          <w:kern w:val="0"/>
          <w:sz w:val="32"/>
          <w:szCs w:val="32"/>
          <w:lang w:val="zh-CN" w:eastAsia="zh-CN" w:bidi="zh-CN"/>
        </w:rPr>
        <w:t>对园区内的</w:t>
      </w:r>
      <w:r>
        <w:rPr>
          <w:rFonts w:hint="eastAsia" w:ascii="仿宋_GB2312" w:hAnsi="仿宋_GB2312" w:eastAsia="仿宋_GB2312" w:cs="仿宋_GB2312"/>
          <w:color w:val="auto"/>
          <w:spacing w:val="0"/>
          <w:w w:val="100"/>
          <w:kern w:val="0"/>
          <w:sz w:val="32"/>
          <w:szCs w:val="32"/>
          <w:lang w:val="zh-CN" w:eastAsia="zh-CN" w:bidi="zh-CN"/>
        </w:rPr>
        <w:t>生态环境保护</w:t>
      </w:r>
      <w:r>
        <w:rPr>
          <w:rFonts w:hint="default" w:ascii="仿宋_GB2312" w:hAnsi="仿宋_GB2312" w:eastAsia="仿宋_GB2312" w:cs="仿宋_GB2312"/>
          <w:color w:val="auto"/>
          <w:spacing w:val="0"/>
          <w:w w:val="100"/>
          <w:kern w:val="0"/>
          <w:sz w:val="32"/>
          <w:szCs w:val="32"/>
          <w:lang w:val="zh-CN" w:eastAsia="zh-CN" w:bidi="zh-CN"/>
        </w:rPr>
        <w:t>工作</w:t>
      </w:r>
      <w:r>
        <w:rPr>
          <w:rFonts w:hint="default" w:ascii="Times New Roman" w:hAnsi="Times New Roman" w:eastAsia="仿宋_GB2312"/>
          <w:sz w:val="32"/>
          <w:szCs w:val="32"/>
        </w:rPr>
        <w:t>开展巡查和专项执法</w:t>
      </w:r>
      <w:r>
        <w:rPr>
          <w:rFonts w:hint="eastAsia" w:ascii="Times New Roman" w:hAnsi="Times New Roman" w:eastAsia="仿宋_GB2312"/>
          <w:sz w:val="32"/>
          <w:szCs w:val="32"/>
          <w:lang w:eastAsia="zh-CN"/>
        </w:rPr>
        <w:t>工作</w:t>
      </w:r>
      <w:r>
        <w:rPr>
          <w:rFonts w:hint="default" w:ascii="仿宋_GB2312" w:hAnsi="仿宋_GB2312" w:eastAsia="仿宋_GB2312" w:cs="仿宋_GB2312"/>
          <w:color w:val="auto"/>
          <w:spacing w:val="0"/>
          <w:w w:val="100"/>
          <w:kern w:val="0"/>
          <w:sz w:val="32"/>
          <w:szCs w:val="32"/>
          <w:lang w:val="zh-CN" w:eastAsia="zh-CN" w:bidi="zh-CN"/>
        </w:rPr>
        <w:t>，发现问题及时纠正并处理。</w:t>
      </w:r>
    </w:p>
    <w:p w14:paraId="2A9F8C1C">
      <w:pPr>
        <w:pStyle w:val="9"/>
        <w:keepNext w:val="0"/>
        <w:keepLines w:val="0"/>
        <w:pageBreakBefore w:val="0"/>
        <w:widowControl w:val="0"/>
        <w:tabs>
          <w:tab w:val="left" w:pos="0"/>
        </w:tabs>
        <w:kinsoku/>
        <w:wordWrap/>
        <w:overflowPunct w:val="0"/>
        <w:topLinePunct w:val="0"/>
        <w:autoSpaceDE w:val="0"/>
        <w:autoSpaceDN w:val="0"/>
        <w:bidi w:val="0"/>
        <w:adjustRightInd/>
        <w:snapToGrid/>
        <w:spacing w:after="0" w:line="640" w:lineRule="exact"/>
        <w:ind w:firstLine="640" w:firstLineChars="200"/>
        <w:jc w:val="both"/>
        <w:textAlignment w:val="auto"/>
        <w:rPr>
          <w:rFonts w:hint="default" w:ascii="仿宋_GB2312" w:hAnsi="仿宋_GB2312" w:eastAsia="仿宋_GB2312" w:cs="仿宋_GB2312"/>
          <w:color w:val="auto"/>
          <w:spacing w:val="0"/>
          <w:w w:val="100"/>
          <w:kern w:val="0"/>
          <w:sz w:val="32"/>
          <w:szCs w:val="32"/>
          <w:lang w:val="zh-CN" w:eastAsia="zh-CN" w:bidi="zh-CN"/>
        </w:rPr>
      </w:pPr>
      <w:r>
        <w:rPr>
          <w:rFonts w:hint="eastAsia" w:ascii="楷体_GB2312" w:hAnsi="楷体_GB2312" w:eastAsia="楷体_GB2312" w:cs="楷体_GB2312"/>
          <w:bCs/>
          <w:color w:val="auto"/>
          <w:spacing w:val="0"/>
          <w:w w:val="100"/>
          <w:kern w:val="0"/>
          <w:sz w:val="32"/>
          <w:szCs w:val="32"/>
          <w:lang w:val="en-US" w:eastAsia="zh-CN" w:bidi="zh-CN"/>
        </w:rPr>
        <w:t>2.</w:t>
      </w:r>
      <w:r>
        <w:rPr>
          <w:rFonts w:hint="default" w:ascii="仿宋_GB2312" w:hAnsi="仿宋_GB2312" w:eastAsia="仿宋_GB2312" w:cs="仿宋_GB2312"/>
          <w:color w:val="auto"/>
          <w:spacing w:val="0"/>
          <w:w w:val="100"/>
          <w:kern w:val="0"/>
          <w:sz w:val="32"/>
          <w:szCs w:val="32"/>
          <w:lang w:val="zh-CN" w:eastAsia="zh-CN" w:bidi="zh-CN"/>
        </w:rPr>
        <w:t>对重点排污企业实施在线监控，数据接入园区管理平台。</w:t>
      </w:r>
    </w:p>
    <w:p w14:paraId="3AD02186">
      <w:pPr>
        <w:pStyle w:val="9"/>
        <w:keepNext w:val="0"/>
        <w:keepLines w:val="0"/>
        <w:pageBreakBefore w:val="0"/>
        <w:widowControl w:val="0"/>
        <w:tabs>
          <w:tab w:val="left" w:pos="0"/>
        </w:tabs>
        <w:kinsoku/>
        <w:wordWrap/>
        <w:overflowPunct w:val="0"/>
        <w:topLinePunct w:val="0"/>
        <w:autoSpaceDE w:val="0"/>
        <w:autoSpaceDN w:val="0"/>
        <w:bidi w:val="0"/>
        <w:adjustRightInd/>
        <w:snapToGrid/>
        <w:spacing w:after="0" w:line="640" w:lineRule="exact"/>
        <w:ind w:firstLine="640" w:firstLineChars="200"/>
        <w:jc w:val="both"/>
        <w:textAlignment w:val="auto"/>
        <w:rPr>
          <w:rFonts w:hint="default" w:ascii="仿宋_GB2312" w:hAnsi="仿宋_GB2312" w:eastAsia="仿宋_GB2312" w:cs="仿宋_GB2312"/>
          <w:color w:val="auto"/>
          <w:spacing w:val="0"/>
          <w:w w:val="100"/>
          <w:kern w:val="0"/>
          <w:sz w:val="32"/>
          <w:szCs w:val="32"/>
          <w:lang w:val="zh-CN" w:eastAsia="zh-CN" w:bidi="zh-CN"/>
        </w:rPr>
      </w:pPr>
      <w:r>
        <w:rPr>
          <w:rFonts w:hint="eastAsia" w:ascii="楷体_GB2312" w:hAnsi="楷体_GB2312" w:eastAsia="楷体_GB2312" w:cs="楷体_GB2312"/>
          <w:bCs/>
          <w:color w:val="auto"/>
          <w:spacing w:val="0"/>
          <w:w w:val="100"/>
          <w:kern w:val="0"/>
          <w:sz w:val="32"/>
          <w:szCs w:val="32"/>
          <w:lang w:val="en-US" w:eastAsia="zh-CN" w:bidi="zh-CN"/>
        </w:rPr>
        <w:t>3.</w:t>
      </w:r>
      <w:r>
        <w:rPr>
          <w:rFonts w:hint="eastAsia" w:ascii="仿宋_GB2312" w:hAnsi="仿宋_GB2312" w:eastAsia="仿宋_GB2312" w:cs="仿宋_GB2312"/>
          <w:color w:val="auto"/>
          <w:spacing w:val="0"/>
          <w:w w:val="100"/>
          <w:kern w:val="0"/>
          <w:sz w:val="32"/>
          <w:szCs w:val="32"/>
          <w:lang w:val="zh-CN" w:eastAsia="zh-CN" w:bidi="zh-CN"/>
        </w:rPr>
        <w:t>化工园区办</w:t>
      </w:r>
      <w:r>
        <w:rPr>
          <w:rFonts w:hint="default" w:ascii="仿宋_GB2312" w:hAnsi="仿宋_GB2312" w:eastAsia="仿宋_GB2312" w:cs="仿宋_GB2312"/>
          <w:color w:val="auto"/>
          <w:spacing w:val="0"/>
          <w:w w:val="100"/>
          <w:kern w:val="0"/>
          <w:sz w:val="32"/>
          <w:szCs w:val="32"/>
          <w:lang w:val="zh-CN" w:eastAsia="zh-CN" w:bidi="zh-CN"/>
        </w:rPr>
        <w:t>应当举办生态环境保护培训和宣传活动，加强对园区内</w:t>
      </w:r>
      <w:r>
        <w:rPr>
          <w:rFonts w:hint="eastAsia" w:ascii="仿宋_GB2312" w:hAnsi="仿宋_GB2312" w:eastAsia="仿宋_GB2312" w:cs="仿宋_GB2312"/>
          <w:color w:val="auto"/>
          <w:spacing w:val="0"/>
          <w:w w:val="100"/>
          <w:kern w:val="0"/>
          <w:sz w:val="32"/>
          <w:szCs w:val="32"/>
          <w:lang w:val="zh-CN" w:eastAsia="zh-CN" w:bidi="zh-CN"/>
        </w:rPr>
        <w:t>管理人员及园区</w:t>
      </w:r>
      <w:r>
        <w:rPr>
          <w:rFonts w:hint="default" w:ascii="仿宋_GB2312" w:hAnsi="仿宋_GB2312" w:eastAsia="仿宋_GB2312" w:cs="仿宋_GB2312"/>
          <w:color w:val="auto"/>
          <w:spacing w:val="0"/>
          <w:w w:val="100"/>
          <w:kern w:val="0"/>
          <w:sz w:val="32"/>
          <w:szCs w:val="32"/>
          <w:lang w:val="zh-CN" w:eastAsia="zh-CN" w:bidi="zh-CN"/>
        </w:rPr>
        <w:t>内所有生产经营</w:t>
      </w:r>
      <w:r>
        <w:rPr>
          <w:rFonts w:hint="eastAsia" w:ascii="仿宋_GB2312" w:hAnsi="仿宋_GB2312" w:eastAsia="仿宋_GB2312" w:cs="仿宋_GB2312"/>
          <w:color w:val="auto"/>
          <w:spacing w:val="0"/>
          <w:w w:val="100"/>
          <w:kern w:val="0"/>
          <w:sz w:val="32"/>
          <w:szCs w:val="32"/>
          <w:lang w:val="zh-CN" w:eastAsia="zh-CN" w:bidi="zh-CN"/>
        </w:rPr>
        <w:t>企业人员</w:t>
      </w:r>
      <w:r>
        <w:rPr>
          <w:rFonts w:hint="default" w:ascii="仿宋_GB2312" w:hAnsi="仿宋_GB2312" w:eastAsia="仿宋_GB2312" w:cs="仿宋_GB2312"/>
          <w:color w:val="auto"/>
          <w:spacing w:val="0"/>
          <w:w w:val="100"/>
          <w:kern w:val="0"/>
          <w:sz w:val="32"/>
          <w:szCs w:val="32"/>
          <w:lang w:val="zh-CN" w:eastAsia="zh-CN" w:bidi="zh-CN"/>
        </w:rPr>
        <w:t>的生态环境保护意识教育。</w:t>
      </w:r>
    </w:p>
    <w:p w14:paraId="5B0C99CB">
      <w:pPr>
        <w:pStyle w:val="9"/>
        <w:keepNext w:val="0"/>
        <w:keepLines w:val="0"/>
        <w:pageBreakBefore w:val="0"/>
        <w:widowControl w:val="0"/>
        <w:tabs>
          <w:tab w:val="left" w:pos="0"/>
        </w:tabs>
        <w:kinsoku/>
        <w:wordWrap/>
        <w:overflowPunct w:val="0"/>
        <w:topLinePunct w:val="0"/>
        <w:autoSpaceDE w:val="0"/>
        <w:autoSpaceDN w:val="0"/>
        <w:bidi w:val="0"/>
        <w:adjustRightInd/>
        <w:snapToGrid/>
        <w:spacing w:after="0" w:line="640" w:lineRule="exact"/>
        <w:ind w:firstLine="640" w:firstLineChars="200"/>
        <w:jc w:val="both"/>
        <w:textAlignment w:val="auto"/>
        <w:rPr>
          <w:rFonts w:hint="default" w:ascii="仿宋_GB2312" w:hAnsi="仿宋_GB2312" w:eastAsia="仿宋_GB2312" w:cs="仿宋_GB2312"/>
          <w:color w:val="auto"/>
          <w:spacing w:val="0"/>
          <w:w w:val="100"/>
          <w:kern w:val="0"/>
          <w:sz w:val="32"/>
          <w:szCs w:val="32"/>
          <w:lang w:val="zh-CN" w:eastAsia="zh-CN" w:bidi="zh-CN"/>
        </w:rPr>
      </w:pPr>
      <w:r>
        <w:rPr>
          <w:rFonts w:hint="eastAsia" w:ascii="楷体_GB2312" w:hAnsi="楷体_GB2312" w:eastAsia="楷体_GB2312" w:cs="楷体_GB2312"/>
          <w:bCs/>
          <w:color w:val="auto"/>
          <w:spacing w:val="0"/>
          <w:w w:val="100"/>
          <w:kern w:val="0"/>
          <w:sz w:val="32"/>
          <w:szCs w:val="32"/>
          <w:lang w:val="en-US" w:eastAsia="zh-CN" w:bidi="zh-CN"/>
        </w:rPr>
        <w:t>4.</w:t>
      </w:r>
      <w:r>
        <w:rPr>
          <w:rFonts w:hint="eastAsia" w:ascii="仿宋_GB2312" w:hAnsi="仿宋_GB2312" w:eastAsia="仿宋_GB2312" w:cs="仿宋_GB2312"/>
          <w:color w:val="auto"/>
          <w:spacing w:val="0"/>
          <w:w w:val="100"/>
          <w:kern w:val="0"/>
          <w:sz w:val="32"/>
          <w:szCs w:val="32"/>
          <w:lang w:val="zh-CN" w:eastAsia="zh-CN" w:bidi="zh-CN"/>
        </w:rPr>
        <w:t>化工园区办</w:t>
      </w:r>
      <w:r>
        <w:rPr>
          <w:rFonts w:hint="default" w:ascii="仿宋_GB2312" w:hAnsi="仿宋_GB2312" w:eastAsia="仿宋_GB2312" w:cs="仿宋_GB2312"/>
          <w:color w:val="auto"/>
          <w:spacing w:val="0"/>
          <w:w w:val="100"/>
          <w:kern w:val="0"/>
          <w:sz w:val="32"/>
          <w:szCs w:val="32"/>
          <w:lang w:val="zh-CN" w:eastAsia="zh-CN" w:bidi="zh-CN"/>
        </w:rPr>
        <w:t>应当开展园区生态环境保护效益的评价，对</w:t>
      </w:r>
      <w:r>
        <w:rPr>
          <w:rFonts w:hint="eastAsia" w:ascii="仿宋_GB2312" w:hAnsi="仿宋_GB2312" w:eastAsia="仿宋_GB2312" w:cs="仿宋_GB2312"/>
          <w:color w:val="auto"/>
          <w:spacing w:val="0"/>
          <w:w w:val="100"/>
          <w:kern w:val="0"/>
          <w:sz w:val="32"/>
          <w:szCs w:val="32"/>
          <w:lang w:val="zh-CN" w:eastAsia="zh-CN" w:bidi="zh-CN"/>
        </w:rPr>
        <w:t>园区</w:t>
      </w:r>
      <w:r>
        <w:rPr>
          <w:rFonts w:hint="default" w:ascii="仿宋_GB2312" w:hAnsi="仿宋_GB2312" w:eastAsia="仿宋_GB2312" w:cs="仿宋_GB2312"/>
          <w:color w:val="auto"/>
          <w:spacing w:val="0"/>
          <w:w w:val="100"/>
          <w:kern w:val="0"/>
          <w:sz w:val="32"/>
          <w:szCs w:val="32"/>
          <w:lang w:val="zh-CN" w:eastAsia="zh-CN" w:bidi="zh-CN"/>
        </w:rPr>
        <w:t>内所有生产经营</w:t>
      </w:r>
      <w:r>
        <w:rPr>
          <w:rFonts w:hint="eastAsia" w:ascii="仿宋_GB2312" w:hAnsi="仿宋_GB2312" w:eastAsia="仿宋_GB2312" w:cs="仿宋_GB2312"/>
          <w:color w:val="auto"/>
          <w:spacing w:val="0"/>
          <w:w w:val="100"/>
          <w:kern w:val="0"/>
          <w:sz w:val="32"/>
          <w:szCs w:val="32"/>
          <w:lang w:val="zh-CN" w:eastAsia="zh-CN" w:bidi="zh-CN"/>
        </w:rPr>
        <w:t>企业</w:t>
      </w:r>
      <w:r>
        <w:rPr>
          <w:rFonts w:hint="default" w:ascii="仿宋_GB2312" w:hAnsi="仿宋_GB2312" w:eastAsia="仿宋_GB2312" w:cs="仿宋_GB2312"/>
          <w:color w:val="auto"/>
          <w:spacing w:val="0"/>
          <w:w w:val="100"/>
          <w:kern w:val="0"/>
          <w:sz w:val="32"/>
          <w:szCs w:val="32"/>
          <w:lang w:val="zh-CN" w:eastAsia="zh-CN" w:bidi="zh-CN"/>
        </w:rPr>
        <w:t>的生态环境保护工作开展科学评价，提出改进建议。</w:t>
      </w:r>
    </w:p>
    <w:p w14:paraId="71C08ABA">
      <w:pPr>
        <w:pStyle w:val="9"/>
        <w:keepNext w:val="0"/>
        <w:keepLines w:val="0"/>
        <w:pageBreakBefore w:val="0"/>
        <w:widowControl w:val="0"/>
        <w:tabs>
          <w:tab w:val="left" w:pos="0"/>
        </w:tabs>
        <w:kinsoku/>
        <w:wordWrap/>
        <w:overflowPunct w:val="0"/>
        <w:topLinePunct w:val="0"/>
        <w:autoSpaceDE w:val="0"/>
        <w:autoSpaceDN w:val="0"/>
        <w:bidi w:val="0"/>
        <w:adjustRightInd/>
        <w:snapToGrid/>
        <w:spacing w:after="0" w:line="640" w:lineRule="exact"/>
        <w:ind w:firstLine="640" w:firstLineChars="200"/>
        <w:jc w:val="both"/>
        <w:textAlignment w:val="auto"/>
        <w:rPr>
          <w:rFonts w:hint="default" w:ascii="仿宋_GB2312" w:hAnsi="仿宋_GB2312" w:eastAsia="仿宋_GB2312" w:cs="仿宋_GB2312"/>
          <w:color w:val="auto"/>
          <w:spacing w:val="0"/>
          <w:w w:val="100"/>
          <w:kern w:val="0"/>
          <w:sz w:val="32"/>
          <w:szCs w:val="32"/>
          <w:lang w:val="zh-CN" w:eastAsia="zh-CN" w:bidi="zh-CN"/>
        </w:rPr>
      </w:pPr>
      <w:r>
        <w:rPr>
          <w:rFonts w:hint="eastAsia" w:ascii="楷体_GB2312" w:hAnsi="楷体_GB2312" w:eastAsia="楷体_GB2312" w:cs="楷体_GB2312"/>
          <w:bCs/>
          <w:color w:val="auto"/>
          <w:spacing w:val="0"/>
          <w:w w:val="100"/>
          <w:kern w:val="0"/>
          <w:sz w:val="32"/>
          <w:szCs w:val="32"/>
          <w:lang w:val="en-US" w:eastAsia="zh-CN" w:bidi="zh-CN"/>
        </w:rPr>
        <w:t>5.</w:t>
      </w:r>
      <w:r>
        <w:rPr>
          <w:rFonts w:hint="eastAsia" w:ascii="仿宋_GB2312" w:hAnsi="仿宋_GB2312" w:eastAsia="仿宋_GB2312" w:cs="仿宋_GB2312"/>
          <w:color w:val="auto"/>
          <w:spacing w:val="0"/>
          <w:w w:val="100"/>
          <w:kern w:val="0"/>
          <w:sz w:val="32"/>
          <w:szCs w:val="32"/>
          <w:lang w:val="zh-CN" w:eastAsia="zh-CN" w:bidi="zh-CN"/>
        </w:rPr>
        <w:t>化工园区办应</w:t>
      </w:r>
      <w:r>
        <w:rPr>
          <w:rFonts w:hint="default" w:ascii="仿宋_GB2312" w:hAnsi="仿宋_GB2312" w:eastAsia="仿宋_GB2312" w:cs="仿宋_GB2312"/>
          <w:color w:val="auto"/>
          <w:spacing w:val="0"/>
          <w:w w:val="100"/>
          <w:kern w:val="0"/>
          <w:sz w:val="32"/>
          <w:szCs w:val="32"/>
          <w:lang w:val="zh-CN" w:eastAsia="zh-CN" w:bidi="zh-CN"/>
        </w:rPr>
        <w:t>建立与公众沟通的机制，接受社会监督。</w:t>
      </w:r>
    </w:p>
    <w:p w14:paraId="285ED2F8">
      <w:pPr>
        <w:pStyle w:val="4"/>
        <w:bidi w:val="0"/>
        <w:rPr>
          <w:rFonts w:hint="default"/>
          <w:lang w:val="zh-CN" w:eastAsia="zh-CN"/>
        </w:rPr>
      </w:pPr>
      <w:r>
        <w:rPr>
          <w:rFonts w:hint="eastAsia"/>
          <w:lang w:val="zh-CN" w:eastAsia="zh-CN"/>
        </w:rPr>
        <w:t>（</w:t>
      </w:r>
      <w:r>
        <w:rPr>
          <w:rFonts w:hint="eastAsia"/>
          <w:lang w:val="en-US" w:eastAsia="zh-CN"/>
        </w:rPr>
        <w:t>九</w:t>
      </w:r>
      <w:r>
        <w:rPr>
          <w:rFonts w:hint="eastAsia"/>
          <w:lang w:val="zh-CN" w:eastAsia="zh-CN"/>
        </w:rPr>
        <w:t>）</w:t>
      </w:r>
      <w:r>
        <w:rPr>
          <w:rFonts w:hint="default"/>
          <w:lang w:val="zh-CN" w:eastAsia="zh-CN"/>
        </w:rPr>
        <w:t>法律责任</w:t>
      </w:r>
    </w:p>
    <w:p w14:paraId="0A4930F8">
      <w:pPr>
        <w:pStyle w:val="9"/>
        <w:keepNext w:val="0"/>
        <w:keepLines w:val="0"/>
        <w:pageBreakBefore w:val="0"/>
        <w:widowControl w:val="0"/>
        <w:tabs>
          <w:tab w:val="left" w:pos="0"/>
        </w:tabs>
        <w:kinsoku/>
        <w:wordWrap/>
        <w:overflowPunct w:val="0"/>
        <w:topLinePunct w:val="0"/>
        <w:autoSpaceDE w:val="0"/>
        <w:autoSpaceDN w:val="0"/>
        <w:bidi w:val="0"/>
        <w:adjustRightInd/>
        <w:snapToGrid/>
        <w:spacing w:after="0" w:line="640" w:lineRule="exact"/>
        <w:ind w:firstLine="640" w:firstLineChars="200"/>
        <w:jc w:val="both"/>
        <w:textAlignment w:val="auto"/>
        <w:rPr>
          <w:rFonts w:hint="default" w:ascii="仿宋_GB2312" w:hAnsi="仿宋_GB2312" w:eastAsia="仿宋_GB2312" w:cs="仿宋_GB2312"/>
          <w:color w:val="auto"/>
          <w:spacing w:val="0"/>
          <w:w w:val="100"/>
          <w:kern w:val="0"/>
          <w:sz w:val="32"/>
          <w:szCs w:val="32"/>
          <w:lang w:val="zh-CN" w:eastAsia="zh-CN" w:bidi="zh-CN"/>
        </w:rPr>
      </w:pPr>
      <w:r>
        <w:rPr>
          <w:rFonts w:hint="eastAsia" w:ascii="楷体_GB2312" w:hAnsi="楷体_GB2312" w:eastAsia="楷体_GB2312" w:cs="楷体_GB2312"/>
          <w:bCs/>
          <w:color w:val="auto"/>
          <w:spacing w:val="0"/>
          <w:w w:val="100"/>
          <w:kern w:val="0"/>
          <w:sz w:val="32"/>
          <w:szCs w:val="32"/>
          <w:lang w:val="en-US" w:eastAsia="zh-CN" w:bidi="zh-CN"/>
        </w:rPr>
        <w:t>1.</w:t>
      </w:r>
      <w:r>
        <w:rPr>
          <w:rFonts w:hint="default" w:ascii="仿宋_GB2312" w:hAnsi="仿宋_GB2312" w:eastAsia="仿宋_GB2312" w:cs="仿宋_GB2312"/>
          <w:color w:val="auto"/>
          <w:spacing w:val="0"/>
          <w:w w:val="100"/>
          <w:kern w:val="0"/>
          <w:sz w:val="32"/>
          <w:szCs w:val="32"/>
          <w:lang w:val="zh-CN" w:eastAsia="zh-CN" w:bidi="zh-CN"/>
        </w:rPr>
        <w:t>对园区内的环境违法行为应当依法予以处罚，并严肃追究相关责任人的法律责任。</w:t>
      </w:r>
    </w:p>
    <w:p w14:paraId="3EEA8E77">
      <w:pPr>
        <w:pStyle w:val="9"/>
        <w:keepNext w:val="0"/>
        <w:keepLines w:val="0"/>
        <w:pageBreakBefore w:val="0"/>
        <w:widowControl w:val="0"/>
        <w:tabs>
          <w:tab w:val="left" w:pos="0"/>
        </w:tabs>
        <w:kinsoku/>
        <w:wordWrap/>
        <w:overflowPunct w:val="0"/>
        <w:topLinePunct w:val="0"/>
        <w:autoSpaceDE w:val="0"/>
        <w:autoSpaceDN w:val="0"/>
        <w:bidi w:val="0"/>
        <w:adjustRightInd/>
        <w:snapToGrid/>
        <w:spacing w:after="0" w:line="640" w:lineRule="exact"/>
        <w:ind w:firstLine="640" w:firstLineChars="200"/>
        <w:jc w:val="both"/>
        <w:textAlignment w:val="auto"/>
        <w:rPr>
          <w:rFonts w:hint="default" w:ascii="仿宋_GB2312" w:hAnsi="仿宋_GB2312" w:eastAsia="仿宋_GB2312" w:cs="仿宋_GB2312"/>
          <w:color w:val="auto"/>
          <w:spacing w:val="0"/>
          <w:w w:val="100"/>
          <w:kern w:val="0"/>
          <w:sz w:val="32"/>
          <w:szCs w:val="32"/>
          <w:lang w:val="zh-CN" w:eastAsia="zh-CN" w:bidi="zh-CN"/>
        </w:rPr>
      </w:pPr>
      <w:r>
        <w:rPr>
          <w:rFonts w:hint="eastAsia" w:ascii="楷体_GB2312" w:hAnsi="楷体_GB2312" w:eastAsia="楷体_GB2312" w:cs="楷体_GB2312"/>
          <w:bCs/>
          <w:color w:val="auto"/>
          <w:spacing w:val="0"/>
          <w:w w:val="100"/>
          <w:kern w:val="0"/>
          <w:sz w:val="32"/>
          <w:szCs w:val="32"/>
          <w:lang w:val="en-US" w:eastAsia="zh-CN" w:bidi="zh-CN"/>
        </w:rPr>
        <w:t>2.</w:t>
      </w:r>
      <w:r>
        <w:rPr>
          <w:rFonts w:hint="default" w:ascii="仿宋_GB2312" w:hAnsi="仿宋_GB2312" w:eastAsia="仿宋_GB2312" w:cs="仿宋_GB2312"/>
          <w:color w:val="auto"/>
          <w:spacing w:val="0"/>
          <w:w w:val="100"/>
          <w:kern w:val="0"/>
          <w:sz w:val="32"/>
          <w:szCs w:val="32"/>
          <w:lang w:val="zh-CN" w:eastAsia="zh-CN" w:bidi="zh-CN"/>
        </w:rPr>
        <w:t>对园区内的环境违法行为应当依法进行责任追溯和赔偿，保护受损方的合法权益。</w:t>
      </w:r>
    </w:p>
    <w:p w14:paraId="0E40370A">
      <w:pPr>
        <w:pStyle w:val="9"/>
        <w:keepNext w:val="0"/>
        <w:keepLines w:val="0"/>
        <w:pageBreakBefore w:val="0"/>
        <w:widowControl w:val="0"/>
        <w:tabs>
          <w:tab w:val="left" w:pos="0"/>
        </w:tabs>
        <w:kinsoku/>
        <w:wordWrap/>
        <w:overflowPunct w:val="0"/>
        <w:topLinePunct w:val="0"/>
        <w:autoSpaceDE w:val="0"/>
        <w:autoSpaceDN w:val="0"/>
        <w:bidi w:val="0"/>
        <w:adjustRightInd/>
        <w:snapToGrid/>
        <w:spacing w:after="0" w:line="640" w:lineRule="exact"/>
        <w:ind w:firstLine="640" w:firstLineChars="200"/>
        <w:jc w:val="both"/>
        <w:textAlignment w:val="auto"/>
        <w:rPr>
          <w:rFonts w:hint="default" w:ascii="仿宋_GB2312" w:hAnsi="仿宋_GB2312" w:eastAsia="仿宋_GB2312" w:cs="仿宋_GB2312"/>
          <w:color w:val="auto"/>
          <w:spacing w:val="0"/>
          <w:w w:val="100"/>
          <w:kern w:val="0"/>
          <w:sz w:val="32"/>
          <w:szCs w:val="32"/>
          <w:lang w:val="zh-CN" w:eastAsia="zh-CN" w:bidi="zh-CN"/>
        </w:rPr>
      </w:pPr>
      <w:r>
        <w:rPr>
          <w:rFonts w:hint="eastAsia" w:ascii="楷体_GB2312" w:hAnsi="楷体_GB2312" w:eastAsia="楷体_GB2312" w:cs="楷体_GB2312"/>
          <w:bCs/>
          <w:color w:val="auto"/>
          <w:spacing w:val="0"/>
          <w:w w:val="100"/>
          <w:kern w:val="0"/>
          <w:sz w:val="32"/>
          <w:szCs w:val="32"/>
          <w:lang w:val="en-US" w:eastAsia="zh-CN" w:bidi="zh-CN"/>
        </w:rPr>
        <w:t>3.</w:t>
      </w:r>
      <w:r>
        <w:rPr>
          <w:rFonts w:hint="default" w:ascii="仿宋_GB2312" w:hAnsi="仿宋_GB2312" w:eastAsia="仿宋_GB2312" w:cs="仿宋_GB2312"/>
          <w:color w:val="auto"/>
          <w:spacing w:val="0"/>
          <w:w w:val="100"/>
          <w:kern w:val="0"/>
          <w:sz w:val="32"/>
          <w:szCs w:val="32"/>
          <w:lang w:val="zh-CN" w:eastAsia="zh-CN" w:bidi="zh-CN"/>
        </w:rPr>
        <w:t>对园区内的环境违法行为应当由</w:t>
      </w:r>
      <w:r>
        <w:rPr>
          <w:rFonts w:hint="eastAsia" w:ascii="仿宋_GB2312" w:hAnsi="仿宋_GB2312" w:eastAsia="仿宋_GB2312" w:cs="仿宋_GB2312"/>
          <w:color w:val="auto"/>
          <w:spacing w:val="0"/>
          <w:w w:val="100"/>
          <w:kern w:val="0"/>
          <w:sz w:val="32"/>
          <w:szCs w:val="32"/>
          <w:lang w:val="zh-CN" w:eastAsia="zh-CN" w:bidi="zh-CN"/>
        </w:rPr>
        <w:t>化工园区办</w:t>
      </w:r>
      <w:r>
        <w:rPr>
          <w:rFonts w:hint="eastAsia" w:ascii="仿宋_GB2312" w:hAnsi="仿宋_GB2312" w:eastAsia="仿宋_GB2312" w:cs="仿宋_GB2312"/>
          <w:color w:val="auto"/>
          <w:spacing w:val="0"/>
          <w:w w:val="100"/>
          <w:kern w:val="0"/>
          <w:sz w:val="32"/>
          <w:szCs w:val="32"/>
          <w:lang w:val="en-US" w:eastAsia="zh-CN" w:bidi="zh-CN"/>
        </w:rPr>
        <w:t>l联合生态环境部门</w:t>
      </w:r>
      <w:r>
        <w:rPr>
          <w:rFonts w:hint="default" w:ascii="仿宋_GB2312" w:hAnsi="仿宋_GB2312" w:eastAsia="仿宋_GB2312" w:cs="仿宋_GB2312"/>
          <w:color w:val="auto"/>
          <w:spacing w:val="0"/>
          <w:w w:val="100"/>
          <w:kern w:val="0"/>
          <w:sz w:val="32"/>
          <w:szCs w:val="32"/>
          <w:lang w:val="zh-CN" w:eastAsia="zh-CN" w:bidi="zh-CN"/>
        </w:rPr>
        <w:t>进行公开通报，并严厉打击，形成震慑，确保环境保护工作的正常开展。</w:t>
      </w:r>
    </w:p>
    <w:p w14:paraId="28B9D407">
      <w:pPr>
        <w:pStyle w:val="4"/>
        <w:bidi w:val="0"/>
        <w:rPr>
          <w:rFonts w:hint="default"/>
          <w:lang w:val="zh-CN" w:eastAsia="zh-CN"/>
        </w:rPr>
      </w:pPr>
      <w:r>
        <w:rPr>
          <w:rFonts w:hint="eastAsia"/>
          <w:lang w:val="zh-CN" w:eastAsia="zh-CN"/>
        </w:rPr>
        <w:t>（</w:t>
      </w:r>
      <w:r>
        <w:rPr>
          <w:rFonts w:hint="eastAsia"/>
          <w:lang w:val="en-US" w:eastAsia="zh-CN"/>
        </w:rPr>
        <w:t>十</w:t>
      </w:r>
      <w:r>
        <w:rPr>
          <w:rFonts w:hint="eastAsia"/>
          <w:lang w:val="zh-CN" w:eastAsia="zh-CN"/>
        </w:rPr>
        <w:t>）</w:t>
      </w:r>
      <w:r>
        <w:rPr>
          <w:rFonts w:hint="default"/>
          <w:lang w:val="zh-CN" w:eastAsia="zh-CN"/>
        </w:rPr>
        <w:t>附则</w:t>
      </w:r>
    </w:p>
    <w:p w14:paraId="720287A3">
      <w:pPr>
        <w:pStyle w:val="9"/>
        <w:keepNext w:val="0"/>
        <w:keepLines w:val="0"/>
        <w:pageBreakBefore w:val="0"/>
        <w:widowControl w:val="0"/>
        <w:tabs>
          <w:tab w:val="left" w:pos="0"/>
        </w:tabs>
        <w:kinsoku/>
        <w:wordWrap/>
        <w:overflowPunct w:val="0"/>
        <w:topLinePunct w:val="0"/>
        <w:autoSpaceDE w:val="0"/>
        <w:autoSpaceDN w:val="0"/>
        <w:bidi w:val="0"/>
        <w:adjustRightInd/>
        <w:snapToGrid/>
        <w:spacing w:after="0" w:line="640" w:lineRule="exact"/>
        <w:ind w:firstLine="640" w:firstLineChars="200"/>
        <w:jc w:val="both"/>
        <w:textAlignment w:val="auto"/>
        <w:rPr>
          <w:rFonts w:hint="default" w:ascii="仿宋_GB2312" w:hAnsi="仿宋_GB2312" w:eastAsia="仿宋_GB2312" w:cs="仿宋_GB2312"/>
          <w:color w:val="auto"/>
          <w:spacing w:val="0"/>
          <w:w w:val="100"/>
          <w:kern w:val="0"/>
          <w:sz w:val="32"/>
          <w:szCs w:val="32"/>
          <w:lang w:val="zh-CN" w:eastAsia="zh-CN" w:bidi="zh-CN"/>
        </w:rPr>
      </w:pPr>
      <w:r>
        <w:rPr>
          <w:rFonts w:hint="eastAsia" w:ascii="楷体_GB2312" w:hAnsi="楷体_GB2312" w:eastAsia="楷体_GB2312" w:cs="楷体_GB2312"/>
          <w:bCs/>
          <w:color w:val="auto"/>
          <w:spacing w:val="0"/>
          <w:w w:val="100"/>
          <w:kern w:val="0"/>
          <w:sz w:val="32"/>
          <w:szCs w:val="32"/>
          <w:lang w:val="en-US" w:eastAsia="zh-CN" w:bidi="zh-CN"/>
        </w:rPr>
        <w:t>1.</w:t>
      </w:r>
      <w:r>
        <w:rPr>
          <w:rFonts w:hint="default" w:ascii="仿宋_GB2312" w:hAnsi="仿宋_GB2312" w:eastAsia="仿宋_GB2312" w:cs="仿宋_GB2312"/>
          <w:color w:val="auto"/>
          <w:spacing w:val="0"/>
          <w:w w:val="100"/>
          <w:kern w:val="0"/>
          <w:sz w:val="32"/>
          <w:szCs w:val="32"/>
          <w:lang w:val="zh-CN" w:eastAsia="zh-CN" w:bidi="zh-CN"/>
        </w:rPr>
        <w:t>本制度自发布之日起生效，如有需要修改的，应当经</w:t>
      </w:r>
      <w:r>
        <w:rPr>
          <w:rFonts w:hint="eastAsia" w:ascii="仿宋_GB2312" w:hAnsi="仿宋_GB2312" w:eastAsia="仿宋_GB2312" w:cs="仿宋_GB2312"/>
          <w:color w:val="auto"/>
          <w:spacing w:val="0"/>
          <w:w w:val="100"/>
          <w:kern w:val="0"/>
          <w:sz w:val="32"/>
          <w:szCs w:val="32"/>
          <w:lang w:val="zh-CN" w:eastAsia="zh-CN" w:bidi="zh-CN"/>
        </w:rPr>
        <w:t>化工园区办</w:t>
      </w:r>
      <w:r>
        <w:rPr>
          <w:rFonts w:hint="default" w:ascii="仿宋_GB2312" w:hAnsi="仿宋_GB2312" w:eastAsia="仿宋_GB2312" w:cs="仿宋_GB2312"/>
          <w:color w:val="auto"/>
          <w:spacing w:val="0"/>
          <w:w w:val="100"/>
          <w:kern w:val="0"/>
          <w:sz w:val="32"/>
          <w:szCs w:val="32"/>
          <w:lang w:val="zh-CN" w:eastAsia="zh-CN" w:bidi="zh-CN"/>
        </w:rPr>
        <w:t>审议通过，并向上级生态环境部门报备。</w:t>
      </w:r>
    </w:p>
    <w:p w14:paraId="682DD79B">
      <w:pPr>
        <w:pStyle w:val="9"/>
        <w:keepNext w:val="0"/>
        <w:keepLines w:val="0"/>
        <w:pageBreakBefore w:val="0"/>
        <w:widowControl w:val="0"/>
        <w:tabs>
          <w:tab w:val="left" w:pos="0"/>
        </w:tabs>
        <w:kinsoku/>
        <w:wordWrap/>
        <w:overflowPunct w:val="0"/>
        <w:topLinePunct w:val="0"/>
        <w:autoSpaceDE w:val="0"/>
        <w:autoSpaceDN w:val="0"/>
        <w:bidi w:val="0"/>
        <w:adjustRightInd/>
        <w:snapToGrid/>
        <w:spacing w:after="0" w:line="640" w:lineRule="exact"/>
        <w:ind w:firstLine="640" w:firstLineChars="200"/>
        <w:jc w:val="both"/>
        <w:textAlignment w:val="auto"/>
        <w:rPr>
          <w:rFonts w:hint="default" w:ascii="仿宋_GB2312" w:hAnsi="仿宋_GB2312" w:eastAsia="仿宋_GB2312" w:cs="仿宋_GB2312"/>
          <w:color w:val="auto"/>
          <w:spacing w:val="0"/>
          <w:w w:val="100"/>
          <w:kern w:val="0"/>
          <w:sz w:val="32"/>
          <w:szCs w:val="32"/>
          <w:lang w:val="zh-CN" w:eastAsia="zh-CN" w:bidi="zh-CN"/>
        </w:rPr>
      </w:pPr>
      <w:r>
        <w:rPr>
          <w:rFonts w:hint="eastAsia" w:ascii="楷体_GB2312" w:hAnsi="楷体_GB2312" w:eastAsia="楷体_GB2312" w:cs="楷体_GB2312"/>
          <w:bCs/>
          <w:color w:val="auto"/>
          <w:spacing w:val="0"/>
          <w:w w:val="100"/>
          <w:kern w:val="0"/>
          <w:sz w:val="32"/>
          <w:szCs w:val="32"/>
          <w:lang w:val="en-US" w:eastAsia="zh-CN" w:bidi="zh-CN"/>
        </w:rPr>
        <w:t>2.</w:t>
      </w:r>
      <w:r>
        <w:rPr>
          <w:rFonts w:hint="default" w:ascii="仿宋_GB2312" w:hAnsi="仿宋_GB2312" w:eastAsia="仿宋_GB2312" w:cs="仿宋_GB2312"/>
          <w:color w:val="auto"/>
          <w:spacing w:val="0"/>
          <w:w w:val="100"/>
          <w:kern w:val="0"/>
          <w:sz w:val="32"/>
          <w:szCs w:val="32"/>
          <w:lang w:val="zh-CN" w:eastAsia="zh-CN" w:bidi="zh-CN"/>
        </w:rPr>
        <w:t>对于违反本制度的行为，应当责令改正，并依法予以处罚。</w:t>
      </w:r>
    </w:p>
    <w:p w14:paraId="653024E9">
      <w:pPr>
        <w:ind w:firstLine="640" w:firstLineChars="200"/>
        <w:rPr>
          <w:rFonts w:ascii="Times New Roman" w:hAnsi="Times New Roman"/>
        </w:rPr>
      </w:pPr>
      <w:r>
        <w:rPr>
          <w:rFonts w:hint="eastAsia" w:ascii="楷体_GB2312" w:hAnsi="楷体_GB2312" w:eastAsia="楷体_GB2312" w:cs="楷体_GB2312"/>
          <w:bCs/>
          <w:color w:val="auto"/>
          <w:spacing w:val="0"/>
          <w:w w:val="100"/>
          <w:kern w:val="0"/>
          <w:sz w:val="32"/>
          <w:szCs w:val="32"/>
          <w:lang w:val="en-US" w:eastAsia="zh-CN" w:bidi="zh-CN"/>
        </w:rPr>
        <w:t>3.</w:t>
      </w:r>
      <w:r>
        <w:rPr>
          <w:rFonts w:hint="default" w:ascii="仿宋_GB2312" w:hAnsi="仿宋_GB2312" w:eastAsia="仿宋_GB2312" w:cs="仿宋_GB2312"/>
          <w:color w:val="auto"/>
          <w:spacing w:val="0"/>
          <w:w w:val="100"/>
          <w:kern w:val="0"/>
          <w:sz w:val="32"/>
          <w:szCs w:val="32"/>
          <w:lang w:val="zh-CN" w:eastAsia="zh-CN" w:bidi="zh-CN"/>
        </w:rPr>
        <w:t>本制度的解释权归</w:t>
      </w:r>
      <w:r>
        <w:rPr>
          <w:rFonts w:hint="eastAsia" w:ascii="仿宋_GB2312" w:hAnsi="仿宋_GB2312" w:eastAsia="仿宋_GB2312" w:cs="仿宋_GB2312"/>
          <w:color w:val="auto"/>
          <w:spacing w:val="0"/>
          <w:w w:val="100"/>
          <w:kern w:val="0"/>
          <w:sz w:val="32"/>
          <w:szCs w:val="32"/>
          <w:lang w:val="zh-CN" w:eastAsia="zh-CN" w:bidi="zh-CN"/>
        </w:rPr>
        <w:t>化工园区办</w:t>
      </w:r>
      <w:r>
        <w:rPr>
          <w:rFonts w:hint="default" w:ascii="仿宋_GB2312" w:hAnsi="仿宋_GB2312" w:eastAsia="仿宋_GB2312" w:cs="仿宋_GB2312"/>
          <w:color w:val="auto"/>
          <w:spacing w:val="0"/>
          <w:w w:val="100"/>
          <w:kern w:val="0"/>
          <w:sz w:val="32"/>
          <w:szCs w:val="32"/>
          <w:lang w:val="zh-CN" w:eastAsia="zh-CN" w:bidi="zh-CN"/>
        </w:rPr>
        <w:t>所有。</w:t>
      </w:r>
    </w:p>
    <w:sectPr>
      <w:pgSz w:w="11906" w:h="16838"/>
      <w:pgMar w:top="2098" w:right="1531" w:bottom="1984" w:left="1531" w:header="851" w:footer="1417" w:gutter="0"/>
      <w:cols w:space="720" w:num="1"/>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3525C">
    <w:pPr>
      <w:pStyle w:val="13"/>
      <w:tabs>
        <w:tab w:val="clear" w:pos="4153"/>
        <w:tab w:val="clear" w:pos="8306"/>
      </w:tabs>
      <w:ind w:firstLine="360"/>
      <w:rPr>
        <w:rFonts w:hint="eastAsia"/>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D6165A">
                          <w:pPr>
                            <w:pStyle w:val="13"/>
                            <w:ind w:firstLine="360"/>
                            <w:rPr>
                              <w:rFonts w:hint="eastAsia"/>
                            </w:rPr>
                          </w:pPr>
                        </w:p>
                      </w:txbxContent>
                    </wps:txbx>
                    <wps:bodyPr wrap="none" lIns="0" tIns="0" rIns="0" bIns="0">
                      <a:spAutoFit/>
                    </wps:bodyPr>
                  </wps:wsp>
                </a:graphicData>
              </a:graphic>
            </wp:anchor>
          </w:drawing>
        </mc:Choice>
        <mc:Fallback>
          <w:pict>
            <v:shape id="文本框 105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X7W2sQBAACR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hJeUOG5x4pfv3y4/fl1+fiXL&#10;6tUyS9QHqDHzLmBuGt76AdNnP6AzMx9UtPmLnAjGUeDzVWA5JCLyo/Vqva4wJDA2XxCfPTwPEdI7&#10;6S3JRkMjTrAIy08fII2pc0qu5vytNqZM0bi/HIiZPSz3PvaYrTTsh4nQ3rdn5NPj8BvqcNcpMe8d&#10;apv3ZDbibOwnI9eA8OaYsHDpJ6OOUFMxnFRhNG1VXoU/7yXr4U/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8X7W2sQBAACRAwAADgAAAAAAAAABACAAAAAeAQAAZHJzL2Uyb0RvYy54bWxQ&#10;SwUGAAAAAAYABgBZAQAAVAUAAAAA&#10;">
              <v:fill on="f" focussize="0,0"/>
              <v:stroke on="f"/>
              <v:imagedata o:title=""/>
              <o:lock v:ext="edit" aspectratio="f"/>
              <v:textbox inset="0mm,0mm,0mm,0mm" style="mso-fit-shape-to-text:t;">
                <w:txbxContent>
                  <w:p w14:paraId="1ED6165A">
                    <w:pPr>
                      <w:pStyle w:val="13"/>
                      <w:ind w:firstLine="360"/>
                      <w:rPr>
                        <w:rFonts w:hint="eastAsia"/>
                      </w:rP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CBFE09">
                          <w:pPr>
                            <w:pStyle w:val="13"/>
                            <w:ind w:firstLine="360"/>
                            <w:rPr>
                              <w:rFonts w:hint="eastAsia"/>
                            </w:rPr>
                          </w:pPr>
                        </w:p>
                      </w:txbxContent>
                    </wps:txbx>
                    <wps:bodyPr wrap="none" lIns="0" tIns="0" rIns="0" bIns="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EhiNcMBAACQ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KI7dcYsDv3z/dvnx6/LzK1lW&#10;r5dZoT5AjYkPAVPTcOcH3JvZD+jMxAcVbf4iJYJx1Pd81VcOiYj8aL1arysMCYzNF8Rnj89DhPRW&#10;ekuy0dCIAyy68tN7SGPqnJKrOX+vjSlDNO4vB2JmD8u9jz1mKw37YSK09+0Z+fQ4+4Y6XHVKzDuH&#10;0uY1mY04G/vJyDUg3B4TFi79ZNQRaiqGgyqMpqXKm/DnvWQ9/kj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0SGI1wwEAAJADAAAOAAAAAAAAAAEAIAAAAB4BAABkcnMvZTJvRG9jLnhtbFBL&#10;BQYAAAAABgAGAFkBAABTBQAAAAA=&#10;">
              <v:fill on="f" focussize="0,0"/>
              <v:stroke on="f"/>
              <v:imagedata o:title=""/>
              <o:lock v:ext="edit" aspectratio="f"/>
              <v:textbox inset="0mm,0mm,0mm,0mm" style="mso-fit-shape-to-text:t;">
                <w:txbxContent>
                  <w:p w14:paraId="61CBFE09">
                    <w:pPr>
                      <w:pStyle w:val="13"/>
                      <w:ind w:firstLine="360"/>
                      <w:rPr>
                        <w:rFonts w:hint="eastAsia"/>
                      </w:rPr>
                    </w:pP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C8830">
    <w:pPr>
      <w:pStyle w:val="13"/>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8765E">
    <w:pPr>
      <w:pStyle w:val="13"/>
      <w:ind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3328E">
    <w:pPr>
      <w:pStyle w:val="13"/>
      <w:tabs>
        <w:tab w:val="clear" w:pos="4153"/>
        <w:tab w:val="clear" w:pos="8306"/>
      </w:tabs>
      <w:ind w:firstLine="360"/>
      <w:rPr>
        <w:rFonts w:hint="eastAsia"/>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BB15AB">
                          <w:pPr>
                            <w:pStyle w:val="13"/>
                            <w:ind w:firstLine="360"/>
                            <w:rPr>
                              <w:rFonts w:hint="eastAsia"/>
                            </w:rPr>
                          </w:pPr>
                        </w:p>
                      </w:txbxContent>
                    </wps:txbx>
                    <wps:bodyPr wrap="none" lIns="0" tIns="0" rIns="0" bIns="0">
                      <a:spAutoFit/>
                    </wps:bodyPr>
                  </wps:wsp>
                </a:graphicData>
              </a:graphic>
            </wp:anchor>
          </w:drawing>
        </mc:Choice>
        <mc:Fallback>
          <w:pict>
            <v:shape id="文本框 105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PoLpcQBAACR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hJeUOG5x4pfv3y4/fl1+fiXL&#10;6tUqS9QHqDHzLmBuGt76AdNnP6AzMx9UtPmLnAjGUeDzVWA5JCLyo/Vqva4wJDA2XxCfPTwPEdI7&#10;6S3JRkMjTrAIy08fII2pc0qu5vytNqZM0bi/HIiZPSz3PvaYrTTsh4nQ3rdn5NPj8BvqcNcpMe8d&#10;apv3ZDbibOwnI9eA8OaYsHDpJ6OOUFMxnFRhNG1VXoU/7yXr4U/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9PoLpcQBAACRAwAADgAAAAAAAAABACAAAAAeAQAAZHJzL2Uyb0RvYy54bWxQ&#10;SwUGAAAAAAYABgBZAQAAVAUAAAAA&#10;">
              <v:fill on="f" focussize="0,0"/>
              <v:stroke on="f"/>
              <v:imagedata o:title=""/>
              <o:lock v:ext="edit" aspectratio="f"/>
              <v:textbox inset="0mm,0mm,0mm,0mm" style="mso-fit-shape-to-text:t;">
                <w:txbxContent>
                  <w:p w14:paraId="73BB15AB">
                    <w:pPr>
                      <w:pStyle w:val="13"/>
                      <w:ind w:firstLine="360"/>
                      <w:rPr>
                        <w:rFonts w:hint="eastAsia"/>
                      </w:rPr>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E1F76C">
                          <w:pPr>
                            <w:pStyle w:val="13"/>
                            <w:ind w:firstLine="360"/>
                            <w:rPr>
                              <w:rFonts w:hint="eastAsia"/>
                            </w:rPr>
                          </w:pPr>
                        </w:p>
                      </w:txbxContent>
                    </wps:txbx>
                    <wps:bodyPr wrap="none" lIns="0" tIns="0" rIns="0" bIns="0">
                      <a:spAutoFit/>
                    </wps:bodyPr>
                  </wps:wsp>
                </a:graphicData>
              </a:graphic>
            </wp:anchor>
          </w:drawing>
        </mc:Choice>
        <mc:Fallback>
          <w:pict>
            <v:shape id="文本框 104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KGeusQBAACQAwAADgAAAGRycy9lMm9Eb2MueG1srVPNjtMwEL4j8Q6W&#10;79Rph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lW&#10;L1dZoT5AjYl3AVPT8NYPuDezH9CZiQ8q2vxFSgTjqO/5qq8cEhH50Xq1XlcYEhibL4jPHp6HCOmd&#10;9JZko6ERB1h05acPkMbUOSVXc/5WG1OGaNxfDsTMHpZ7H3vMVhr2w0Ro79sz8ulx9g11uOqUmPcO&#10;pc1rMhtxNvaTkWtAeHN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oKGeusQBAACQAwAADgAAAAAAAAABACAAAAAeAQAAZHJzL2Uyb0RvYy54bWxQ&#10;SwUGAAAAAAYABgBZAQAAVAUAAAAA&#10;">
              <v:fill on="f" focussize="0,0"/>
              <v:stroke on="f"/>
              <v:imagedata o:title=""/>
              <o:lock v:ext="edit" aspectratio="f"/>
              <v:textbox inset="0mm,0mm,0mm,0mm" style="mso-fit-shape-to-text:t;">
                <w:txbxContent>
                  <w:p w14:paraId="1FE1F76C">
                    <w:pPr>
                      <w:pStyle w:val="13"/>
                      <w:ind w:firstLine="360"/>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B03AA">
    <w:pPr>
      <w:pStyle w:val="13"/>
      <w:tabs>
        <w:tab w:val="clear" w:pos="4153"/>
        <w:tab w:val="clear" w:pos="8306"/>
      </w:tabs>
      <w:ind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40DC92">
                          <w:pPr>
                            <w:pStyle w:val="13"/>
                            <w:ind w:firstLine="360"/>
                            <w:rPr>
                              <w:rFonts w:hint="eastAsia"/>
                            </w:rPr>
                          </w:pPr>
                          <w:r>
                            <w:t xml:space="preserve">— </w:t>
                          </w: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PAGE  \* MERGEFORMAT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rPr>
                            <w:t>1</w:t>
                          </w:r>
                          <w:r>
                            <w:rPr>
                              <w:rFonts w:hint="eastAsia" w:ascii="楷体_GB2312" w:hAnsi="楷体_GB2312" w:eastAsia="楷体_GB2312" w:cs="楷体_GB2312"/>
                              <w:sz w:val="21"/>
                              <w:szCs w:val="21"/>
                            </w:rPr>
                            <w:fldChar w:fldCharType="end"/>
                          </w:r>
                          <w:r>
                            <w:rPr>
                              <w:rFonts w:hint="eastAsia" w:ascii="楷体_GB2312" w:hAnsi="楷体_GB2312" w:eastAsia="楷体_GB2312" w:cs="楷体_GB2312"/>
                              <w:sz w:val="21"/>
                              <w:szCs w:val="21"/>
                            </w:rPr>
                            <w:t xml:space="preserve"> </w:t>
                          </w:r>
                          <w:r>
                            <w:t>—</w:t>
                          </w:r>
                        </w:p>
                      </w:txbxContent>
                    </wps:txbx>
                    <wps:bodyPr wrap="none" lIns="0" tIns="0" rIns="0" bIns="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55vbsQBAACQ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ullmhfoANSbeB0xNw1s/4N7MfkBnJj6oaPMXKRGMo77nq75ySETkR+vVel1hSGBsviA+e3geIqR3&#10;0luSjYZGHGDRlZ8+QBpT55Rczfk7bUwZonF/ORAze1jufewxW2nYDxOhvW/PyKfH2TfU4apTYt47&#10;lDavyWzE2dhPRq4B4c0xYeHST0YdoaZiOKjCaFqqvAmP7yXr4Uf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155vbsQBAACQAwAADgAAAAAAAAABACAAAAAeAQAAZHJzL2Uyb0RvYy54bWxQ&#10;SwUGAAAAAAYABgBZAQAAVAUAAAAA&#10;">
              <v:fill on="f" focussize="0,0"/>
              <v:stroke on="f"/>
              <v:imagedata o:title=""/>
              <o:lock v:ext="edit" aspectratio="f"/>
              <v:textbox inset="0mm,0mm,0mm,0mm" style="mso-fit-shape-to-text:t;">
                <w:txbxContent>
                  <w:p w14:paraId="1840DC92">
                    <w:pPr>
                      <w:pStyle w:val="13"/>
                      <w:ind w:firstLine="360"/>
                      <w:rPr>
                        <w:rFonts w:hint="eastAsia"/>
                      </w:rPr>
                    </w:pPr>
                    <w:r>
                      <w:t xml:space="preserve">— </w:t>
                    </w: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PAGE  \* MERGEFORMAT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rPr>
                      <w:t>1</w:t>
                    </w:r>
                    <w:r>
                      <w:rPr>
                        <w:rFonts w:hint="eastAsia" w:ascii="楷体_GB2312" w:hAnsi="楷体_GB2312" w:eastAsia="楷体_GB2312" w:cs="楷体_GB2312"/>
                        <w:sz w:val="21"/>
                        <w:szCs w:val="21"/>
                      </w:rPr>
                      <w:fldChar w:fldCharType="end"/>
                    </w:r>
                    <w:r>
                      <w:rPr>
                        <w:rFonts w:hint="eastAsia" w:ascii="楷体_GB2312" w:hAnsi="楷体_GB2312" w:eastAsia="楷体_GB2312" w:cs="楷体_GB2312"/>
                        <w:sz w:val="21"/>
                        <w:szCs w:val="21"/>
                      </w:rPr>
                      <w:t xml:space="preserve"> </w:t>
                    </w:r>
                    <w:r>
                      <w:t>—</w:t>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B1C70">
    <w:pPr>
      <w:spacing w:line="179" w:lineRule="auto"/>
      <w:ind w:firstLine="480"/>
      <w:rPr>
        <w:rFonts w:ascii="Times New Roman" w:hAnsi="Times New Roman" w:eastAsia="Times New Roman"/>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B0BE0F">
                          <w:pPr>
                            <w:pStyle w:val="13"/>
                            <w:ind w:firstLine="360"/>
                            <w:rPr>
                              <w:rFonts w:hint="eastAsia"/>
                            </w:rPr>
                          </w:pPr>
                          <w:r>
                            <w:t xml:space="preserve">— </w:t>
                          </w:r>
                          <w:r>
                            <w:fldChar w:fldCharType="begin"/>
                          </w:r>
                          <w:r>
                            <w:instrText xml:space="preserve"> PAGE  \* MERGEFORMAT </w:instrText>
                          </w:r>
                          <w:r>
                            <w:fldChar w:fldCharType="separate"/>
                          </w:r>
                          <w:r>
                            <w:t>47</w:t>
                          </w:r>
                          <w:r>
                            <w:fldChar w:fldCharType="end"/>
                          </w:r>
                          <w:r>
                            <w:t xml:space="preserve"> —</w:t>
                          </w:r>
                        </w:p>
                      </w:txbxContent>
                    </wps:txbx>
                    <wps:bodyPr wrap="none" lIns="0" tIns="0" rIns="0" bIns="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hqyEcQBAACQ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lW&#10;L1dZoT5AjYl3AVPT8NYPuDezH9CZiQ8q2vxFSgTjqO/5qq8cEhH50Xq1XlcYEhibL4jPHp6HCOmd&#10;9JZko6ERB1h05acPkMbUOSVXc/5WG1OGaNxfDsTMHpZ7H3vMVhr2w0Ro79sz8ulx9g11uOqUmPcO&#10;pc1rMhtxNvaTkWtAeHN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0hqyEcQBAACQAwAADgAAAAAAAAABACAAAAAeAQAAZHJzL2Uyb0RvYy54bWxQ&#10;SwUGAAAAAAYABgBZAQAAVAUAAAAA&#10;">
              <v:fill on="f" focussize="0,0"/>
              <v:stroke on="f"/>
              <v:imagedata o:title=""/>
              <o:lock v:ext="edit" aspectratio="f"/>
              <v:textbox inset="0mm,0mm,0mm,0mm" style="mso-fit-shape-to-text:t;">
                <w:txbxContent>
                  <w:p w14:paraId="3AB0BE0F">
                    <w:pPr>
                      <w:pStyle w:val="13"/>
                      <w:ind w:firstLine="360"/>
                      <w:rPr>
                        <w:rFonts w:hint="eastAsia"/>
                      </w:rPr>
                    </w:pPr>
                    <w:r>
                      <w:t xml:space="preserve">— </w:t>
                    </w:r>
                    <w:r>
                      <w:fldChar w:fldCharType="begin"/>
                    </w:r>
                    <w:r>
                      <w:instrText xml:space="preserve"> PAGE  \* MERGEFORMAT </w:instrText>
                    </w:r>
                    <w:r>
                      <w:fldChar w:fldCharType="separate"/>
                    </w:r>
                    <w:r>
                      <w:t>47</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B7529">
    <w:pPr>
      <w:spacing w:line="179" w:lineRule="auto"/>
      <w:ind w:firstLine="480"/>
      <w:rPr>
        <w:rFonts w:ascii="Times New Roman" w:hAnsi="Times New Roman" w:eastAsia="Times New Roman"/>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76FB50">
                          <w:pPr>
                            <w:pStyle w:val="13"/>
                            <w:ind w:firstLine="360"/>
                            <w:rPr>
                              <w:rFonts w:hint="eastAsia"/>
                            </w:rPr>
                          </w:pPr>
                          <w:r>
                            <w:t xml:space="preserve">— </w:t>
                          </w: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t xml:space="preserve"> —</w:t>
                          </w:r>
                        </w:p>
                      </w:txbxContent>
                    </wps:txbx>
                    <wps:bodyPr wrap="none" lIns="0" tIns="0" rIns="0" bIns="0">
                      <a:spAutoFit/>
                    </wps:bodyPr>
                  </wps:wsp>
                </a:graphicData>
              </a:graphic>
            </wp:anchor>
          </w:drawing>
        </mc:Choice>
        <mc:Fallback>
          <w:pict>
            <v:shape id="文本框 104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bymIMMBAACR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BJTEcYsTv3z/dvnx6/LzK1lW&#10;r15mifoANWbeBcxNw1s/YPrsB3Rm5oOKNn+RE8E4op2vAsshEZEfrVfrdYUhgbH5gvjs4XmIkN5J&#10;b0k2GhpxgkVYfvoAaUydU3I152+1MWWKxv3lQMzsYbn3scdspWE/TIT2vj0jnx6H31CHu06Jee9Q&#10;W+wvzUacjf1k5BoQ3hwTFi79ZNQRaiqGkyqMpq3Kq/DnvWQ9/En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xvKYgwwEAAJEDAAAOAAAAAAAAAAEAIAAAAB4BAABkcnMvZTJvRG9jLnhtbFBL&#10;BQYAAAAABgAGAFkBAABTBQAAAAA=&#10;">
              <v:fill on="f" focussize="0,0"/>
              <v:stroke on="f"/>
              <v:imagedata o:title=""/>
              <o:lock v:ext="edit" aspectratio="f"/>
              <v:textbox inset="0mm,0mm,0mm,0mm" style="mso-fit-shape-to-text:t;">
                <w:txbxContent>
                  <w:p w14:paraId="6576FB50">
                    <w:pPr>
                      <w:pStyle w:val="13"/>
                      <w:ind w:firstLine="360"/>
                      <w:rPr>
                        <w:rFonts w:hint="eastAsia"/>
                      </w:rPr>
                    </w:pPr>
                    <w:r>
                      <w:t xml:space="preserve">— </w:t>
                    </w: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B2EE9">
    <w:pPr>
      <w:pStyle w:val="13"/>
      <w:tabs>
        <w:tab w:val="clear" w:pos="4153"/>
        <w:tab w:val="clear" w:pos="8306"/>
      </w:tabs>
      <w:ind w:firstLine="360"/>
      <w:rPr>
        <w:rFonts w:hint="eastAsia"/>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626F36">
                          <w:pPr>
                            <w:pStyle w:val="13"/>
                            <w:ind w:firstLine="360"/>
                            <w:rPr>
                              <w:rFonts w:hint="eastAsia"/>
                            </w:rPr>
                          </w:pPr>
                          <w:r>
                            <w:t xml:space="preserve">— </w:t>
                          </w: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126</w:t>
                          </w:r>
                          <w:r>
                            <w:rPr>
                              <w:rFonts w:ascii="Times New Roman" w:hAnsi="Times New Roman"/>
                              <w:sz w:val="21"/>
                              <w:szCs w:val="21"/>
                            </w:rPr>
                            <w:fldChar w:fldCharType="end"/>
                          </w:r>
                          <w:r>
                            <w:t xml:space="preserve"> —</w:t>
                          </w:r>
                        </w:p>
                      </w:txbxContent>
                    </wps:txbx>
                    <wps:bodyPr wrap="none" lIns="0" tIns="0" rIns="0" bIns="0">
                      <a:spAutoFit/>
                    </wps:bodyPr>
                  </wps:wsp>
                </a:graphicData>
              </a:graphic>
            </wp:anchor>
          </w:drawing>
        </mc:Choice>
        <mc:Fallback>
          <w:pict>
            <v:shape id="文本框 104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FyGccQBAACR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hCUljluc+OX7t8uPX5efX8my&#10;evkqS9QHqDHzLmBuGt76AdNnP6AzMx9UtPmLnAjGUeDzVWA5JCLyo/Vqva4wJDA2XxCfPTwPEdI7&#10;6S3JRkMjTrAIy08fII2pc0qu5vytNqZM0bi/HIiZPSz3PvaYrTTsh4nQ3rdn5NPj8BvqcNcpMe8d&#10;apv3ZDbibOwnI9eA8OaYsHDpJ6OOUFMxnFRhNG1VXoU/7yXr4U/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8FyGccQBAACRAwAADgAAAAAAAAABACAAAAAeAQAAZHJzL2Uyb0RvYy54bWxQ&#10;SwUGAAAAAAYABgBZAQAAVAUAAAAA&#10;">
              <v:fill on="f" focussize="0,0"/>
              <v:stroke on="f"/>
              <v:imagedata o:title=""/>
              <o:lock v:ext="edit" aspectratio="f"/>
              <v:textbox inset="0mm,0mm,0mm,0mm" style="mso-fit-shape-to-text:t;">
                <w:txbxContent>
                  <w:p w14:paraId="0C626F36">
                    <w:pPr>
                      <w:pStyle w:val="13"/>
                      <w:ind w:firstLine="360"/>
                      <w:rPr>
                        <w:rFonts w:hint="eastAsia"/>
                      </w:rPr>
                    </w:pPr>
                    <w:r>
                      <w:t xml:space="preserve">— </w:t>
                    </w: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126</w:t>
                    </w:r>
                    <w:r>
                      <w:rPr>
                        <w:rFonts w:ascii="Times New Roman" w:hAnsi="Times New Roman"/>
                        <w:sz w:val="21"/>
                        <w:szCs w:val="21"/>
                      </w:rPr>
                      <w:fldChar w:fldCharType="end"/>
                    </w:r>
                    <w:r>
                      <w:t xml:space="preserve"> —</w:t>
                    </w:r>
                  </w:p>
                </w:txbxContent>
              </v:textbox>
            </v:shape>
          </w:pict>
        </mc:Fallback>
      </mc:AlternateContent>
    </w:r>
    <w:r>
      <w:rPr>
        <w:rFonts w:hint="eastAsia"/>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C60BF">
    <w:pPr>
      <w:pStyle w:val="9"/>
      <w:spacing w:line="14" w:lineRule="auto"/>
      <w:ind w:firstLine="40"/>
      <w:rPr>
        <w:sz w:val="2"/>
      </w:rPr>
    </w:pPr>
    <w:r>
      <w:rPr>
        <w:sz w:val="2"/>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FB1352">
                          <w:pPr>
                            <w:pStyle w:val="13"/>
                            <w:ind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- 152 -</w:t>
                          </w:r>
                          <w:r>
                            <w:rPr>
                              <w:rFonts w:ascii="Times New Roman" w:hAnsi="Times New Roman"/>
                              <w:sz w:val="24"/>
                              <w:szCs w:val="24"/>
                            </w:rPr>
                            <w:fldChar w:fldCharType="end"/>
                          </w:r>
                          <w:r>
                            <w:rPr>
                              <w:rFonts w:ascii="Times New Roman" w:hAnsi="Times New Roman"/>
                              <w:sz w:val="24"/>
                              <w:szCs w:val="24"/>
                            </w:rPr>
                            <w:t xml:space="preserve"> —</w:t>
                          </w:r>
                        </w:p>
                      </w:txbxContent>
                    </wps:txbx>
                    <wps:bodyPr wrap="none" lIns="0" tIns="0" rIns="0" bIns="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RrgcMBAACPAwAADgAAAGRycy9lMm9Eb2MueG1srVPNjtMwEL4j8Q6W&#10;79TZSkA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CaEsctTvz888f515/z7+9k&#10;+TYL1AeoMe82YGYa3vsBk2c/oDPzHlS0+YuMCMZR3tNFXjkkIvKj1XK1qjAkMDZfEJ/dPw8R0gfp&#10;LclGQyPOr8jKj58gjalzSq7m/I02pszQuP8ciJk9LPc+9pitNOyGidDOtyfk0+PoG+pw0ykxHx0q&#10;m7dkNuJs7CYj14Dw7pCwcOkno45QUzGcU2E07VRehH/vJev+P9r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1RGuBwwEAAI8DAAAOAAAAAAAAAAEAIAAAAB4BAABkcnMvZTJvRG9jLnhtbFBL&#10;BQYAAAAABgAGAFkBAABTBQAAAAA=&#10;">
              <v:fill on="f" focussize="0,0"/>
              <v:stroke on="f"/>
              <v:imagedata o:title=""/>
              <o:lock v:ext="edit" aspectratio="f"/>
              <v:textbox inset="0mm,0mm,0mm,0mm" style="mso-fit-shape-to-text:t;">
                <w:txbxContent>
                  <w:p w14:paraId="11FB1352">
                    <w:pPr>
                      <w:pStyle w:val="13"/>
                      <w:ind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- 152 -</w:t>
                    </w:r>
                    <w:r>
                      <w:rPr>
                        <w:rFonts w:ascii="Times New Roman" w:hAnsi="Times New Roman"/>
                        <w:sz w:val="24"/>
                        <w:szCs w:val="24"/>
                      </w:rPr>
                      <w:fldChar w:fldCharType="end"/>
                    </w:r>
                    <w:r>
                      <w:rPr>
                        <w:rFonts w:ascii="Times New Roman" w:hAnsi="Times New Roman"/>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1109D">
    <w:pPr>
      <w:pStyle w:val="14"/>
      <w:tabs>
        <w:tab w:val="clear" w:pos="4153"/>
        <w:tab w:val="clear" w:pos="8306"/>
      </w:tabs>
      <w:ind w:firstLine="0" w:firstLineChars="0"/>
      <w:jc w:val="center"/>
      <w:rPr>
        <w:rFonts w:hint="eastAsia"/>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83F08">
    <w:pPr>
      <w:pStyle w:val="14"/>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49DAF">
    <w:pPr>
      <w:pStyle w:val="14"/>
      <w:ind w:firstLine="36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DFAB">
    <w:pPr>
      <w:pStyle w:val="14"/>
      <w:pBdr>
        <w:bottom w:val="single" w:color="000000" w:sz="4" w:space="1"/>
      </w:pBdr>
      <w:tabs>
        <w:tab w:val="clear" w:pos="4153"/>
        <w:tab w:val="clear" w:pos="8306"/>
      </w:tabs>
      <w:ind w:firstLine="0" w:firstLineChars="0"/>
      <w:jc w:val="center"/>
      <w:rPr>
        <w:rFonts w:hint="eastAsia"/>
        <w:sz w:val="24"/>
        <w:szCs w:val="24"/>
      </w:rPr>
    </w:pPr>
    <w:r>
      <w:rPr>
        <w:rFonts w:hint="eastAsia"/>
        <w:sz w:val="24"/>
        <w:szCs w:val="24"/>
      </w:rPr>
      <w:t>随州市青春化工工业园区制度汇编</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CBA0E">
    <w:pPr>
      <w:pStyle w:val="14"/>
      <w:pBdr>
        <w:bottom w:val="single" w:color="000000" w:sz="4" w:space="1"/>
      </w:pBdr>
      <w:tabs>
        <w:tab w:val="clear" w:pos="4153"/>
        <w:tab w:val="clear" w:pos="8306"/>
      </w:tabs>
      <w:ind w:firstLine="0" w:firstLineChars="0"/>
      <w:jc w:val="center"/>
      <w:rPr>
        <w:rFonts w:hint="eastAsia"/>
        <w:sz w:val="24"/>
        <w:szCs w:val="24"/>
      </w:rPr>
    </w:pPr>
    <w:r>
      <w:rPr>
        <w:rFonts w:hint="eastAsia"/>
        <w:sz w:val="24"/>
        <w:szCs w:val="24"/>
      </w:rPr>
      <w:t>随州市青春化工工业园区制度汇编</w:t>
    </w:r>
  </w:p>
  <w:p w14:paraId="6061AF66">
    <w:pPr>
      <w:spacing w:line="14" w:lineRule="auto"/>
      <w:ind w:firstLine="40"/>
      <w:rPr>
        <w:rFonts w:hint="eastAsia"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C70299"/>
    <w:multiLevelType w:val="multilevel"/>
    <w:tmpl w:val="4AC70299"/>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DC8275F"/>
    <w:multiLevelType w:val="multilevel"/>
    <w:tmpl w:val="7DC8275F"/>
    <w:lvl w:ilvl="0" w:tentative="0">
      <w:start w:val="1"/>
      <w:numFmt w:val="chineseCounting"/>
      <w:suff w:val="nothing"/>
      <w:lvlText w:val="第%1章 "/>
      <w:lvlJc w:val="center"/>
      <w:pPr>
        <w:ind w:left="0" w:firstLine="0"/>
      </w:pPr>
      <w:rPr>
        <w:rFonts w:hint="eastAsia" w:eastAsia="方正小标宋简体"/>
        <w:sz w:val="44"/>
      </w:rPr>
    </w:lvl>
    <w:lvl w:ilvl="1" w:tentative="0">
      <w:start w:val="1"/>
      <w:numFmt w:val="chineseCounting"/>
      <w:suff w:val="nothing"/>
      <w:lvlText w:val="%2、"/>
      <w:lvlJc w:val="center"/>
      <w:pPr>
        <w:tabs>
          <w:tab w:val="left" w:pos="420"/>
        </w:tabs>
        <w:ind w:left="0" w:firstLine="0"/>
      </w:pPr>
      <w:rPr>
        <w:rFonts w:hint="eastAsia" w:ascii="宋体" w:hAnsi="宋体" w:eastAsia="宋体" w:cs="宋体"/>
        <w:sz w:val="36"/>
      </w:rPr>
    </w:lvl>
    <w:lvl w:ilvl="2" w:tentative="0">
      <w:start w:val="1"/>
      <w:numFmt w:val="decimal"/>
      <w:suff w:val="nothing"/>
      <w:lvlText w:val="%3．"/>
      <w:lvlJc w:val="left"/>
      <w:pPr>
        <w:ind w:left="0" w:firstLine="40"/>
      </w:pPr>
      <w:rPr>
        <w:rFonts w:hint="eastAsia" w:ascii="宋体" w:hAnsi="宋体" w:eastAsia="宋体" w:cs="宋体"/>
        <w:sz w:val="32"/>
      </w:rPr>
    </w:lvl>
    <w:lvl w:ilvl="3" w:tentative="0">
      <w:start w:val="1"/>
      <w:numFmt w:val="decimal"/>
      <w:pStyle w:val="5"/>
      <w:suff w:val="nothing"/>
      <w:lvlText w:val="（%4）"/>
      <w:lvlJc w:val="left"/>
      <w:pPr>
        <w:ind w:left="0" w:firstLine="40"/>
      </w:pPr>
      <w:rPr>
        <w:rFonts w:hint="eastAsia" w:ascii="宋体" w:hAnsi="宋体" w:eastAsia="宋体" w:cs="宋体"/>
        <w:sz w:val="32"/>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60"/>
  <w:drawingGridVerticalSpacing w:val="439"/>
  <w:displayHorizontalDrawingGridEvery w:val="2"/>
  <w:noPunctuationKerning w:val="1"/>
  <w:characterSpacingControl w:val="compressPunctuation"/>
  <w:footnotePr>
    <w:footnote w:id="0"/>
    <w:footnote w:id="1"/>
  </w:footnotePr>
  <w:endnotePr>
    <w:endnote w:id="0"/>
    <w:endnote w:id="1"/>
  </w:endnotePr>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17C"/>
    <w:rsid w:val="000833C2"/>
    <w:rsid w:val="000912FE"/>
    <w:rsid w:val="000D6F09"/>
    <w:rsid w:val="000F2999"/>
    <w:rsid w:val="00104AE5"/>
    <w:rsid w:val="00147727"/>
    <w:rsid w:val="00177A2D"/>
    <w:rsid w:val="00190FFC"/>
    <w:rsid w:val="0020733C"/>
    <w:rsid w:val="00217267"/>
    <w:rsid w:val="002531D0"/>
    <w:rsid w:val="00347EBD"/>
    <w:rsid w:val="00385081"/>
    <w:rsid w:val="003B6141"/>
    <w:rsid w:val="00475E16"/>
    <w:rsid w:val="0052647A"/>
    <w:rsid w:val="00554E33"/>
    <w:rsid w:val="006269FE"/>
    <w:rsid w:val="006426B7"/>
    <w:rsid w:val="006A2A79"/>
    <w:rsid w:val="006D46EE"/>
    <w:rsid w:val="006D6AC4"/>
    <w:rsid w:val="0075517C"/>
    <w:rsid w:val="007A5F0B"/>
    <w:rsid w:val="007C4DD3"/>
    <w:rsid w:val="00816188"/>
    <w:rsid w:val="008813CF"/>
    <w:rsid w:val="008B5280"/>
    <w:rsid w:val="00940FD9"/>
    <w:rsid w:val="00941D54"/>
    <w:rsid w:val="009539EF"/>
    <w:rsid w:val="00962161"/>
    <w:rsid w:val="009B0D3A"/>
    <w:rsid w:val="009F293A"/>
    <w:rsid w:val="00A01E4D"/>
    <w:rsid w:val="00A10160"/>
    <w:rsid w:val="00A110E6"/>
    <w:rsid w:val="00A4572B"/>
    <w:rsid w:val="00A822DD"/>
    <w:rsid w:val="00A94801"/>
    <w:rsid w:val="00AE2291"/>
    <w:rsid w:val="00BD1420"/>
    <w:rsid w:val="00C20B4D"/>
    <w:rsid w:val="00C34DE0"/>
    <w:rsid w:val="00CB05B9"/>
    <w:rsid w:val="00CB42BB"/>
    <w:rsid w:val="00CD57AB"/>
    <w:rsid w:val="00D20031"/>
    <w:rsid w:val="00DE6D09"/>
    <w:rsid w:val="00DF3BC6"/>
    <w:rsid w:val="00E84F28"/>
    <w:rsid w:val="00EF6532"/>
    <w:rsid w:val="00F50F28"/>
    <w:rsid w:val="00F73217"/>
    <w:rsid w:val="00F91319"/>
    <w:rsid w:val="00F94E4C"/>
    <w:rsid w:val="00FC3815"/>
    <w:rsid w:val="00FE39EB"/>
    <w:rsid w:val="01E20258"/>
    <w:rsid w:val="02662C63"/>
    <w:rsid w:val="05EC15B2"/>
    <w:rsid w:val="083B6EE9"/>
    <w:rsid w:val="092A3975"/>
    <w:rsid w:val="09BD60EE"/>
    <w:rsid w:val="0A717D1C"/>
    <w:rsid w:val="0A872C89"/>
    <w:rsid w:val="0CD45C4C"/>
    <w:rsid w:val="0D462DBA"/>
    <w:rsid w:val="0E5C239D"/>
    <w:rsid w:val="0F523B20"/>
    <w:rsid w:val="11C21565"/>
    <w:rsid w:val="17853011"/>
    <w:rsid w:val="180434CE"/>
    <w:rsid w:val="18B16059"/>
    <w:rsid w:val="1D794318"/>
    <w:rsid w:val="1DEA3522"/>
    <w:rsid w:val="1DEB1007"/>
    <w:rsid w:val="26FE3B9A"/>
    <w:rsid w:val="287A0B56"/>
    <w:rsid w:val="2BDF2ACB"/>
    <w:rsid w:val="2C9F25CE"/>
    <w:rsid w:val="2CCD59C8"/>
    <w:rsid w:val="2EC27BB0"/>
    <w:rsid w:val="308E4222"/>
    <w:rsid w:val="336B7AB3"/>
    <w:rsid w:val="33BE7E93"/>
    <w:rsid w:val="346F0BAC"/>
    <w:rsid w:val="35E01702"/>
    <w:rsid w:val="384358F7"/>
    <w:rsid w:val="38F11FDC"/>
    <w:rsid w:val="3C8D359E"/>
    <w:rsid w:val="3E7FFA9F"/>
    <w:rsid w:val="444B446B"/>
    <w:rsid w:val="499C719C"/>
    <w:rsid w:val="4A663F8C"/>
    <w:rsid w:val="4A7E0D64"/>
    <w:rsid w:val="4AB92029"/>
    <w:rsid w:val="4C6F0F12"/>
    <w:rsid w:val="50296ED2"/>
    <w:rsid w:val="554D552F"/>
    <w:rsid w:val="589D5490"/>
    <w:rsid w:val="58E9676F"/>
    <w:rsid w:val="5D6AE156"/>
    <w:rsid w:val="5D6D7DD8"/>
    <w:rsid w:val="5FC16AAB"/>
    <w:rsid w:val="5FE6FF53"/>
    <w:rsid w:val="6067768C"/>
    <w:rsid w:val="609E371C"/>
    <w:rsid w:val="62002009"/>
    <w:rsid w:val="651E7668"/>
    <w:rsid w:val="672158EA"/>
    <w:rsid w:val="68BE2CB7"/>
    <w:rsid w:val="69CB505C"/>
    <w:rsid w:val="6A507835"/>
    <w:rsid w:val="6A9036B3"/>
    <w:rsid w:val="6B6115DA"/>
    <w:rsid w:val="7688019A"/>
    <w:rsid w:val="77CB59CE"/>
    <w:rsid w:val="7A27C0FD"/>
    <w:rsid w:val="7A553813"/>
    <w:rsid w:val="7E4D1191"/>
    <w:rsid w:val="7FB2632C"/>
    <w:rsid w:val="7FDF42ED"/>
    <w:rsid w:val="AC78F8CD"/>
    <w:rsid w:val="ADE6F1A8"/>
    <w:rsid w:val="BFEF2698"/>
    <w:rsid w:val="CCFED64A"/>
    <w:rsid w:val="DF871AFC"/>
    <w:rsid w:val="ED5F497A"/>
    <w:rsid w:val="EF773F39"/>
    <w:rsid w:val="EFFF1D21"/>
    <w:rsid w:val="FEFF0804"/>
    <w:rsid w:val="FF979A28"/>
    <w:rsid w:val="FFF363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仿宋_GB2312" w:hAnsi="仿宋_GB2312" w:eastAsia="仿宋_GB2312" w:cs="Times New Roman"/>
      <w:kern w:val="2"/>
      <w:sz w:val="32"/>
      <w:szCs w:val="22"/>
      <w:lang w:val="en-US" w:eastAsia="zh-CN" w:bidi="ar-SA"/>
    </w:rPr>
  </w:style>
  <w:style w:type="paragraph" w:styleId="2">
    <w:name w:val="heading 1"/>
    <w:basedOn w:val="1"/>
    <w:next w:val="1"/>
    <w:link w:val="29"/>
    <w:qFormat/>
    <w:uiPriority w:val="0"/>
    <w:pPr>
      <w:keepNext/>
      <w:keepLines/>
      <w:spacing w:before="340" w:after="330" w:line="576" w:lineRule="auto"/>
      <w:ind w:firstLine="0" w:firstLineChars="0"/>
      <w:jc w:val="center"/>
      <w:outlineLvl w:val="0"/>
    </w:pPr>
    <w:rPr>
      <w:rFonts w:eastAsia="方正小标宋简体"/>
      <w:b/>
      <w:kern w:val="44"/>
      <w:sz w:val="44"/>
    </w:rPr>
  </w:style>
  <w:style w:type="paragraph" w:styleId="3">
    <w:name w:val="heading 2"/>
    <w:basedOn w:val="1"/>
    <w:next w:val="1"/>
    <w:qFormat/>
    <w:uiPriority w:val="0"/>
    <w:pPr>
      <w:keepNext/>
      <w:keepLines/>
      <w:spacing w:line="360" w:lineRule="auto"/>
      <w:jc w:val="center"/>
      <w:outlineLvl w:val="1"/>
    </w:pPr>
    <w:rPr>
      <w:rFonts w:ascii="Arial" w:hAnsi="Arial" w:eastAsia="方正小标宋简体"/>
      <w:b/>
      <w:sz w:val="36"/>
    </w:rPr>
  </w:style>
  <w:style w:type="paragraph" w:styleId="4">
    <w:name w:val="heading 3"/>
    <w:basedOn w:val="1"/>
    <w:next w:val="1"/>
    <w:link w:val="33"/>
    <w:qFormat/>
    <w:uiPriority w:val="0"/>
    <w:pPr>
      <w:keepNext/>
      <w:keepLines/>
      <w:autoSpaceDE w:val="0"/>
      <w:autoSpaceDN w:val="0"/>
      <w:ind w:firstLine="1040"/>
      <w:outlineLvl w:val="2"/>
    </w:pPr>
    <w:rPr>
      <w:rFonts w:eastAsia="楷体_GB2312"/>
      <w:b/>
    </w:rPr>
  </w:style>
  <w:style w:type="paragraph" w:styleId="5">
    <w:name w:val="heading 4"/>
    <w:basedOn w:val="1"/>
    <w:next w:val="1"/>
    <w:qFormat/>
    <w:uiPriority w:val="0"/>
    <w:pPr>
      <w:keepNext/>
      <w:keepLines/>
      <w:numPr>
        <w:ilvl w:val="3"/>
        <w:numId w:val="1"/>
      </w:numPr>
      <w:spacing w:before="280" w:after="290" w:line="372" w:lineRule="auto"/>
      <w:ind w:firstLine="0" w:firstLineChars="0"/>
      <w:outlineLvl w:val="3"/>
    </w:pPr>
    <w:rPr>
      <w:rFonts w:ascii="Arial" w:hAnsi="Arial" w:eastAsia="黑体"/>
      <w:b/>
      <w:sz w:val="28"/>
    </w:rPr>
  </w:style>
  <w:style w:type="character" w:default="1" w:styleId="23">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7">
    <w:name w:val="caption"/>
    <w:basedOn w:val="1"/>
    <w:next w:val="1"/>
    <w:unhideWhenUsed/>
    <w:qFormat/>
    <w:uiPriority w:val="0"/>
    <w:pPr>
      <w:ind w:firstLine="0" w:firstLineChars="0"/>
    </w:pPr>
    <w:rPr>
      <w:rFonts w:ascii="Calibri Light" w:hAnsi="Calibri Light" w:eastAsia="黑体"/>
      <w:sz w:val="20"/>
      <w:szCs w:val="20"/>
    </w:rPr>
  </w:style>
  <w:style w:type="paragraph" w:styleId="8">
    <w:name w:val="annotation text"/>
    <w:basedOn w:val="1"/>
    <w:link w:val="26"/>
    <w:unhideWhenUsed/>
    <w:qFormat/>
    <w:uiPriority w:val="99"/>
    <w:pPr>
      <w:jc w:val="left"/>
    </w:pPr>
  </w:style>
  <w:style w:type="paragraph" w:styleId="9">
    <w:name w:val="Body Text"/>
    <w:basedOn w:val="1"/>
    <w:qFormat/>
    <w:uiPriority w:val="0"/>
    <w:pPr>
      <w:spacing w:after="120"/>
    </w:pPr>
    <w:rPr>
      <w:rFonts w:ascii="Calibri" w:hAnsi="Calibri" w:eastAsia="宋体"/>
    </w:rPr>
  </w:style>
  <w:style w:type="paragraph" w:styleId="10">
    <w:name w:val="Body Text Indent"/>
    <w:basedOn w:val="1"/>
    <w:next w:val="6"/>
    <w:unhideWhenUsed/>
    <w:qFormat/>
    <w:uiPriority w:val="99"/>
    <w:pPr>
      <w:spacing w:after="120"/>
      <w:ind w:left="420" w:leftChars="200"/>
    </w:pPr>
  </w:style>
  <w:style w:type="paragraph" w:styleId="11">
    <w:name w:val="toc 3"/>
    <w:basedOn w:val="1"/>
    <w:next w:val="1"/>
    <w:qFormat/>
    <w:uiPriority w:val="0"/>
    <w:pPr>
      <w:ind w:left="840" w:leftChars="400"/>
    </w:pPr>
  </w:style>
  <w:style w:type="paragraph" w:styleId="12">
    <w:name w:val="Balloon Text"/>
    <w:basedOn w:val="1"/>
    <w:link w:val="31"/>
    <w:qFormat/>
    <w:uiPriority w:val="0"/>
    <w:pPr>
      <w:spacing w:line="240" w:lineRule="auto"/>
    </w:pPr>
    <w:rPr>
      <w:sz w:val="18"/>
      <w:szCs w:val="18"/>
    </w:rPr>
  </w:style>
  <w:style w:type="paragraph" w:styleId="13">
    <w:name w:val="footer"/>
    <w:basedOn w:val="1"/>
    <w:qFormat/>
    <w:uiPriority w:val="99"/>
    <w:pPr>
      <w:tabs>
        <w:tab w:val="center" w:pos="4153"/>
        <w:tab w:val="right" w:pos="8306"/>
      </w:tabs>
      <w:spacing w:line="240" w:lineRule="atLeast"/>
      <w:jc w:val="left"/>
    </w:pPr>
    <w:rPr>
      <w:sz w:val="18"/>
      <w:szCs w:val="18"/>
    </w:rPr>
  </w:style>
  <w:style w:type="paragraph" w:styleId="14">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pacing w:line="240" w:lineRule="auto"/>
    </w:pPr>
    <w:rPr>
      <w:sz w:val="18"/>
    </w:rPr>
  </w:style>
  <w:style w:type="paragraph" w:styleId="15">
    <w:name w:val="toc 1"/>
    <w:basedOn w:val="1"/>
    <w:next w:val="1"/>
    <w:qFormat/>
    <w:uiPriority w:val="0"/>
    <w:pPr>
      <w:spacing w:line="400" w:lineRule="exact"/>
      <w:ind w:firstLine="0" w:firstLineChars="0"/>
    </w:pPr>
    <w:rPr>
      <w:rFonts w:eastAsia="黑体"/>
    </w:rPr>
  </w:style>
  <w:style w:type="paragraph" w:styleId="16">
    <w:name w:val="toc 2"/>
    <w:basedOn w:val="1"/>
    <w:next w:val="1"/>
    <w:qFormat/>
    <w:uiPriority w:val="0"/>
    <w:pPr>
      <w:spacing w:line="400" w:lineRule="exact"/>
    </w:p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Title"/>
    <w:basedOn w:val="1"/>
    <w:next w:val="1"/>
    <w:qFormat/>
    <w:uiPriority w:val="0"/>
    <w:pPr>
      <w:spacing w:before="240" w:after="60"/>
      <w:jc w:val="center"/>
      <w:outlineLvl w:val="0"/>
    </w:pPr>
    <w:rPr>
      <w:rFonts w:ascii="等线 Light" w:hAnsi="等线 Light"/>
      <w:b/>
      <w:bCs/>
      <w:sz w:val="44"/>
      <w:szCs w:val="32"/>
    </w:rPr>
  </w:style>
  <w:style w:type="paragraph" w:styleId="19">
    <w:name w:val="annotation subject"/>
    <w:basedOn w:val="8"/>
    <w:next w:val="8"/>
    <w:link w:val="28"/>
    <w:qFormat/>
    <w:uiPriority w:val="0"/>
    <w:rPr>
      <w:b/>
      <w:bCs/>
    </w:rPr>
  </w:style>
  <w:style w:type="paragraph" w:styleId="20">
    <w:name w:val="Body Text First Indent 2"/>
    <w:basedOn w:val="10"/>
    <w:next w:val="1"/>
    <w:unhideWhenUsed/>
    <w:qFormat/>
    <w:uiPriority w:val="99"/>
    <w:pPr>
      <w:ind w:firstLine="42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unhideWhenUsed/>
    <w:qFormat/>
    <w:uiPriority w:val="99"/>
    <w:rPr>
      <w:color w:val="0000FF"/>
      <w:u w:val="single"/>
    </w:rPr>
  </w:style>
  <w:style w:type="character" w:styleId="25">
    <w:name w:val="annotation reference"/>
    <w:qFormat/>
    <w:uiPriority w:val="0"/>
    <w:rPr>
      <w:sz w:val="21"/>
      <w:szCs w:val="21"/>
    </w:rPr>
  </w:style>
  <w:style w:type="character" w:customStyle="1" w:styleId="26">
    <w:name w:val="批注文字 字符"/>
    <w:link w:val="8"/>
    <w:qFormat/>
    <w:uiPriority w:val="99"/>
    <w:rPr>
      <w:rFonts w:ascii="仿宋_GB2312" w:hAnsi="仿宋_GB2312" w:eastAsia="仿宋_GB2312"/>
      <w:kern w:val="2"/>
      <w:sz w:val="32"/>
      <w:szCs w:val="22"/>
    </w:rPr>
  </w:style>
  <w:style w:type="character" w:customStyle="1" w:styleId="27">
    <w:name w:val="NormalCharacter1"/>
    <w:semiHidden/>
    <w:qFormat/>
    <w:uiPriority w:val="0"/>
  </w:style>
  <w:style w:type="character" w:customStyle="1" w:styleId="28">
    <w:name w:val="批注主题 字符"/>
    <w:link w:val="19"/>
    <w:qFormat/>
    <w:uiPriority w:val="0"/>
    <w:rPr>
      <w:rFonts w:ascii="仿宋_GB2312" w:hAnsi="仿宋_GB2312" w:eastAsia="仿宋_GB2312"/>
      <w:b/>
      <w:bCs/>
      <w:kern w:val="2"/>
      <w:sz w:val="32"/>
      <w:szCs w:val="22"/>
    </w:rPr>
  </w:style>
  <w:style w:type="character" w:customStyle="1" w:styleId="29">
    <w:name w:val="标题 1 字符"/>
    <w:basedOn w:val="23"/>
    <w:link w:val="2"/>
    <w:qFormat/>
    <w:uiPriority w:val="9"/>
    <w:rPr>
      <w:rFonts w:eastAsia="方正小标宋简体"/>
      <w:b/>
      <w:kern w:val="44"/>
      <w:sz w:val="44"/>
    </w:rPr>
  </w:style>
  <w:style w:type="paragraph" w:customStyle="1" w:styleId="30">
    <w:name w:val="a报告正文"/>
    <w:qFormat/>
    <w:uiPriority w:val="0"/>
    <w:pPr>
      <w:spacing w:line="480" w:lineRule="exact"/>
      <w:ind w:firstLine="560" w:firstLineChars="200"/>
      <w:jc w:val="both"/>
    </w:pPr>
    <w:rPr>
      <w:rFonts w:ascii="Times New Roman" w:hAnsi="Times New Roman" w:eastAsia="仿宋_GB2312" w:cs="Times New Roman"/>
      <w:sz w:val="28"/>
      <w:lang w:val="en-US" w:eastAsia="zh-CN" w:bidi="ar-SA"/>
    </w:rPr>
  </w:style>
  <w:style w:type="character" w:customStyle="1" w:styleId="31">
    <w:name w:val="批注框文本 字符"/>
    <w:link w:val="12"/>
    <w:qFormat/>
    <w:uiPriority w:val="0"/>
    <w:rPr>
      <w:rFonts w:ascii="仿宋_GB2312" w:hAnsi="仿宋_GB2312" w:eastAsia="仿宋_GB2312"/>
      <w:kern w:val="2"/>
      <w:sz w:val="18"/>
      <w:szCs w:val="18"/>
    </w:rPr>
  </w:style>
  <w:style w:type="paragraph" w:customStyle="1" w:styleId="32">
    <w:name w:val="Default"/>
    <w:next w:val="1"/>
    <w:qFormat/>
    <w:uiPriority w:val="0"/>
    <w:pPr>
      <w:widowControl w:val="0"/>
      <w:autoSpaceDE w:val="0"/>
      <w:autoSpaceDN w:val="0"/>
    </w:pPr>
    <w:rPr>
      <w:rFonts w:ascii="宋体" w:hAnsi="Times New Roman" w:eastAsia="宋体" w:cs="宋体"/>
      <w:color w:val="000000"/>
      <w:sz w:val="24"/>
      <w:szCs w:val="24"/>
      <w:lang w:val="en-US" w:eastAsia="zh-CN" w:bidi="ar-SA"/>
    </w:rPr>
  </w:style>
  <w:style w:type="character" w:customStyle="1" w:styleId="33">
    <w:name w:val="标题 3 字符"/>
    <w:link w:val="4"/>
    <w:qFormat/>
    <w:uiPriority w:val="0"/>
    <w:rPr>
      <w:rFonts w:eastAsia="楷体_GB2312"/>
      <w:b/>
    </w:rPr>
  </w:style>
  <w:style w:type="paragraph" w:styleId="34">
    <w:name w:val="List Paragraph"/>
    <w:basedOn w:val="1"/>
    <w:qFormat/>
    <w:uiPriority w:val="1"/>
    <w:pPr>
      <w:spacing w:before="130"/>
      <w:ind w:left="226" w:firstLine="640"/>
    </w:pPr>
  </w:style>
  <w:style w:type="table" w:customStyle="1" w:styleId="35">
    <w:name w:val="Table Normal"/>
    <w:semiHidden/>
    <w:unhideWhenUsed/>
    <w:qFormat/>
    <w:uiPriority w:val="0"/>
    <w:tblPr>
      <w:tblCellMar>
        <w:top w:w="0" w:type="dxa"/>
        <w:left w:w="0" w:type="dxa"/>
        <w:bottom w:w="0" w:type="dxa"/>
        <w:right w:w="0" w:type="dxa"/>
      </w:tblCellMar>
    </w:tblPr>
  </w:style>
  <w:style w:type="paragraph" w:customStyle="1" w:styleId="36">
    <w:name w:val="Table Text"/>
    <w:basedOn w:val="1"/>
    <w:semiHidden/>
    <w:qFormat/>
    <w:uiPriority w:val="0"/>
    <w:rPr>
      <w:rFonts w:cs="仿宋_GB2312"/>
      <w:sz w:val="22"/>
      <w:lang w:eastAsia="en-US"/>
    </w:rPr>
  </w:style>
  <w:style w:type="paragraph" w:customStyle="1" w:styleId="37">
    <w:name w:val="Table Paragraph"/>
    <w:basedOn w:val="1"/>
    <w:qFormat/>
    <w:uiPriority w:val="1"/>
  </w:style>
  <w:style w:type="paragraph" w:customStyle="1" w:styleId="38">
    <w:name w:val="acbfdd8b-e11b-4d36-88ff-6049b138f862"/>
    <w:basedOn w:val="1"/>
    <w:link w:val="39"/>
    <w:qFormat/>
    <w:uiPriority w:val="0"/>
    <w:pPr>
      <w:adjustRightInd w:val="0"/>
      <w:spacing w:line="288" w:lineRule="auto"/>
      <w:ind w:firstLine="0"/>
      <w:jc w:val="left"/>
    </w:pPr>
    <w:rPr>
      <w:rFonts w:ascii="微软雅黑" w:hAnsi="微软雅黑" w:eastAsia="微软雅黑"/>
      <w:color w:val="000000"/>
      <w:sz w:val="22"/>
    </w:rPr>
  </w:style>
  <w:style w:type="character" w:customStyle="1" w:styleId="39">
    <w:name w:val="acbfdd8b-e11b-4d36-88ff-6049b138f862 字符"/>
    <w:basedOn w:val="23"/>
    <w:link w:val="38"/>
    <w:qFormat/>
    <w:uiPriority w:val="0"/>
    <w:rPr>
      <w:rFonts w:ascii="微软雅黑" w:hAnsi="微软雅黑" w:eastAsia="微软雅黑"/>
      <w:color w:val="000000"/>
      <w:kern w:val="2"/>
      <w:sz w:val="22"/>
      <w:szCs w:val="22"/>
    </w:rPr>
  </w:style>
  <w:style w:type="character" w:customStyle="1" w:styleId="40">
    <w:name w:val="15"/>
    <w:basedOn w:val="23"/>
    <w:qFormat/>
    <w:uiPriority w:val="0"/>
    <w:rPr>
      <w:rFonts w:hint="eastAsia" w:ascii="宋体" w:hAnsi="宋体" w:eastAsia="宋体"/>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jpeg"/><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179</Pages>
  <Words>25217</Words>
  <Characters>26103</Characters>
  <Lines>2395</Lines>
  <Paragraphs>1884</Paragraphs>
  <TotalTime>1</TotalTime>
  <ScaleCrop>false</ScaleCrop>
  <LinksUpToDate>false</LinksUpToDate>
  <CharactersWithSpaces>26301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2024-10-17T23:15:00Z</dcterms:created>
  <dc:creator>user</dc:creator>
  <cp:lastModifiedBy>丽丽</cp:lastModifiedBy>
  <cp:lastPrinted>2025-06-20T08:49:00Z</cp:lastPrinted>
  <dcterms:modified xsi:type="dcterms:W3CDTF">2025-07-23T00:36:08Z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A6A8BC4C5FEB47F885B511C8AA95A430_13</vt:lpwstr>
  </property>
  <property fmtid="{D5CDD505-2E9C-101B-9397-08002B2CF9AE}" pid="4" name="KSOTemplateDocerSaveRecord">
    <vt:lpwstr>eyJoZGlkIjoiMzYyYWJlNGVjOTlhNWNkZDc5OTVlMTI3YjViMTA1NjMiLCJ1c2VySWQiOiI5NDU5NTAwMTgifQ==</vt:lpwstr>
  </property>
</Properties>
</file>