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4" w:line="225" w:lineRule="auto"/>
        <w:ind w:left="35"/>
        <w:rPr>
          <w:rFonts w:ascii="黑体" w:hAnsi="黑体" w:eastAsia="黑体" w:cs="黑体"/>
          <w:spacing w:val="-10"/>
          <w:sz w:val="32"/>
          <w:szCs w:val="32"/>
          <w:highlight w:val="none"/>
        </w:rPr>
      </w:pPr>
      <w:r>
        <w:rPr>
          <w:rFonts w:ascii="黑体" w:hAnsi="黑体" w:eastAsia="黑体" w:cs="黑体"/>
          <w:spacing w:val="-10"/>
          <w:sz w:val="32"/>
          <w:szCs w:val="32"/>
          <w:highlight w:val="none"/>
        </w:rPr>
        <w:t>附件3</w:t>
      </w:r>
    </w:p>
    <w:p>
      <w:pPr>
        <w:spacing w:before="104" w:line="225" w:lineRule="auto"/>
        <w:ind w:left="35"/>
        <w:rPr>
          <w:rFonts w:ascii="黑体" w:hAnsi="黑体" w:eastAsia="黑体" w:cs="黑体"/>
          <w:spacing w:val="-1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12" w:lineRule="auto"/>
        <w:ind w:left="0"/>
        <w:jc w:val="center"/>
        <w:textAlignment w:val="baseline"/>
        <w:rPr>
          <w:rFonts w:hint="eastAsia" w:ascii="方正小标宋简体" w:hAnsi="方正小标宋简体" w:eastAsia="方正小标宋简体" w:cs="方正小标宋简体"/>
          <w:spacing w:val="-1"/>
          <w:sz w:val="40"/>
          <w:szCs w:val="40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pacing w:val="-1"/>
          <w:sz w:val="40"/>
          <w:szCs w:val="40"/>
          <w:highlight w:val="none"/>
          <w:lang w:val="en-US" w:eastAsia="zh-CN"/>
        </w:rPr>
        <w:t>随州高新区各相关单位</w:t>
      </w:r>
      <w:r>
        <w:rPr>
          <w:rFonts w:hint="eastAsia" w:ascii="方正小标宋简体" w:hAnsi="方正小标宋简体" w:eastAsia="方正小标宋简体" w:cs="方正小标宋简体"/>
          <w:spacing w:val="-1"/>
          <w:sz w:val="40"/>
          <w:szCs w:val="40"/>
          <w:highlight w:val="none"/>
        </w:rPr>
        <w:t>惠企政策发言人名单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12" w:lineRule="auto"/>
        <w:ind w:left="0"/>
        <w:jc w:val="center"/>
        <w:textAlignment w:val="baseline"/>
        <w:rPr>
          <w:rFonts w:hint="eastAsia" w:ascii="仿宋_GB2312" w:hAnsi="仿宋_GB2312" w:eastAsia="仿宋_GB2312" w:cs="仿宋_GB2312"/>
          <w:spacing w:val="-1"/>
          <w:sz w:val="32"/>
          <w:szCs w:val="32"/>
          <w:highlight w:val="none"/>
        </w:rPr>
      </w:pPr>
    </w:p>
    <w:p>
      <w:pPr>
        <w:spacing w:line="23" w:lineRule="exact"/>
        <w:rPr>
          <w:highlight w:val="none"/>
        </w:rPr>
      </w:pPr>
    </w:p>
    <w:tbl>
      <w:tblPr>
        <w:tblStyle w:val="6"/>
        <w:tblW w:w="8850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4"/>
        <w:gridCol w:w="2753"/>
        <w:gridCol w:w="2295"/>
        <w:gridCol w:w="299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804" w:type="dxa"/>
            <w:vAlign w:val="center"/>
          </w:tcPr>
          <w:p>
            <w:pPr>
              <w:spacing w:before="187" w:line="223" w:lineRule="auto"/>
              <w:ind w:left="157"/>
              <w:jc w:val="center"/>
              <w:rPr>
                <w:rFonts w:ascii="黑体" w:hAnsi="黑体" w:eastAsia="黑体" w:cs="黑体"/>
                <w:sz w:val="32"/>
                <w:szCs w:val="32"/>
                <w:highlight w:val="none"/>
              </w:rPr>
            </w:pPr>
            <w:r>
              <w:rPr>
                <w:rFonts w:ascii="黑体" w:hAnsi="黑体" w:eastAsia="黑体" w:cs="黑体"/>
                <w:spacing w:val="-3"/>
                <w:sz w:val="32"/>
                <w:szCs w:val="32"/>
                <w:highlight w:val="none"/>
              </w:rPr>
              <w:t>序号</w:t>
            </w:r>
          </w:p>
        </w:tc>
        <w:tc>
          <w:tcPr>
            <w:tcW w:w="2753" w:type="dxa"/>
            <w:vAlign w:val="center"/>
          </w:tcPr>
          <w:p>
            <w:pPr>
              <w:spacing w:before="187" w:line="222" w:lineRule="auto"/>
              <w:jc w:val="center"/>
              <w:rPr>
                <w:rFonts w:ascii="黑体" w:hAnsi="黑体" w:eastAsia="黑体" w:cs="黑体"/>
                <w:sz w:val="32"/>
                <w:szCs w:val="32"/>
                <w:highlight w:val="none"/>
              </w:rPr>
            </w:pPr>
            <w:r>
              <w:rPr>
                <w:rFonts w:ascii="黑体" w:hAnsi="黑体" w:eastAsia="黑体" w:cs="黑体"/>
                <w:spacing w:val="-4"/>
                <w:sz w:val="32"/>
                <w:szCs w:val="32"/>
                <w:highlight w:val="none"/>
              </w:rPr>
              <w:t>单位</w:t>
            </w:r>
          </w:p>
        </w:tc>
        <w:tc>
          <w:tcPr>
            <w:tcW w:w="2295" w:type="dxa"/>
            <w:vAlign w:val="center"/>
          </w:tcPr>
          <w:p>
            <w:pPr>
              <w:spacing w:before="33"/>
              <w:jc w:val="center"/>
              <w:rPr>
                <w:rFonts w:ascii="黑体" w:hAnsi="黑体" w:eastAsia="黑体" w:cs="黑体"/>
                <w:sz w:val="32"/>
                <w:szCs w:val="32"/>
                <w:highlight w:val="none"/>
              </w:rPr>
            </w:pPr>
            <w:r>
              <w:rPr>
                <w:rFonts w:ascii="黑体" w:hAnsi="黑体" w:eastAsia="黑体" w:cs="黑体"/>
                <w:spacing w:val="-3"/>
                <w:sz w:val="32"/>
                <w:szCs w:val="32"/>
                <w:highlight w:val="none"/>
              </w:rPr>
              <w:t>惠企政策发言人</w:t>
            </w:r>
          </w:p>
        </w:tc>
        <w:tc>
          <w:tcPr>
            <w:tcW w:w="2998" w:type="dxa"/>
            <w:vAlign w:val="center"/>
          </w:tcPr>
          <w:p>
            <w:pPr>
              <w:spacing w:before="187" w:line="221" w:lineRule="auto"/>
              <w:jc w:val="center"/>
              <w:rPr>
                <w:rFonts w:ascii="黑体" w:hAnsi="黑体" w:eastAsia="黑体" w:cs="黑体"/>
                <w:sz w:val="32"/>
                <w:szCs w:val="32"/>
                <w:highlight w:val="none"/>
              </w:rPr>
            </w:pPr>
            <w:r>
              <w:rPr>
                <w:rFonts w:ascii="黑体" w:hAnsi="黑体" w:eastAsia="黑体" w:cs="黑体"/>
                <w:spacing w:val="-3"/>
                <w:sz w:val="32"/>
                <w:szCs w:val="32"/>
                <w:highlight w:val="none"/>
              </w:rPr>
              <w:t>职务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62" w:hRule="atLeast"/>
        </w:trPr>
        <w:tc>
          <w:tcPr>
            <w:tcW w:w="804" w:type="dxa"/>
            <w:vAlign w:val="center"/>
          </w:tcPr>
          <w:p>
            <w:pPr>
              <w:spacing w:before="92" w:line="183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1</w:t>
            </w:r>
          </w:p>
        </w:tc>
        <w:tc>
          <w:tcPr>
            <w:tcW w:w="2753" w:type="dxa"/>
            <w:vAlign w:val="center"/>
          </w:tcPr>
          <w:p>
            <w:pPr>
              <w:spacing w:before="58" w:line="221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8"/>
                <w:szCs w:val="28"/>
                <w:highlight w:val="none"/>
                <w:lang w:val="en-US" w:eastAsia="zh-CN"/>
              </w:rPr>
              <w:t>区经济发展局</w:t>
            </w:r>
          </w:p>
        </w:tc>
        <w:tc>
          <w:tcPr>
            <w:tcW w:w="2295" w:type="dxa"/>
            <w:vAlign w:val="center"/>
          </w:tcPr>
          <w:p>
            <w:pPr>
              <w:spacing w:before="57" w:line="221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方旖旎</w:t>
            </w:r>
          </w:p>
          <w:p>
            <w:pPr>
              <w:spacing w:before="57" w:line="221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李  灵</w:t>
            </w:r>
          </w:p>
        </w:tc>
        <w:tc>
          <w:tcPr>
            <w:tcW w:w="2998" w:type="dxa"/>
            <w:vAlign w:val="center"/>
          </w:tcPr>
          <w:p>
            <w:pPr>
              <w:spacing w:before="57" w:line="22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经信负责人</w:t>
            </w:r>
          </w:p>
          <w:p>
            <w:pPr>
              <w:spacing w:before="57" w:line="220" w:lineRule="auto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highlight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商务负责人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804" w:type="dxa"/>
            <w:vAlign w:val="center"/>
          </w:tcPr>
          <w:p>
            <w:pPr>
              <w:spacing w:before="93" w:line="182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2</w:t>
            </w:r>
          </w:p>
        </w:tc>
        <w:tc>
          <w:tcPr>
            <w:tcW w:w="2753" w:type="dxa"/>
            <w:vAlign w:val="center"/>
          </w:tcPr>
          <w:p>
            <w:pPr>
              <w:spacing w:before="57" w:line="221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8"/>
                <w:szCs w:val="28"/>
                <w:highlight w:val="none"/>
                <w:lang w:val="en-US" w:eastAsia="zh-CN"/>
              </w:rPr>
              <w:t>区</w:t>
            </w:r>
            <w:r>
              <w:rPr>
                <w:rFonts w:hint="eastAsia" w:ascii="仿宋_GB2312" w:hAnsi="仿宋_GB2312" w:eastAsia="仿宋_GB2312" w:cs="仿宋_GB2312"/>
                <w:spacing w:val="-2"/>
                <w:sz w:val="28"/>
                <w:szCs w:val="28"/>
                <w:highlight w:val="none"/>
              </w:rPr>
              <w:t>科技</w:t>
            </w:r>
            <w:r>
              <w:rPr>
                <w:rFonts w:hint="eastAsia" w:ascii="仿宋_GB2312" w:hAnsi="仿宋_GB2312" w:eastAsia="仿宋_GB2312" w:cs="仿宋_GB2312"/>
                <w:spacing w:val="-2"/>
                <w:sz w:val="28"/>
                <w:szCs w:val="28"/>
                <w:highlight w:val="none"/>
                <w:lang w:val="en-US" w:eastAsia="zh-CN"/>
              </w:rPr>
              <w:t>创新</w:t>
            </w:r>
            <w:r>
              <w:rPr>
                <w:rFonts w:hint="eastAsia" w:ascii="仿宋_GB2312" w:hAnsi="仿宋_GB2312" w:eastAsia="仿宋_GB2312" w:cs="仿宋_GB2312"/>
                <w:spacing w:val="-2"/>
                <w:sz w:val="28"/>
                <w:szCs w:val="28"/>
                <w:highlight w:val="none"/>
              </w:rPr>
              <w:t>局</w:t>
            </w:r>
          </w:p>
        </w:tc>
        <w:tc>
          <w:tcPr>
            <w:tcW w:w="2295" w:type="dxa"/>
            <w:vAlign w:val="center"/>
          </w:tcPr>
          <w:p>
            <w:pPr>
              <w:spacing w:before="58" w:line="221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熊秋菊</w:t>
            </w:r>
          </w:p>
        </w:tc>
        <w:tc>
          <w:tcPr>
            <w:tcW w:w="2998" w:type="dxa"/>
            <w:vAlign w:val="center"/>
          </w:tcPr>
          <w:p>
            <w:pPr>
              <w:spacing w:before="57" w:line="221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科技/火炬统计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负责人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804" w:type="dxa"/>
            <w:vAlign w:val="center"/>
          </w:tcPr>
          <w:p>
            <w:pPr>
              <w:spacing w:before="96" w:line="181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3</w:t>
            </w:r>
          </w:p>
        </w:tc>
        <w:tc>
          <w:tcPr>
            <w:tcW w:w="2753" w:type="dxa"/>
            <w:vAlign w:val="center"/>
          </w:tcPr>
          <w:p>
            <w:pPr>
              <w:spacing w:before="59" w:line="221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8"/>
                <w:szCs w:val="28"/>
                <w:highlight w:val="none"/>
                <w:lang w:val="en-US" w:eastAsia="zh-CN"/>
              </w:rPr>
              <w:t>区财政金融局</w:t>
            </w:r>
          </w:p>
        </w:tc>
        <w:tc>
          <w:tcPr>
            <w:tcW w:w="2295" w:type="dxa"/>
            <w:vAlign w:val="center"/>
          </w:tcPr>
          <w:p>
            <w:pPr>
              <w:spacing w:before="59" w:line="221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刘  伟</w:t>
            </w:r>
          </w:p>
        </w:tc>
        <w:tc>
          <w:tcPr>
            <w:tcW w:w="2998" w:type="dxa"/>
            <w:vAlign w:val="center"/>
          </w:tcPr>
          <w:p>
            <w:pPr>
              <w:spacing w:before="59" w:line="221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农业科科长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804" w:type="dxa"/>
            <w:vAlign w:val="center"/>
          </w:tcPr>
          <w:p>
            <w:pPr>
              <w:spacing w:before="96" w:line="182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4</w:t>
            </w:r>
          </w:p>
        </w:tc>
        <w:tc>
          <w:tcPr>
            <w:tcW w:w="2753" w:type="dxa"/>
            <w:vAlign w:val="center"/>
          </w:tcPr>
          <w:p>
            <w:pPr>
              <w:spacing w:before="61" w:line="221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8"/>
                <w:szCs w:val="28"/>
                <w:highlight w:val="none"/>
                <w:lang w:val="en-US" w:eastAsia="zh-CN"/>
              </w:rPr>
              <w:t>区规划建设局</w:t>
            </w:r>
          </w:p>
        </w:tc>
        <w:tc>
          <w:tcPr>
            <w:tcW w:w="2295" w:type="dxa"/>
            <w:vAlign w:val="center"/>
          </w:tcPr>
          <w:p>
            <w:pPr>
              <w:spacing w:before="60" w:line="223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吴强国</w:t>
            </w:r>
          </w:p>
        </w:tc>
        <w:tc>
          <w:tcPr>
            <w:tcW w:w="2998" w:type="dxa"/>
            <w:vAlign w:val="center"/>
          </w:tcPr>
          <w:p>
            <w:pPr>
              <w:spacing w:before="61" w:line="22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市场管理负责人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804" w:type="dxa"/>
            <w:vAlign w:val="center"/>
          </w:tcPr>
          <w:p>
            <w:pPr>
              <w:spacing w:before="96" w:line="183" w:lineRule="auto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5</w:t>
            </w:r>
          </w:p>
        </w:tc>
        <w:tc>
          <w:tcPr>
            <w:tcW w:w="2753" w:type="dxa"/>
            <w:vAlign w:val="center"/>
          </w:tcPr>
          <w:p>
            <w:pPr>
              <w:spacing w:before="62" w:line="221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区招商投资促进中心</w:t>
            </w:r>
          </w:p>
        </w:tc>
        <w:tc>
          <w:tcPr>
            <w:tcW w:w="2295" w:type="dxa"/>
            <w:vAlign w:val="center"/>
          </w:tcPr>
          <w:p>
            <w:pPr>
              <w:spacing w:before="62" w:line="221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李思颖</w:t>
            </w:r>
          </w:p>
        </w:tc>
        <w:tc>
          <w:tcPr>
            <w:tcW w:w="2998" w:type="dxa"/>
            <w:vAlign w:val="center"/>
          </w:tcPr>
          <w:p>
            <w:pPr>
              <w:spacing w:before="61" w:line="221" w:lineRule="auto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highlight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招商引资科副科长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804" w:type="dxa"/>
            <w:vAlign w:val="center"/>
          </w:tcPr>
          <w:p>
            <w:pPr>
              <w:spacing w:before="96" w:line="183" w:lineRule="auto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6</w:t>
            </w:r>
          </w:p>
        </w:tc>
        <w:tc>
          <w:tcPr>
            <w:tcW w:w="2753" w:type="dxa"/>
            <w:vAlign w:val="center"/>
          </w:tcPr>
          <w:p>
            <w:pPr>
              <w:spacing w:before="62" w:line="221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区政务服务中心</w:t>
            </w:r>
          </w:p>
        </w:tc>
        <w:tc>
          <w:tcPr>
            <w:tcW w:w="2295" w:type="dxa"/>
            <w:vAlign w:val="center"/>
          </w:tcPr>
          <w:p>
            <w:pPr>
              <w:spacing w:before="62" w:line="221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刘  群</w:t>
            </w:r>
          </w:p>
        </w:tc>
        <w:tc>
          <w:tcPr>
            <w:tcW w:w="2998" w:type="dxa"/>
            <w:vAlign w:val="center"/>
          </w:tcPr>
          <w:p>
            <w:pPr>
              <w:spacing w:before="62" w:line="221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大数据管理负责人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804" w:type="dxa"/>
            <w:vAlign w:val="center"/>
          </w:tcPr>
          <w:p>
            <w:pPr>
              <w:spacing w:before="96" w:line="183" w:lineRule="auto"/>
              <w:jc w:val="center"/>
              <w:rPr>
                <w:rFonts w:hint="default" w:ascii="仿宋_GB2312" w:hAnsi="仿宋_GB2312" w:eastAsia="仿宋_GB2312" w:cs="仿宋_GB2312"/>
                <w:spacing w:val="-6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highlight w:val="none"/>
                <w:lang w:val="en-US" w:eastAsia="zh-CN"/>
              </w:rPr>
              <w:t>7</w:t>
            </w:r>
          </w:p>
        </w:tc>
        <w:tc>
          <w:tcPr>
            <w:tcW w:w="2753" w:type="dxa"/>
            <w:vAlign w:val="center"/>
          </w:tcPr>
          <w:p>
            <w:pPr>
              <w:spacing w:before="62" w:line="221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区税务局</w:t>
            </w:r>
          </w:p>
        </w:tc>
        <w:tc>
          <w:tcPr>
            <w:tcW w:w="2295" w:type="dxa"/>
            <w:vAlign w:val="center"/>
          </w:tcPr>
          <w:p>
            <w:pPr>
              <w:spacing w:before="62" w:line="221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石  璠</w:t>
            </w:r>
          </w:p>
        </w:tc>
        <w:tc>
          <w:tcPr>
            <w:tcW w:w="2998" w:type="dxa"/>
            <w:vAlign w:val="center"/>
          </w:tcPr>
          <w:p>
            <w:pPr>
              <w:spacing w:before="62" w:line="221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税政股副股长</w:t>
            </w:r>
          </w:p>
        </w:tc>
      </w:tr>
    </w:tbl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40" w:lineRule="exact"/>
        <w:ind w:left="0" w:right="0" w:firstLine="62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pacing w:val="-5"/>
          <w:sz w:val="32"/>
          <w:szCs w:val="32"/>
          <w:highlight w:val="none"/>
        </w:rPr>
        <w:t>“惠企政策发言人”的具体职责：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40" w:lineRule="exact"/>
        <w:ind w:left="0" w:right="0" w:firstLine="640" w:firstLineChars="200"/>
        <w:textAlignment w:val="baseline"/>
        <w:rPr>
          <w:rFonts w:hint="eastAsia" w:ascii="仿宋_GB2312" w:hAnsi="仿宋_GB2312" w:eastAsia="仿宋_GB2312" w:cs="仿宋_GB2312"/>
          <w:spacing w:val="0"/>
          <w:positio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</w:rPr>
        <w:t>1.及时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lang w:val="en-US" w:eastAsia="zh-CN"/>
        </w:rPr>
        <w:t>惠企政策，</w:t>
      </w:r>
      <w:r>
        <w:rPr>
          <w:rFonts w:hint="eastAsia" w:ascii="仿宋_GB2312" w:hAnsi="仿宋_GB2312" w:eastAsia="仿宋_GB2312" w:cs="仿宋_GB2312"/>
          <w:spacing w:val="0"/>
          <w:position w:val="0"/>
          <w:sz w:val="32"/>
          <w:szCs w:val="32"/>
          <w:highlight w:val="none"/>
        </w:rPr>
        <w:t>牵头建立惠企政策台账，及时动态更</w:t>
      </w:r>
      <w:r>
        <w:rPr>
          <w:rFonts w:hint="eastAsia" w:ascii="仿宋_GB2312" w:hAnsi="仿宋_GB2312" w:eastAsia="仿宋_GB2312" w:cs="仿宋_GB2312"/>
          <w:spacing w:val="0"/>
          <w:position w:val="0"/>
          <w:sz w:val="32"/>
          <w:szCs w:val="32"/>
          <w:highlight w:val="none"/>
          <w:lang w:val="en-US" w:eastAsia="zh-CN"/>
        </w:rPr>
        <w:t>新；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40" w:lineRule="exact"/>
        <w:ind w:left="0" w:right="0" w:firstLine="640" w:firstLineChars="200"/>
        <w:textAlignment w:val="baseline"/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</w:rPr>
        <w:t>2.做好惠企政策解读工作，单个部门制定的政策，由制定部门的“惠企政策发言人”负责实施解读工作；多个部门共同制定的，由牵头部门“惠企政策发言人”组织开展解读工作，其他相关部门做好配合工作；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40" w:lineRule="exact"/>
        <w:ind w:left="0" w:right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</w:rPr>
        <w:t>3.牵头做好惠企政策解读材料编写工作，对政策内容、适用对象、适用时间、申报条件、申请材料等方面进行解读，帮助市场主体用足用好惠企政策；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40" w:lineRule="exact"/>
        <w:ind w:left="0" w:right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</w:rPr>
        <w:t>4.创新惠企政策解读方式，充分发挥政府官方网站、新媒体等重要载体宣传作用，综合运用政策问答、图文漫画、短视频等形式开展多元化解读；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40" w:lineRule="exact"/>
        <w:ind w:left="0" w:right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</w:rPr>
        <w:t>5.做好惠企政策问题咨询解答，严格落实“首问负责”“限时答复”，对能够当场解答的问题，应当场解答；对无法当场解答的问题，要及时联系相关业务负责人，在2个工作日内予以答复，辅导帮助市场主体进行惠企政策申报；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40" w:lineRule="exact"/>
        <w:ind w:left="0" w:right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</w:rPr>
        <w:t>6.做好惠企政策意见建议收集，在惠企政策解读、解答过程中，认真听取市场主体的意见建议，及时反馈至政策制定部门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40" w:lineRule="exact"/>
        <w:ind w:left="0" w:right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</w:rPr>
      </w:pPr>
    </w:p>
    <w:p>
      <w:pPr>
        <w:pStyle w:val="2"/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40" w:lineRule="exact"/>
        <w:ind w:left="0" w:right="0" w:firstLine="420" w:firstLineChars="200"/>
        <w:textAlignment w:val="baseline"/>
        <w:rPr>
          <w:highlight w:val="none"/>
        </w:rPr>
      </w:pPr>
    </w:p>
    <w:p>
      <w:pPr>
        <w:pStyle w:val="2"/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40" w:lineRule="exact"/>
        <w:ind w:left="0" w:right="0" w:firstLine="420" w:firstLineChars="200"/>
        <w:textAlignment w:val="baseline"/>
        <w:rPr>
          <w:highlight w:val="none"/>
        </w:rPr>
      </w:pPr>
    </w:p>
    <w:p>
      <w:pPr>
        <w:pStyle w:val="2"/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40" w:lineRule="exact"/>
        <w:ind w:left="0" w:right="0" w:firstLine="420" w:firstLineChars="200"/>
        <w:textAlignment w:val="baseline"/>
        <w:rPr>
          <w:highlight w:val="none"/>
        </w:rPr>
      </w:pPr>
      <w:bookmarkStart w:id="0" w:name="_GoBack"/>
      <w:bookmarkEnd w:id="0"/>
    </w:p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Y0MjMxNjUxNzc4MDhhNmI5MTdjZDQ1OTEzMzY3YmYifQ=="/>
  </w:docVars>
  <w:rsids>
    <w:rsidRoot w:val="4E1F6B7C"/>
    <w:rsid w:val="4E1F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2023-11-02T07:40:00Z</dcterms:created>
  <dc:creator>PC</dc:creator>
  <cp:lastModifiedBy>PC</cp:lastModifiedBy>
  <dcterms:modified xsi:type="dcterms:W3CDTF">2023-11-02T07:41:24Z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4736B850ECF74CFB8BC0F31027A63665_11</vt:lpwstr>
  </property>
</Properties>
</file>