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right="0"/>
        <w:textAlignment w:val="baseline"/>
        <w:rPr>
          <w:rFonts w:ascii="黑体" w:hAnsi="黑体" w:eastAsia="黑体" w:cs="黑体"/>
          <w:spacing w:val="-10"/>
          <w:sz w:val="32"/>
          <w:szCs w:val="32"/>
          <w:highlight w:val="none"/>
        </w:rPr>
      </w:pPr>
      <w:r>
        <w:rPr>
          <w:rFonts w:ascii="黑体" w:hAnsi="黑体" w:eastAsia="黑体" w:cs="黑体"/>
          <w:spacing w:val="-10"/>
          <w:sz w:val="32"/>
          <w:szCs w:val="32"/>
          <w:highlight w:val="none"/>
        </w:rPr>
        <w:t>附件2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right="0"/>
        <w:textAlignment w:val="baseline"/>
        <w:rPr>
          <w:rFonts w:hint="eastAsia" w:ascii="仿宋_GB2312" w:hAnsi="仿宋_GB2312" w:eastAsia="仿宋_GB2312" w:cs="仿宋_GB2312"/>
          <w:spacing w:val="-1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right="0" w:firstLine="0" w:firstLineChars="0"/>
        <w:jc w:val="center"/>
        <w:textAlignment w:val="baseline"/>
        <w:rPr>
          <w:rFonts w:ascii="仿宋" w:hAnsi="仿宋" w:eastAsia="仿宋" w:cs="仿宋"/>
          <w:spacing w:val="-15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pacing w:val="-1"/>
          <w:sz w:val="40"/>
          <w:szCs w:val="40"/>
          <w:highlight w:val="none"/>
          <w:lang w:val="en-US" w:eastAsia="zh-CN"/>
        </w:rPr>
        <w:t>随州高新区“惠企政策直达快享”工作规程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right="0" w:firstLine="58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-15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right="0" w:firstLine="58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-15"/>
          <w:sz w:val="32"/>
          <w:szCs w:val="32"/>
          <w:highlight w:val="none"/>
        </w:rPr>
        <w:t>为全面及时落实国家、省、市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  <w:highlight w:val="none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  <w:highlight w:val="none"/>
        </w:rPr>
        <w:t>惠企政策，降低要素成本，减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highlight w:val="none"/>
        </w:rPr>
        <w:t>轻市场主体经营负担，增强企业和群众对惠企政策的知晓度和申</w:t>
      </w:r>
      <w:r>
        <w:rPr>
          <w:rFonts w:hint="eastAsia" w:ascii="仿宋_GB2312" w:hAnsi="仿宋_GB2312" w:eastAsia="仿宋_GB2312" w:cs="仿宋_GB2312"/>
          <w:spacing w:val="-23"/>
          <w:sz w:val="32"/>
          <w:szCs w:val="32"/>
          <w:highlight w:val="none"/>
        </w:rPr>
        <w:t>报的便利度、满意度，切实做到政策“快兑现”，企业“方便办”。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highlight w:val="none"/>
        </w:rPr>
        <w:t>按照贯彻落实《湖北省优化营商环境条例》，《以控制成本为核心优化营商环境重点任务清单》文件要求，已建设惠企政策服务平台，并在政务服务大厅开设惠企政策服务窗口，现就实施惠企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政策“一站汇聚、一窗受理、一网通办”模式建立如下机制。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right="0" w:firstLine="62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ascii="黑体" w:hAnsi="黑体" w:eastAsia="黑体" w:cs="黑体"/>
          <w:spacing w:val="-5"/>
          <w:sz w:val="32"/>
          <w:szCs w:val="32"/>
          <w:highlight w:val="none"/>
        </w:rPr>
        <w:t>一、适用范围</w:t>
      </w:r>
      <w:r>
        <w:rPr>
          <w:rFonts w:ascii="仿宋" w:hAnsi="仿宋" w:eastAsia="仿宋" w:cs="仿宋"/>
          <w:spacing w:val="-5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highlight w:val="none"/>
        </w:rPr>
        <w:t>惠企政策服务窗口提供包括财政补贴、税收减免、</w:t>
      </w:r>
      <w:r>
        <w:rPr>
          <w:rFonts w:hint="eastAsia" w:ascii="仿宋_GB2312" w:hAnsi="仿宋_GB2312" w:eastAsia="仿宋_GB2312" w:cs="仿宋_GB2312"/>
          <w:color w:val="auto"/>
          <w:spacing w:val="-5"/>
          <w:sz w:val="32"/>
          <w:szCs w:val="32"/>
          <w:highlight w:val="none"/>
          <w:lang w:val="en-US" w:eastAsia="zh-CN"/>
        </w:rPr>
        <w:t>招商引资</w:t>
      </w:r>
      <w:r>
        <w:rPr>
          <w:rFonts w:hint="eastAsia" w:ascii="仿宋_GB2312" w:hAnsi="仿宋_GB2312" w:eastAsia="仿宋_GB2312" w:cs="仿宋_GB2312"/>
          <w:color w:val="auto"/>
          <w:spacing w:val="-5"/>
          <w:sz w:val="32"/>
          <w:szCs w:val="32"/>
          <w:highlight w:val="none"/>
        </w:rPr>
        <w:t>等各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highlight w:val="none"/>
        </w:rPr>
        <w:t>类惠企政策的咨询引导、集中受理、申报辅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highlight w:val="none"/>
        </w:rPr>
        <w:t>导、转办代办、反馈情况等，打通惠企政策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highlight w:val="none"/>
        </w:rPr>
        <w:t>从部门到企业的绿色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highlight w:val="none"/>
        </w:rPr>
        <w:t>通道，为企业提供一站式政策帮办代办服务，推动相关政策落实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highlight w:val="none"/>
        </w:rPr>
        <w:t>落地。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right="0" w:firstLine="616" w:firstLineChars="200"/>
        <w:jc w:val="both"/>
        <w:textAlignment w:val="baseline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ascii="黑体" w:hAnsi="黑体" w:eastAsia="黑体" w:cs="黑体"/>
          <w:spacing w:val="-6"/>
          <w:sz w:val="32"/>
          <w:szCs w:val="32"/>
          <w:highlight w:val="none"/>
        </w:rPr>
        <w:t>二、基本原则。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right="0" w:firstLine="620" w:firstLineChars="200"/>
        <w:jc w:val="both"/>
        <w:textAlignment w:val="baseline"/>
        <w:rPr>
          <w:rFonts w:hint="eastAsia" w:ascii="仿宋" w:hAnsi="仿宋" w:eastAsia="仿宋" w:cs="仿宋"/>
          <w:spacing w:val="-5"/>
          <w:sz w:val="32"/>
          <w:szCs w:val="32"/>
          <w:highlight w:val="none"/>
          <w:lang w:val="en-US" w:eastAsia="zh-CN"/>
        </w:rPr>
      </w:pPr>
      <w:r>
        <w:rPr>
          <w:rFonts w:ascii="楷体" w:hAnsi="楷体" w:eastAsia="楷体" w:cs="楷体"/>
          <w:spacing w:val="-5"/>
          <w:sz w:val="32"/>
          <w:szCs w:val="32"/>
          <w:highlight w:val="none"/>
        </w:rPr>
        <w:t>（一）一站汇聚。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highlight w:val="none"/>
        </w:rPr>
        <w:t>将国家、省、市各级政府制定发布仍在生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highlight w:val="none"/>
        </w:rPr>
        <w:t>效的涉企优惠政策进行全面梳理汇总，制定统一的政策解读口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highlight w:val="none"/>
        </w:rPr>
        <w:t>径，按照统一标准将惠企政策颗粒化拆分为政策兑现事项，将各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</w:rPr>
        <w:t>类优惠政策中的办理依据、办理条件、申请材料等进一步明确，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highlight w:val="none"/>
        </w:rPr>
        <w:t>编印成册后在惠企政策专区、企业专属网页，向社会公布惠企政策清单，为企业提供一站式在线检索、订阅</w:t>
      </w:r>
      <w:r>
        <w:rPr>
          <w:rFonts w:ascii="仿宋" w:hAnsi="仿宋" w:eastAsia="仿宋" w:cs="仿宋"/>
          <w:spacing w:val="-5"/>
          <w:sz w:val="32"/>
          <w:szCs w:val="32"/>
          <w:highlight w:val="none"/>
        </w:rPr>
        <w:t>服务。拆解工作应在</w:t>
      </w:r>
      <w:r>
        <w:rPr>
          <w:rFonts w:hint="eastAsia" w:ascii="仿宋" w:hAnsi="仿宋" w:eastAsia="仿宋" w:cs="仿宋"/>
          <w:spacing w:val="-5"/>
          <w:sz w:val="32"/>
          <w:szCs w:val="32"/>
          <w:highlight w:val="none"/>
          <w:lang w:val="en-US" w:eastAsia="zh-CN"/>
        </w:rPr>
        <w:t>政策发布后5个工作日内完成。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right="0" w:firstLine="568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ascii="楷体" w:hAnsi="楷体" w:eastAsia="楷体" w:cs="楷体"/>
          <w:spacing w:val="-18"/>
          <w:sz w:val="32"/>
          <w:szCs w:val="32"/>
          <w:highlight w:val="none"/>
        </w:rPr>
        <w:t>（二）一窗受理。</w:t>
      </w:r>
      <w:r>
        <w:rPr>
          <w:rFonts w:hint="eastAsia" w:ascii="仿宋_GB2312" w:hAnsi="仿宋_GB2312" w:eastAsia="仿宋_GB2312" w:cs="仿宋_GB2312"/>
          <w:spacing w:val="-18"/>
          <w:sz w:val="32"/>
          <w:szCs w:val="32"/>
          <w:highlight w:val="none"/>
        </w:rPr>
        <w:t>通过窗口“集中办”，强化</w:t>
      </w:r>
      <w:r>
        <w:rPr>
          <w:rFonts w:hint="eastAsia" w:ascii="仿宋_GB2312" w:hAnsi="仿宋_GB2312" w:eastAsia="仿宋_GB2312" w:cs="仿宋_GB2312"/>
          <w:spacing w:val="-19"/>
          <w:sz w:val="32"/>
          <w:szCs w:val="32"/>
          <w:highlight w:val="none"/>
        </w:rPr>
        <w:t>帮办协办服务，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highlight w:val="none"/>
        </w:rPr>
        <w:t>窗口受理申请后，及时将企业申报材料转办给相关惠企政策部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highlight w:val="none"/>
        </w:rPr>
        <w:t>门，由职能部门审核受理，限时办结反馈至窗口，最后由窗口向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highlight w:val="none"/>
        </w:rPr>
        <w:t>企业反馈办理结果，让企业从“多头跑”变为“一窗办”，从申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highlight w:val="none"/>
        </w:rPr>
        <w:t>请到办结全过程“最多跑一次”。对确不适宜窗口办理的事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项，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highlight w:val="none"/>
        </w:rPr>
        <w:t>按照便民利企原则办理，办理结果反馈至窗口。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right="0" w:firstLine="608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ascii="楷体" w:hAnsi="楷体" w:eastAsia="楷体" w:cs="楷体"/>
          <w:spacing w:val="-8"/>
          <w:sz w:val="32"/>
          <w:szCs w:val="32"/>
          <w:highlight w:val="none"/>
        </w:rPr>
        <w:t>（三）一网通办。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highlight w:val="none"/>
        </w:rPr>
        <w:t>各惠企政策部门依托惠企政策服务平台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highlight w:val="none"/>
        </w:rPr>
        <w:t>实现企业线上申报、部门线上审核、结果线上展示。部门有自建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highlight w:val="none"/>
        </w:rPr>
        <w:t>申报系统的，应向惠企政策服务平台迁移或开放端口，共享兑现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right="0" w:firstLine="0" w:firstLineChars="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  <w:highlight w:val="none"/>
        </w:rPr>
        <w:t>过程和结果数据，实现平台以外无兑现。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right="0" w:firstLine="608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ascii="楷体" w:hAnsi="楷体" w:eastAsia="楷体" w:cs="楷体"/>
          <w:spacing w:val="-8"/>
          <w:sz w:val="32"/>
          <w:szCs w:val="32"/>
          <w:highlight w:val="none"/>
        </w:rPr>
        <w:t>（四）一码评价。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highlight w:val="none"/>
        </w:rPr>
        <w:t>建立健全政策评价机制，实行闭环管理，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highlight w:val="none"/>
        </w:rPr>
        <w:t>全程跟踪运行。突出结果导向，引导企业开展政策时效性、精准性、实施效果等情况评价，各责任部门根据评价结果，按照规定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right="0" w:firstLine="0" w:firstLineChars="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时限抓好整改反馈提升。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right="0" w:firstLine="628" w:firstLineChars="200"/>
        <w:jc w:val="both"/>
        <w:textAlignment w:val="baseline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ascii="黑体" w:hAnsi="黑体" w:eastAsia="黑体" w:cs="黑体"/>
          <w:spacing w:val="-3"/>
          <w:sz w:val="32"/>
          <w:szCs w:val="32"/>
          <w:highlight w:val="none"/>
        </w:rPr>
        <w:t>三、运行机制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right="0" w:firstLine="62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-5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  <w:highlight w:val="none"/>
        </w:rPr>
        <w:t>采取“一窗受理、一次告知、分流转办、限时办结、统一反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right="0" w:firstLine="0" w:firstLineChars="0"/>
        <w:jc w:val="both"/>
        <w:textAlignment w:val="baseline"/>
        <w:rPr>
          <w:rFonts w:hint="eastAsia" w:ascii="仿宋_GB2312" w:hAnsi="仿宋_GB2312" w:eastAsia="仿宋_GB2312" w:cs="仿宋_GB2312"/>
          <w:spacing w:val="-5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  <w:highlight w:val="none"/>
        </w:rPr>
        <w:t>馈”的运行机制，打通惠企政策从部门到企业的绿色通道。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right="0" w:firstLine="608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ascii="楷体" w:hAnsi="楷体" w:eastAsia="楷体" w:cs="楷体"/>
          <w:spacing w:val="-8"/>
          <w:sz w:val="32"/>
          <w:szCs w:val="32"/>
          <w:highlight w:val="none"/>
        </w:rPr>
        <w:t>一窗受理：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highlight w:val="none"/>
        </w:rPr>
        <w:t>在政务服务大厅设立惠企政策服务窗口，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highlight w:val="none"/>
        </w:rPr>
        <w:t>企业可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highlight w:val="none"/>
        </w:rPr>
        <w:t>选择在政务服务大厅提交优惠政策兑现申请，实现“一窗式”受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right="0" w:firstLine="0" w:firstLineChars="0"/>
        <w:jc w:val="both"/>
        <w:textAlignment w:val="baseline"/>
        <w:rPr>
          <w:rFonts w:hint="eastAsia" w:ascii="仿宋_GB2312" w:hAnsi="仿宋_GB2312" w:eastAsia="仿宋_GB2312" w:cs="仿宋_GB2312"/>
          <w:spacing w:val="-5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right="0" w:firstLine="62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ascii="楷体" w:hAnsi="楷体" w:eastAsia="楷体" w:cs="楷体"/>
          <w:spacing w:val="-5"/>
          <w:sz w:val="32"/>
          <w:szCs w:val="32"/>
          <w:highlight w:val="none"/>
        </w:rPr>
        <w:t>一次告知：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highlight w:val="none"/>
        </w:rPr>
        <w:t>窗口工作人员将优惠政策兑现办理依据、办理条件、申请材料等，对申报企业实行“一次性”告知，并及时反馈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right="0" w:firstLine="0" w:firstLineChars="0"/>
        <w:jc w:val="both"/>
        <w:textAlignment w:val="baseline"/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办理情况。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right="0" w:firstLine="62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-5"/>
          <w:sz w:val="32"/>
          <w:szCs w:val="32"/>
          <w:highlight w:val="none"/>
        </w:rPr>
      </w:pPr>
      <w:r>
        <w:rPr>
          <w:rFonts w:ascii="楷体" w:hAnsi="楷体" w:eastAsia="楷体" w:cs="楷体"/>
          <w:spacing w:val="-5"/>
          <w:sz w:val="32"/>
          <w:szCs w:val="32"/>
          <w:highlight w:val="none"/>
        </w:rPr>
        <w:t>分流转办：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highlight w:val="none"/>
        </w:rPr>
        <w:t>窗口工作人员在收集申报企业提交的申请材料后，于申报截止日起1个工作日流转至相关职能部门进行审定。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right="0" w:firstLine="60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-5"/>
          <w:sz w:val="32"/>
          <w:szCs w:val="32"/>
          <w:highlight w:val="none"/>
        </w:rPr>
      </w:pPr>
      <w:r>
        <w:rPr>
          <w:rFonts w:ascii="楷体" w:hAnsi="楷体" w:eastAsia="楷体" w:cs="楷体"/>
          <w:spacing w:val="-10"/>
          <w:sz w:val="32"/>
          <w:szCs w:val="32"/>
          <w:highlight w:val="none"/>
        </w:rPr>
        <w:t>限时办结：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highlight w:val="none"/>
        </w:rPr>
        <w:t>各相关职能部门指定专门科室、专人负责对接，在收到窗口转交的材料后，申报截止日起3个工作日内对申报材料进行初步审查，提出初审意见，并分类处理。材料不符合条件的，由对应职能部门直接与企业联系，告知不符合标准原因并进行政策解释，指导企业完善申报材料；材料符合申报条件的，通知窗口向申报企业出具《受理通知书》。对应职能部门应在初步审查通过后在规定时间内开展现场核查、专家评审等实质性审查工作，并作出审查结果，根据审查结果提出兑现方案。结果交由企业优惠政策服务窗口统一出件。企业凭出件作为依据，办理优惠政策兑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right="0" w:firstLine="60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-8"/>
          <w:sz w:val="32"/>
          <w:szCs w:val="32"/>
          <w:highlight w:val="none"/>
        </w:rPr>
      </w:pPr>
      <w:r>
        <w:rPr>
          <w:rFonts w:ascii="楷体" w:hAnsi="楷体" w:eastAsia="楷体" w:cs="楷体"/>
          <w:spacing w:val="-10"/>
          <w:sz w:val="32"/>
          <w:szCs w:val="32"/>
          <w:highlight w:val="none"/>
        </w:rPr>
        <w:t>统一反馈：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highlight w:val="none"/>
        </w:rPr>
        <w:t>审查结果和兑现方案确定后，相应职能部门出具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right="0" w:firstLine="0" w:firstLineChars="0"/>
        <w:jc w:val="both"/>
        <w:textAlignment w:val="baseline"/>
        <w:rPr>
          <w:rFonts w:hint="eastAsia" w:ascii="仿宋_GB2312" w:hAnsi="仿宋_GB2312" w:eastAsia="仿宋_GB2312" w:cs="仿宋_GB2312"/>
          <w:spacing w:val="-8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  <w:highlight w:val="none"/>
        </w:rPr>
        <w:t>书面通知，由窗口向企业统一反馈结果。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right="0" w:firstLine="620" w:firstLineChars="200"/>
        <w:jc w:val="both"/>
        <w:textAlignment w:val="baseline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ascii="黑体" w:hAnsi="黑体" w:eastAsia="黑体" w:cs="黑体"/>
          <w:spacing w:val="-5"/>
          <w:sz w:val="32"/>
          <w:szCs w:val="32"/>
          <w:highlight w:val="none"/>
        </w:rPr>
        <w:t>四、保障措施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right="0" w:firstLine="588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ascii="楷体" w:hAnsi="楷体" w:eastAsia="楷体" w:cs="楷体"/>
          <w:spacing w:val="-13"/>
          <w:sz w:val="32"/>
          <w:szCs w:val="32"/>
          <w:highlight w:val="none"/>
        </w:rPr>
        <w:t>（一）提高思想认识，强化组织领导。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  <w:highlight w:val="none"/>
          <w:lang w:eastAsia="zh-CN"/>
        </w:rPr>
        <w:t>各单位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  <w:highlight w:val="none"/>
        </w:rPr>
        <w:t>要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highlight w:val="none"/>
        </w:rPr>
        <w:t>高度重视，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</w:rPr>
        <w:t>充分认识“惠企政策直达快享”改革的重要意义，按照职责分工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highlight w:val="none"/>
        </w:rPr>
        <w:t>加强协调管理，强化第三方监督，积极抓好落实，确保完成此项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right="0" w:firstLine="0" w:firstLineChars="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-9"/>
          <w:sz w:val="32"/>
          <w:szCs w:val="32"/>
          <w:highlight w:val="none"/>
        </w:rPr>
        <w:t>改革任务。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right="0" w:firstLine="62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-13"/>
          <w:sz w:val="32"/>
          <w:szCs w:val="32"/>
          <w:highlight w:val="none"/>
          <w:lang w:eastAsia="zh-CN"/>
        </w:rPr>
      </w:pPr>
      <w:r>
        <w:rPr>
          <w:rFonts w:ascii="楷体" w:hAnsi="楷体" w:eastAsia="楷体" w:cs="楷体"/>
          <w:spacing w:val="-5"/>
          <w:sz w:val="32"/>
          <w:szCs w:val="32"/>
          <w:highlight w:val="none"/>
        </w:rPr>
        <w:t>（二）建立工作机制，密切协同配合。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  <w:highlight w:val="none"/>
          <w:lang w:eastAsia="zh-CN"/>
        </w:rPr>
        <w:t>建立完善惠企政策兑现联席会议制度，及时研究、协调、解决审批过程中的重大问题，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right="0" w:firstLine="0" w:firstLineChars="0"/>
        <w:jc w:val="both"/>
        <w:textAlignment w:val="baseline"/>
        <w:rPr>
          <w:rFonts w:hint="eastAsia" w:ascii="仿宋_GB2312" w:hAnsi="仿宋_GB2312" w:eastAsia="仿宋_GB2312" w:cs="仿宋_GB2312"/>
          <w:spacing w:val="-13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-13"/>
          <w:sz w:val="32"/>
          <w:szCs w:val="32"/>
          <w:highlight w:val="none"/>
          <w:lang w:eastAsia="zh-CN"/>
        </w:rPr>
        <w:t>强化整体联动，形成紧密合作、相互协调的工作格局。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right="0" w:firstLine="596" w:firstLineChars="200"/>
        <w:jc w:val="both"/>
        <w:textAlignment w:val="baseline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ascii="楷体" w:hAnsi="楷体" w:eastAsia="楷体" w:cs="楷体"/>
          <w:spacing w:val="-11"/>
          <w:sz w:val="32"/>
          <w:szCs w:val="32"/>
          <w:highlight w:val="none"/>
        </w:rPr>
        <w:t>（三）强化监督检查，推动工作落实。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  <w:highlight w:val="none"/>
          <w:lang w:eastAsia="zh-CN"/>
        </w:rPr>
        <w:t>对改革推进和日常工作完成情况要进行考评、通报。对落实工作不力，影响改革进度，造成不良影响的部门和人员进行问责。同时对积极推进改革、执行改革决定的非故意行为实行容错免责。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right="0" w:firstLine="640" w:firstLineChars="200"/>
        <w:textAlignment w:val="baseline"/>
        <w:rPr>
          <w:rFonts w:ascii="仿宋" w:hAnsi="仿宋" w:eastAsia="仿宋" w:cs="仿宋"/>
          <w:sz w:val="32"/>
          <w:szCs w:val="32"/>
          <w:highlight w:val="none"/>
        </w:rPr>
        <w:sectPr>
          <w:footerReference r:id="rId5" w:type="default"/>
          <w:pgSz w:w="11900" w:h="16840"/>
          <w:pgMar w:top="1531" w:right="1531" w:bottom="1531" w:left="1531" w:header="0" w:footer="1395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linePitch="0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0MjMxNjUxNzc4MDhhNmI5MTdjZDQ1OTEzMzY3YmYifQ=="/>
  </w:docVars>
  <w:rsids>
    <w:rsidRoot w:val="1ED60AB5"/>
    <w:rsid w:val="1ED6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2023-11-02T07:39:00Z</dcterms:created>
  <dc:creator>PC</dc:creator>
  <cp:lastModifiedBy>PC</cp:lastModifiedBy>
  <dcterms:modified xsi:type="dcterms:W3CDTF">2023-11-02T07:40:30Z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9BCE614624D44740902903A29544564B_11</vt:lpwstr>
  </property>
</Properties>
</file>