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62"/>
        <w:spacing w:before="173" w:line="219" w:lineRule="auto"/>
        <w:outlineLvl w:val="0"/>
        <w:rPr>
          <w:rFonts w:ascii="SimSun" w:hAnsi="SimSun" w:eastAsia="SimSun" w:cs="SimSun"/>
          <w:sz w:val="88"/>
          <w:szCs w:val="88"/>
        </w:rPr>
      </w:pPr>
      <w:r>
        <w:rPr>
          <w:rFonts w:ascii="SimSun" w:hAnsi="SimSun" w:eastAsia="SimSun" w:cs="SimSun"/>
          <w:sz w:val="88"/>
          <w:szCs w:val="88"/>
          <w:b/>
          <w:bCs/>
          <w:color w:val="E90007"/>
          <w:spacing w:val="166"/>
        </w:rPr>
        <w:t>湖北省人民政府</w:t>
      </w:r>
    </w:p>
    <w:p>
      <w:pPr>
        <w:pStyle w:val="BodyText"/>
        <w:spacing w:before="331" w:line="224" w:lineRule="auto"/>
        <w:rPr>
          <w:rFonts w:ascii="SimSun" w:hAnsi="SimSun" w:eastAsia="SimSun" w:cs="SimSun"/>
          <w:sz w:val="47"/>
          <w:szCs w:val="47"/>
        </w:rPr>
      </w:pPr>
      <w:r>
        <w:rPr>
          <w:sz w:val="43"/>
          <w:szCs w:val="43"/>
          <w:spacing w:val="-17"/>
          <w:position w:val="-1"/>
        </w:rPr>
        <w:t>件</w:t>
      </w:r>
      <w:r>
        <w:rPr>
          <w:sz w:val="43"/>
          <w:szCs w:val="43"/>
          <w:spacing w:val="14"/>
          <w:position w:val="-1"/>
        </w:rPr>
        <w:t xml:space="preserve">             </w:t>
      </w:r>
      <w:r>
        <w:rPr>
          <w:rFonts w:ascii="SimSun" w:hAnsi="SimSun" w:eastAsia="SimSun" w:cs="SimSun"/>
          <w:sz w:val="47"/>
          <w:szCs w:val="47"/>
          <w:b/>
          <w:bCs/>
          <w:spacing w:val="-17"/>
        </w:rPr>
        <w:t>建</w:t>
      </w:r>
      <w:r>
        <w:rPr>
          <w:rFonts w:ascii="SimSun" w:hAnsi="SimSun" w:eastAsia="SimSun" w:cs="SimSun"/>
          <w:sz w:val="47"/>
          <w:szCs w:val="47"/>
          <w:spacing w:val="-17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17"/>
        </w:rPr>
        <w:t>设</w:t>
      </w:r>
      <w:r>
        <w:rPr>
          <w:rFonts w:ascii="SimSun" w:hAnsi="SimSun" w:eastAsia="SimSun" w:cs="SimSun"/>
          <w:sz w:val="47"/>
          <w:szCs w:val="47"/>
          <w:spacing w:val="15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17"/>
        </w:rPr>
        <w:t>用</w:t>
      </w:r>
      <w:r>
        <w:rPr>
          <w:rFonts w:ascii="SimSun" w:hAnsi="SimSun" w:eastAsia="SimSun" w:cs="SimSun"/>
          <w:sz w:val="47"/>
          <w:szCs w:val="47"/>
          <w:spacing w:val="3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17"/>
        </w:rPr>
        <w:t>地</w:t>
      </w:r>
      <w:r>
        <w:rPr>
          <w:rFonts w:ascii="SimSun" w:hAnsi="SimSun" w:eastAsia="SimSun" w:cs="SimSun"/>
          <w:sz w:val="47"/>
          <w:szCs w:val="47"/>
          <w:spacing w:val="-17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17"/>
        </w:rPr>
        <w:t>批</w:t>
      </w:r>
      <w:r>
        <w:rPr>
          <w:rFonts w:ascii="SimSun" w:hAnsi="SimSun" w:eastAsia="SimSun" w:cs="SimSun"/>
          <w:sz w:val="47"/>
          <w:szCs w:val="47"/>
          <w:spacing w:val="2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17"/>
        </w:rPr>
        <w:t>件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710"/>
        <w:spacing w:line="60" w:lineRule="exact"/>
        <w:rPr/>
      </w:pPr>
      <w:r>
        <w:rPr>
          <w:position w:val="-1"/>
        </w:rPr>
        <w:drawing>
          <wp:inline distT="0" distB="0" distL="0" distR="0">
            <wp:extent cx="5861048" cy="3806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1048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450"/>
        <w:spacing w:before="292" w:line="222" w:lineRule="auto"/>
        <w:rPr/>
      </w:pPr>
      <w:r>
        <w:rPr>
          <w:spacing w:val="-8"/>
        </w:rPr>
        <w:t>鄂政土批(随)〔2024〕18号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2476" w:right="1710" w:hanging="210"/>
        <w:spacing w:before="149" w:line="224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8"/>
        </w:rPr>
        <w:t>省人民政府关于随州市2023年度</w:t>
      </w:r>
      <w:r>
        <w:rPr>
          <w:rFonts w:ascii="SimSun" w:hAnsi="SimSun" w:eastAsia="SimSun" w:cs="SimSun"/>
          <w:sz w:val="46"/>
          <w:szCs w:val="46"/>
          <w:spacing w:val="2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27"/>
        </w:rPr>
        <w:t>第50批次城市建设用地的批复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1054"/>
        <w:spacing w:before="114" w:line="222" w:lineRule="auto"/>
        <w:rPr/>
      </w:pPr>
      <w:r>
        <w:rPr>
          <w:b/>
          <w:bCs/>
          <w:spacing w:val="-49"/>
        </w:rPr>
        <w:t>随州市人民政府：</w:t>
      </w:r>
    </w:p>
    <w:p>
      <w:pPr>
        <w:pStyle w:val="BodyText"/>
        <w:ind w:left="1229" w:right="345" w:firstLine="470"/>
        <w:spacing w:before="171" w:line="293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1295410</wp:posOffset>
            </wp:positionH>
            <wp:positionV relativeFrom="paragraph">
              <wp:posOffset>243418</wp:posOffset>
            </wp:positionV>
            <wp:extent cx="1574774" cy="158754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774" cy="158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8"/>
        </w:rPr>
        <w:t>你市《关于随州市2023年度第50批次城市建设用地的请示》</w:t>
      </w:r>
      <w:r>
        <w:rPr>
          <w:spacing w:val="5"/>
        </w:rPr>
        <w:t xml:space="preserve"> </w:t>
      </w:r>
      <w:r>
        <w:rPr>
          <w:spacing w:val="-29"/>
        </w:rPr>
        <w:t>(随州政文〔2024〕24号)收悉。现批</w:t>
      </w:r>
      <w:r>
        <w:rPr>
          <w:spacing w:val="-30"/>
        </w:rPr>
        <w:t>复如下：</w:t>
      </w:r>
    </w:p>
    <w:p>
      <w:pPr>
        <w:pStyle w:val="BodyText"/>
        <w:ind w:left="1700"/>
        <w:spacing w:before="44" w:line="219" w:lineRule="auto"/>
        <w:rPr/>
      </w:pPr>
      <w:r>
        <w:rPr>
          <w:spacing w:val="-47"/>
        </w:rPr>
        <w:t>一、同意你市呈报的《农用地转用方案》。</w:t>
      </w:r>
    </w:p>
    <w:p>
      <w:pPr>
        <w:pStyle w:val="BodyText"/>
        <w:ind w:left="1050" w:right="496" w:firstLine="649"/>
        <w:spacing w:before="182" w:line="292" w:lineRule="auto"/>
        <w:rPr>
          <w:sz w:val="33"/>
          <w:szCs w:val="33"/>
        </w:rPr>
      </w:pPr>
      <w:r>
        <w:rPr>
          <w:spacing w:val="-48"/>
        </w:rPr>
        <w:t>二、同意将你市随州高新技术产业开发区兴建村集体农用地</w:t>
      </w:r>
      <w:r>
        <w:rPr/>
        <w:t xml:space="preserve"> </w:t>
      </w:r>
      <w:r>
        <w:rPr>
          <w:spacing w:val="-18"/>
        </w:rPr>
        <w:t>2.8050公顷(含耕地1.8587公顷)转为建设用地</w:t>
      </w:r>
      <w:r>
        <w:rPr>
          <w:spacing w:val="-19"/>
        </w:rPr>
        <w:t>并办理征收手</w:t>
      </w:r>
      <w:r>
        <w:rPr/>
        <w:t xml:space="preserve"> </w:t>
      </w:r>
      <w:r>
        <w:rPr>
          <w:spacing w:val="-33"/>
        </w:rPr>
        <w:t>续，另征收集体建设用地1.9295公顷。该批次共计批准建设用</w:t>
      </w:r>
      <w:r>
        <w:rPr>
          <w:spacing w:val="15"/>
        </w:rPr>
        <w:t xml:space="preserve"> </w:t>
      </w:r>
      <w:r>
        <w:rPr>
          <w:sz w:val="33"/>
          <w:szCs w:val="33"/>
          <w:spacing w:val="-9"/>
        </w:rPr>
        <w:t>地4.7345公顷。</w:t>
      </w:r>
    </w:p>
    <w:p>
      <w:pPr>
        <w:pStyle w:val="BodyText"/>
        <w:ind w:left="1050" w:right="474" w:firstLine="649"/>
        <w:spacing w:before="177" w:line="271" w:lineRule="auto"/>
        <w:rPr/>
      </w:pPr>
      <w:r>
        <w:rPr>
          <w:spacing w:val="-47"/>
        </w:rPr>
        <w:t>三、你市要进一步落实补充耕地任务，采取措施，</w:t>
      </w:r>
      <w:r>
        <w:rPr>
          <w:spacing w:val="-48"/>
        </w:rPr>
        <w:t>提高已补</w:t>
      </w:r>
      <w:r>
        <w:rPr/>
        <w:t xml:space="preserve"> </w:t>
      </w:r>
      <w:r>
        <w:rPr>
          <w:spacing w:val="-42"/>
        </w:rPr>
        <w:t>充耕地的质量。</w:t>
      </w:r>
    </w:p>
    <w:p>
      <w:pPr>
        <w:pStyle w:val="BodyText"/>
        <w:ind w:left="1050" w:right="345" w:firstLine="649"/>
        <w:spacing w:before="185" w:line="288" w:lineRule="auto"/>
        <w:rPr/>
      </w:pPr>
      <w:r>
        <w:rPr>
          <w:spacing w:val="-42"/>
        </w:rPr>
        <w:t>四、你市接到批复后，按照《中华人民共和国土</w:t>
      </w:r>
      <w:r>
        <w:rPr>
          <w:spacing w:val="-43"/>
        </w:rPr>
        <w:t>地管理法》</w:t>
      </w:r>
      <w:r>
        <w:rPr/>
        <w:t xml:space="preserve"> </w:t>
      </w:r>
      <w:r>
        <w:rPr>
          <w:spacing w:val="-47"/>
        </w:rPr>
        <w:t>和国家、省的有关法律法规和政策规定，做好土地征收的实施工</w:t>
      </w:r>
      <w:r>
        <w:rPr>
          <w:spacing w:val="15"/>
        </w:rPr>
        <w:t xml:space="preserve"> </w:t>
      </w:r>
      <w:r>
        <w:rPr>
          <w:spacing w:val="-35"/>
        </w:rPr>
        <w:t>作。严格执行省政府公布的征地补偿新标准(鄂政发〔202</w:t>
      </w:r>
      <w:r>
        <w:rPr>
          <w:spacing w:val="-36"/>
        </w:rPr>
        <w:t>3〕16</w:t>
      </w:r>
      <w:r>
        <w:rPr/>
        <w:t xml:space="preserve"> </w:t>
      </w:r>
      <w:r>
        <w:rPr>
          <w:spacing w:val="-32"/>
        </w:rPr>
        <w:t>号),严格依法履行征地批后实施程序，及时支付补偿费用，落</w:t>
      </w:r>
    </w:p>
    <w:p>
      <w:pPr>
        <w:spacing w:line="288" w:lineRule="auto"/>
        <w:sectPr>
          <w:footerReference w:type="default" r:id="rId1"/>
          <w:pgSz w:w="11900" w:h="16840"/>
          <w:pgMar w:top="1254" w:right="1180" w:bottom="1259" w:left="669" w:header="0" w:footer="120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7" w:line="343" w:lineRule="auto"/>
        <w:jc w:val="both"/>
        <w:rPr>
          <w:sz w:val="30"/>
          <w:szCs w:val="30"/>
        </w:rPr>
      </w:pPr>
      <w:r>
        <w:rPr>
          <w:sz w:val="30"/>
          <w:szCs w:val="30"/>
          <w:spacing w:val="-2"/>
        </w:rPr>
        <w:t>实安置措施，安排好被征地农民的生产和生活，保</w:t>
      </w:r>
      <w:r>
        <w:rPr>
          <w:sz w:val="30"/>
          <w:szCs w:val="30"/>
          <w:spacing w:val="-3"/>
        </w:rPr>
        <w:t>证被征地农民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-1"/>
        </w:rPr>
        <w:t>原有生活水平不降低，长远生计有保障，维护社会稳定。征地补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-4"/>
        </w:rPr>
        <w:t>偿安置和被征地农民社会保障不落实的，不得强行使用被征土地。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-2"/>
        </w:rPr>
        <w:t>不动产登记机构依此办理集体土地所有权注销或变更登记。</w:t>
      </w:r>
    </w:p>
    <w:p>
      <w:pPr>
        <w:pStyle w:val="BodyText"/>
        <w:ind w:left="49" w:firstLine="649"/>
        <w:spacing w:before="50" w:line="341" w:lineRule="auto"/>
        <w:tabs>
          <w:tab w:val="left" w:pos="8637"/>
        </w:tabs>
        <w:jc w:val="both"/>
        <w:rPr>
          <w:sz w:val="30"/>
          <w:szCs w:val="30"/>
        </w:rPr>
      </w:pPr>
      <w:r>
        <w:rPr>
          <w:sz w:val="30"/>
          <w:szCs w:val="30"/>
          <w:spacing w:val="-6"/>
        </w:rPr>
        <w:t>五、你市自然资源管理部门要依照有关法律法规和政策规定，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对征收土地的实施情况进行跟踪检查，并将批后实施情况</w:t>
      </w:r>
      <w:r>
        <w:rPr>
          <w:sz w:val="30"/>
          <w:szCs w:val="30"/>
          <w:spacing w:val="-5"/>
        </w:rPr>
        <w:t>报省自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然资源厅、随州市自然资源和城乡建设局备案。</w:t>
      </w:r>
    </w:p>
    <w:p>
      <w:pPr>
        <w:pStyle w:val="BodyText"/>
        <w:ind w:left="49" w:right="259" w:firstLine="629"/>
        <w:spacing w:before="34" w:line="350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六</w:t>
      </w:r>
      <w:r>
        <w:rPr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7"/>
        </w:rPr>
        <w:t>、该批次用地经批准满两年，未实施具体征地行为的，本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批准文件自动失效。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5189"/>
        <w:spacing w:before="97" w:line="222" w:lineRule="auto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3187709</wp:posOffset>
            </wp:positionH>
            <wp:positionV relativeFrom="paragraph">
              <wp:posOffset>-458575</wp:posOffset>
            </wp:positionV>
            <wp:extent cx="1562079" cy="163833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79" cy="163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湖北省人民政府</w:t>
      </w:r>
    </w:p>
    <w:p>
      <w:pPr>
        <w:ind w:left="5169"/>
        <w:spacing w:before="24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9"/>
        </w:rPr>
        <w:t>2024年7月9日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4"/>
        <w:spacing w:before="98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"/>
        </w:rPr>
        <w:t>公开形式：主动公开</w:t>
      </w:r>
    </w:p>
    <w:p>
      <w:pPr>
        <w:pStyle w:val="BodyText"/>
        <w:ind w:left="349"/>
        <w:spacing w:before="204" w:line="222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抄送：随州市自然资源和城乡建设局。</w:t>
      </w:r>
    </w:p>
    <w:sectPr>
      <w:footerReference w:type="default" r:id="rId4"/>
      <w:pgSz w:w="11900" w:h="16840"/>
      <w:pgMar w:top="1431" w:right="1530" w:bottom="1150" w:left="1730" w:header="0" w:footer="8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10"/>
      <w:spacing w:line="49" w:lineRule="exact"/>
      <w:rPr/>
    </w:pPr>
    <w:r>
      <w:rPr/>
      <w:drawing>
        <wp:inline distT="0" distB="0" distL="0" distR="0">
          <wp:extent cx="5930870" cy="31718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930870" cy="31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png"/><Relationship Id="rId4" Type="http://schemas.openxmlformats.org/officeDocument/2006/relationships/footer" Target="footer2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2024-08-09T15:55:08Z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2024-08-09T15:55:08</vt:filetime>
  </property>
  <property fmtid="{D5CDD505-2E9C-101B-9397-08002B2CF9AE}" pid="4" name="UsrData">
    <vt:lpwstr>66b5cb5ad32d37001f602ad3wl</vt:lpwstr>
  </property>
</Properties>
</file>