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/>
        <w:textAlignment w:val="baseline"/>
        <w:rPr>
          <w:rFonts w:ascii="黑体" w:hAnsi="黑体" w:eastAsia="黑体" w:cs="黑体"/>
          <w:spacing w:val="-10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10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center"/>
        <w:textAlignment w:val="baseline"/>
        <w:rPr>
          <w:rFonts w:ascii="仿宋" w:hAnsi="仿宋" w:eastAsia="仿宋" w:cs="仿宋"/>
          <w:spacing w:val="-15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highlight w:val="none"/>
          <w:lang w:val="en-US" w:eastAsia="zh-CN"/>
        </w:rPr>
        <w:t>随州高新区“惠企政策直达快享”工作规程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  <w:highlight w:val="none"/>
        </w:rPr>
        <w:t>为全面及时落实国家、省、市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highlight w:val="none"/>
        </w:rPr>
        <w:t>惠企政策，降低要素成本，减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轻市场主体经营负担，增强企业和群众对惠企政策的知晓度和申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highlight w:val="none"/>
        </w:rPr>
        <w:t>报的便利度、满意度，切实做到政策“快兑现”，企业“方便办”。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按照贯彻落实《湖北省优化营商环境条例》，《以控制成本为核心优化营商环境重点任务清单》文件要求，已建设惠企政策服务平台，并在政务服务大厅开设惠企政策服务窗口，现就实施惠企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政策“一站汇聚、一窗受理、一网通办”模式建立如下机制。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5"/>
          <w:sz w:val="32"/>
          <w:szCs w:val="32"/>
          <w:highlight w:val="none"/>
        </w:rPr>
        <w:t>一、适用范围</w:t>
      </w:r>
      <w:r>
        <w:rPr>
          <w:rFonts w:ascii="仿宋" w:hAnsi="仿宋" w:eastAsia="仿宋" w:cs="仿宋"/>
          <w:spacing w:val="-5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惠企政策服务窗口提供包括财政补贴、税收减免、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  <w:lang w:val="en-US" w:eastAsia="zh-CN"/>
        </w:rPr>
        <w:t>招商引资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</w:rPr>
        <w:t>等各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类惠企政策的咨询引导、集中受理、申报辅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</w:rPr>
        <w:t>导、转办代办、反馈情况等，打通惠企政策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>从部门到企业的绿色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通道，为企业提供一站式政策帮办代办服务，推动相关政策落实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  <w:t>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16" w:firstLineChars="200"/>
        <w:jc w:val="both"/>
        <w:textAlignment w:val="baseline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6"/>
          <w:sz w:val="32"/>
          <w:szCs w:val="32"/>
          <w:highlight w:val="none"/>
        </w:rPr>
        <w:t>二、基本原则。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620" w:firstLineChars="2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  <w:highlight w:val="none"/>
          <w:lang w:val="en-US" w:eastAsia="zh-CN"/>
        </w:rPr>
      </w:pPr>
      <w:r>
        <w:rPr>
          <w:rFonts w:ascii="楷体" w:hAnsi="楷体" w:eastAsia="楷体" w:cs="楷体"/>
          <w:spacing w:val="-5"/>
          <w:sz w:val="32"/>
          <w:szCs w:val="32"/>
          <w:highlight w:val="none"/>
        </w:rPr>
        <w:t>（一）一站汇聚。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将国家、省、市各级政府制定发布仍在生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效的涉企优惠政策进行全面梳理汇总，制定统一的政策解读口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径，按照统一标准将惠企政策颗粒化拆分为政策兑现事项，将各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类优惠政策中的办理依据、办理条件、申请材料等进一步明确，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编印成册后在惠企政策专区、企业专属网页，向社会公布惠企政策清单，为企业提供一站式在线检索、订阅</w:t>
      </w:r>
      <w:r>
        <w:rPr>
          <w:rFonts w:ascii="仿宋" w:hAnsi="仿宋" w:eastAsia="仿宋" w:cs="仿宋"/>
          <w:spacing w:val="-5"/>
          <w:sz w:val="32"/>
          <w:szCs w:val="32"/>
          <w:highlight w:val="none"/>
        </w:rPr>
        <w:t>服务。拆解工作应在</w:t>
      </w:r>
      <w:r>
        <w:rPr>
          <w:rFonts w:hint="eastAsia" w:ascii="仿宋" w:hAnsi="仿宋" w:eastAsia="仿宋" w:cs="仿宋"/>
          <w:spacing w:val="-5"/>
          <w:sz w:val="32"/>
          <w:szCs w:val="32"/>
          <w:highlight w:val="none"/>
          <w:lang w:val="en-US" w:eastAsia="zh-CN"/>
        </w:rPr>
        <w:t>政策发布后5个工作日内完成。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5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18"/>
          <w:sz w:val="32"/>
          <w:szCs w:val="32"/>
          <w:highlight w:val="none"/>
        </w:rPr>
        <w:t>（二）一窗受理。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highlight w:val="none"/>
        </w:rPr>
        <w:t>通过窗口“集中办”，强化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highlight w:val="none"/>
        </w:rPr>
        <w:t>帮办协办服务，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窗口受理申请后，及时将企业申报材料转办给相关惠企政策部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  <w:t>门，由职能部门审核受理，限时办结反馈至窗口，最后由窗口向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企业反馈办理结果，让企业从“多头跑”变为“一窗办”，从申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</w:rPr>
        <w:t>请到办结全过程“最多跑一次”。对确不适宜窗口办理的事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项，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按照便民利企原则办理，办理结果反馈至窗口。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8"/>
          <w:sz w:val="32"/>
          <w:szCs w:val="32"/>
          <w:highlight w:val="none"/>
        </w:rPr>
        <w:t>（三）一网通办。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>各惠企政策部门依托惠企政策服务平台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highlight w:val="none"/>
        </w:rPr>
        <w:t>实现企业线上申报、部门线上审核、结果线上展示。部门有自建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申报系统的，应向惠企政策服务平台迁移或开放端口，共享兑现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</w:rPr>
        <w:t>过程和结果数据，实现平台以外无兑现。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8"/>
          <w:sz w:val="32"/>
          <w:szCs w:val="32"/>
          <w:highlight w:val="none"/>
        </w:rPr>
        <w:t>（四）一码评价。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>建立健全政策评价机制，实行闭环管理，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全程跟踪运行。突出结果导向，引导企业开展政策时效性、精准性、实施效果等情况评价，各责任部门根据评价结果，按照规定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时限抓好整改反馈提升。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28" w:firstLineChars="200"/>
        <w:jc w:val="both"/>
        <w:textAlignment w:val="baseline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3"/>
          <w:sz w:val="32"/>
          <w:szCs w:val="32"/>
          <w:highlight w:val="none"/>
        </w:rPr>
        <w:t>三、运行机制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采取“一窗受理、一次告知、分流转办、限时办结、统一反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馈”的运行机制，打通惠企政策从部门到企业的绿色通道。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8"/>
          <w:sz w:val="32"/>
          <w:szCs w:val="32"/>
          <w:highlight w:val="none"/>
        </w:rPr>
        <w:t>一窗受理：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>在政务服务大厅设立惠企政策服务窗口，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highlight w:val="none"/>
        </w:rPr>
        <w:t>企业可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选择在政务服务大厅提交优惠政策兑现申请，实现“一窗式”受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5"/>
          <w:sz w:val="32"/>
          <w:szCs w:val="32"/>
          <w:highlight w:val="none"/>
        </w:rPr>
        <w:t>一次告知：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窗口工作人员将优惠政策兑现办理依据、办理条件、申请材料等，对申报企业实行“一次性”告知，并及时反馈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办理情况。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5"/>
          <w:sz w:val="32"/>
          <w:szCs w:val="32"/>
          <w:highlight w:val="none"/>
        </w:rPr>
        <w:t>分流转办：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窗口工作人员在收集申报企业提交的申请材料后，于申报截止日起1个工作日流转至相关职能部门进行审定。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10"/>
          <w:sz w:val="32"/>
          <w:szCs w:val="32"/>
          <w:highlight w:val="none"/>
        </w:rPr>
        <w:t>限时办结：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各相关职能部门指定专门科室、专人负责对接，在收到窗口转交的材料后，申报截止日起3个工作日内对申报材料进行初步审查，提出初审意见，并分类处理。材料不符合条件的，由对应职能部门直接与企业联系，告知不符合标准原因并进行政策解释，指导企业完善申报材料；材料符合申报条件的，通知窗口向申报企业出具《受理通知书》。对应职能部门应在初步审查通过后在规定时间内开展现场核查、专家评审等实质性审查工作，并作出审查结果，根据审查结果提出兑现方案。结果交由企业优惠政策服务窗口统一出件。企业凭出件作为依据，办理优惠政策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10"/>
          <w:sz w:val="32"/>
          <w:szCs w:val="32"/>
          <w:highlight w:val="none"/>
        </w:rPr>
        <w:t>统一反馈：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>审查结果和兑现方案确定后，相应职能部门出具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>书面通知，由窗口向企业统一反馈结果。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20" w:firstLineChars="200"/>
        <w:jc w:val="both"/>
        <w:textAlignment w:val="baseline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5"/>
          <w:sz w:val="32"/>
          <w:szCs w:val="32"/>
          <w:highlight w:val="none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13"/>
          <w:sz w:val="32"/>
          <w:szCs w:val="32"/>
          <w:highlight w:val="none"/>
        </w:rPr>
        <w:t>（一）提高思想认识，强化组织领导。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highlight w:val="none"/>
          <w:lang w:eastAsia="zh-CN"/>
        </w:rPr>
        <w:t>各单位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highlight w:val="none"/>
        </w:rPr>
        <w:t>要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highlight w:val="none"/>
        </w:rPr>
        <w:t>高度重视，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充分认识“惠企政策直达快享”改革的重要意义，按照职责分工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highlight w:val="none"/>
        </w:rPr>
        <w:t>加强协调管理，强化第三方监督，积极抓好落实，确保完成此项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highlight w:val="none"/>
        </w:rPr>
        <w:t>改革任务。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3"/>
          <w:sz w:val="32"/>
          <w:szCs w:val="32"/>
          <w:highlight w:val="none"/>
          <w:lang w:eastAsia="zh-CN"/>
        </w:rPr>
      </w:pPr>
      <w:r>
        <w:rPr>
          <w:rFonts w:ascii="楷体" w:hAnsi="楷体" w:eastAsia="楷体" w:cs="楷体"/>
          <w:spacing w:val="-5"/>
          <w:sz w:val="32"/>
          <w:szCs w:val="32"/>
          <w:highlight w:val="none"/>
        </w:rPr>
        <w:t>（二）建立工作机制，密切协同配合。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highlight w:val="none"/>
          <w:lang w:eastAsia="zh-CN"/>
        </w:rPr>
        <w:t>建立完善惠企政策兑现联席会议制度，及时研究、协调、解决审批过程中的重大问题，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-13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highlight w:val="none"/>
          <w:lang w:eastAsia="zh-CN"/>
        </w:rPr>
        <w:t>强化整体联动，形成紧密合作、相互协调的工作格局。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596" w:firstLineChars="200"/>
        <w:jc w:val="both"/>
        <w:textAlignment w:val="baseline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11"/>
          <w:sz w:val="32"/>
          <w:szCs w:val="32"/>
          <w:highlight w:val="none"/>
        </w:rPr>
        <w:t>（三）强化监督检查，推动工作落实。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highlight w:val="none"/>
          <w:lang w:eastAsia="zh-CN"/>
        </w:rPr>
        <w:t>对改革推进和日常工作完成情况要进行考评、通报。对落实工作不力，影响改革进度，造成不良影响的部门和人员进行问责。同时对积极推进改革、执行改革决定的非故意行为实行容错免责。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textAlignment w:val="baseline"/>
        <w:rPr>
          <w:rFonts w:ascii="仿宋" w:hAnsi="仿宋" w:eastAsia="仿宋" w:cs="仿宋"/>
          <w:sz w:val="32"/>
          <w:szCs w:val="32"/>
          <w:highlight w:val="none"/>
        </w:rPr>
        <w:sectPr>
          <w:footerReference r:id="rId5" w:type="default"/>
          <w:pgSz w:w="11900" w:h="16840"/>
          <w:pgMar w:top="1531" w:right="1531" w:bottom="1531" w:left="1531" w:header="0" w:footer="139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MxNjUxNzc4MDhhNmI5MTdjZDQ1OTEzMzY3YmYifQ=="/>
  </w:docVars>
  <w:rsids>
    <w:rsidRoot w:val="1ED60AB5"/>
    <w:rsid w:val="1ED60AB5"/>
    <w:rsid w:val="77C2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1669</Words>
  <Characters>1669</Characters>
  <Lines>0</Lines>
  <Paragraphs>0</Paragraphs>
  <TotalTime>0</TotalTime>
  <ScaleCrop>false</ScaleCrop>
  <LinksUpToDate>false</LinksUpToDate>
  <CharactersWithSpaces>1669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2023-11-02T07:39:00Z</dcterms:created>
  <dc:creator>PC</dc:creator>
  <cp:lastModifiedBy>PC</cp:lastModifiedBy>
  <dcterms:modified xsi:type="dcterms:W3CDTF">2023-11-05T11:20:56Z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4417249527884C07AAA81986AE351E91_13</vt:lpwstr>
  </property>
</Properties>
</file>