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620" w:lineRule="exact"/>
        <w:jc w:val="both"/>
        <w:rPr>
          <w:rFonts w:hint="eastAsia" w:ascii="黑体" w:hAnsi="黑体" w:eastAsia="黑体" w:cs="黑体"/>
          <w:color w:val="auto"/>
          <w:sz w:val="32"/>
        </w:rPr>
      </w:pPr>
      <w:r>
        <w:rPr>
          <w:rFonts w:hint="eastAsia" w:ascii="黑体" w:hAnsi="黑体" w:eastAsia="黑体" w:cs="黑体"/>
          <w:color w:val="auto"/>
          <w:sz w:val="32"/>
        </w:rPr>
        <w:t>附件1:</w:t>
      </w:r>
    </w:p>
    <w:p>
      <w:pPr>
        <w:spacing w:line="620" w:lineRule="exact"/>
        <w:ind w:firstLine="800" w:firstLineChars="200"/>
        <w:rPr>
          <w:rFonts w:ascii="Times New Roman" w:hAnsi="Times New Roman" w:eastAsia="方正小标宋简体"/>
          <w:sz w:val="40"/>
          <w:szCs w:val="40"/>
        </w:rPr>
      </w:pPr>
      <w:r>
        <w:rPr>
          <w:rFonts w:ascii="Times New Roman" w:hAnsi="方正小标宋简体" w:eastAsia="方正小标宋简体"/>
          <w:sz w:val="40"/>
          <w:szCs w:val="40"/>
        </w:rPr>
        <w:t>湖北省生产经营租住村（居）民自建房</w:t>
      </w:r>
    </w:p>
    <w:p>
      <w:pPr>
        <w:spacing w:line="620" w:lineRule="exact"/>
        <w:jc w:val="center"/>
        <w:rPr>
          <w:rFonts w:ascii="Times New Roman" w:hAnsi="Times New Roman" w:eastAsia="方正小标宋简体"/>
          <w:sz w:val="40"/>
          <w:szCs w:val="40"/>
        </w:rPr>
      </w:pPr>
      <w:r>
        <w:rPr>
          <w:rFonts w:ascii="Times New Roman" w:hAnsi="Times New Roman" w:eastAsia="方正小标宋简体"/>
          <w:sz w:val="40"/>
          <w:szCs w:val="40"/>
        </w:rPr>
        <w:t xml:space="preserve"> </w:t>
      </w:r>
      <w:r>
        <w:rPr>
          <w:rFonts w:ascii="Times New Roman" w:hAnsi="方正小标宋简体" w:eastAsia="方正小标宋简体"/>
          <w:sz w:val="40"/>
          <w:szCs w:val="40"/>
        </w:rPr>
        <w:t>重大火灾风险排查指引</w:t>
      </w:r>
    </w:p>
    <w:p>
      <w:pPr>
        <w:spacing w:line="620" w:lineRule="exact"/>
        <w:jc w:val="center"/>
        <w:rPr>
          <w:rFonts w:ascii="Times New Roman" w:hAnsi="Times New Roman" w:eastAsia="楷体_GB2312"/>
          <w:sz w:val="32"/>
          <w:szCs w:val="32"/>
        </w:rPr>
      </w:pPr>
    </w:p>
    <w:p>
      <w:pPr>
        <w:spacing w:line="620" w:lineRule="exact"/>
        <w:ind w:firstLine="640" w:firstLineChars="200"/>
        <w:jc w:val="left"/>
        <w:rPr>
          <w:rFonts w:ascii="Times New Roman" w:hAnsi="Times New Roman" w:eastAsia="仿宋_GB2312"/>
          <w:sz w:val="32"/>
          <w:szCs w:val="32"/>
        </w:rPr>
      </w:pPr>
      <w:r>
        <w:rPr>
          <w:rFonts w:ascii="Times New Roman" w:hAnsi="仿宋_GB2312" w:eastAsia="仿宋_GB2312"/>
          <w:sz w:val="32"/>
          <w:szCs w:val="32"/>
        </w:rPr>
        <w:t>生产经营租住村（居）民自建房是指在城镇、农村集体土地上，由村（居）民个人自行出资建设或委托建筑工匠、施工队伍建造的房屋，被用于生产、经营、租住等用途。其治理的范围和重点如下：</w:t>
      </w:r>
    </w:p>
    <w:p>
      <w:pPr>
        <w:pStyle w:val="7"/>
        <w:spacing w:line="620" w:lineRule="exact"/>
        <w:ind w:firstLine="640" w:firstLineChars="200"/>
        <w:jc w:val="both"/>
        <w:rPr>
          <w:rFonts w:eastAsia="黑体"/>
          <w:color w:val="auto"/>
          <w:sz w:val="32"/>
        </w:rPr>
      </w:pPr>
      <w:r>
        <w:rPr>
          <w:rFonts w:eastAsia="黑体"/>
          <w:color w:val="auto"/>
          <w:sz w:val="32"/>
        </w:rPr>
        <w:t>一、治理范围</w:t>
      </w:r>
    </w:p>
    <w:p>
      <w:pPr>
        <w:pStyle w:val="7"/>
        <w:spacing w:line="620" w:lineRule="exact"/>
        <w:ind w:firstLine="640" w:firstLineChars="200"/>
        <w:jc w:val="both"/>
        <w:rPr>
          <w:color w:val="auto"/>
          <w:sz w:val="32"/>
        </w:rPr>
      </w:pPr>
      <w:r>
        <w:rPr>
          <w:color w:val="auto"/>
          <w:sz w:val="32"/>
        </w:rPr>
        <w:t>（一）具有生产功能</w:t>
      </w:r>
      <w:r>
        <w:rPr>
          <w:rFonts w:eastAsia="楷体_GB2312"/>
          <w:color w:val="auto"/>
          <w:sz w:val="32"/>
        </w:rPr>
        <w:t>（小生产加工作坊、小仓储、小冷库等）</w:t>
      </w:r>
      <w:r>
        <w:rPr>
          <w:color w:val="auto"/>
          <w:sz w:val="32"/>
        </w:rPr>
        <w:t>，</w:t>
      </w:r>
      <w:r>
        <w:rPr>
          <w:rFonts w:hAnsi="仿宋_GB2312"/>
          <w:color w:val="auto"/>
          <w:sz w:val="32"/>
        </w:rPr>
        <w:t>住宿人员</w:t>
      </w:r>
      <w:r>
        <w:rPr>
          <w:color w:val="auto"/>
          <w:sz w:val="32"/>
        </w:rPr>
        <w:t>3</w:t>
      </w:r>
      <w:r>
        <w:rPr>
          <w:rFonts w:hAnsi="仿宋_GB2312"/>
          <w:color w:val="auto"/>
          <w:sz w:val="32"/>
        </w:rPr>
        <w:t>人以上或从业人员</w:t>
      </w:r>
      <w:r>
        <w:rPr>
          <w:color w:val="auto"/>
          <w:sz w:val="32"/>
        </w:rPr>
        <w:t>10</w:t>
      </w:r>
      <w:r>
        <w:rPr>
          <w:rFonts w:hAnsi="仿宋_GB2312"/>
          <w:color w:val="auto"/>
          <w:sz w:val="32"/>
        </w:rPr>
        <w:t>人以上的自建房</w:t>
      </w:r>
      <w:r>
        <w:rPr>
          <w:rFonts w:eastAsia="楷体_GB2312"/>
          <w:color w:val="auto"/>
          <w:sz w:val="32"/>
        </w:rPr>
        <w:t>（以上包含本数，下同）</w:t>
      </w:r>
      <w:r>
        <w:rPr>
          <w:color w:val="auto"/>
          <w:sz w:val="32"/>
        </w:rPr>
        <w:t>。</w:t>
      </w:r>
    </w:p>
    <w:p>
      <w:pPr>
        <w:pStyle w:val="7"/>
        <w:spacing w:line="620" w:lineRule="exact"/>
        <w:ind w:firstLine="640" w:firstLineChars="200"/>
        <w:jc w:val="both"/>
        <w:rPr>
          <w:color w:val="auto"/>
          <w:sz w:val="32"/>
        </w:rPr>
      </w:pPr>
      <w:r>
        <w:rPr>
          <w:color w:val="auto"/>
          <w:sz w:val="32"/>
        </w:rPr>
        <w:t>（二）具有经营功能</w:t>
      </w:r>
      <w:r>
        <w:rPr>
          <w:rFonts w:eastAsia="楷体_GB2312"/>
          <w:color w:val="auto"/>
          <w:sz w:val="32"/>
        </w:rPr>
        <w:t>（商店、网吧、纯餐饮场所、公共娱乐场所、幼儿园、培训机构、养老机构等）</w:t>
      </w:r>
      <w:r>
        <w:rPr>
          <w:color w:val="auto"/>
          <w:sz w:val="32"/>
        </w:rPr>
        <w:t>，</w:t>
      </w:r>
      <w:r>
        <w:rPr>
          <w:rFonts w:hAnsi="仿宋_GB2312"/>
          <w:color w:val="auto"/>
          <w:sz w:val="32"/>
        </w:rPr>
        <w:t>住宿人员</w:t>
      </w:r>
      <w:r>
        <w:rPr>
          <w:color w:val="auto"/>
          <w:sz w:val="32"/>
        </w:rPr>
        <w:t>3</w:t>
      </w:r>
      <w:r>
        <w:rPr>
          <w:rFonts w:hAnsi="仿宋_GB2312"/>
          <w:color w:val="auto"/>
          <w:sz w:val="32"/>
        </w:rPr>
        <w:t>人以上或从业人员</w:t>
      </w:r>
      <w:r>
        <w:rPr>
          <w:color w:val="auto"/>
          <w:sz w:val="32"/>
        </w:rPr>
        <w:t>10</w:t>
      </w:r>
      <w:r>
        <w:rPr>
          <w:rFonts w:hAnsi="仿宋_GB2312"/>
          <w:color w:val="auto"/>
          <w:sz w:val="32"/>
        </w:rPr>
        <w:t>人以上的自建房。</w:t>
      </w:r>
    </w:p>
    <w:p>
      <w:pPr>
        <w:pStyle w:val="7"/>
        <w:spacing w:line="620" w:lineRule="exact"/>
        <w:ind w:firstLine="640" w:firstLineChars="200"/>
        <w:jc w:val="both"/>
        <w:rPr>
          <w:color w:val="auto"/>
          <w:sz w:val="32"/>
        </w:rPr>
      </w:pPr>
      <w:r>
        <w:rPr>
          <w:color w:val="auto"/>
          <w:sz w:val="32"/>
        </w:rPr>
        <w:t>（三）具有租住功能</w:t>
      </w:r>
      <w:r>
        <w:rPr>
          <w:rFonts w:eastAsia="楷体_GB2312"/>
          <w:color w:val="auto"/>
          <w:sz w:val="32"/>
        </w:rPr>
        <w:t>（出租屋、小旅店、民宿、农家乐等）</w:t>
      </w:r>
      <w:r>
        <w:rPr>
          <w:color w:val="auto"/>
          <w:sz w:val="32"/>
        </w:rPr>
        <w:t>，</w:t>
      </w:r>
      <w:r>
        <w:rPr>
          <w:rFonts w:hAnsi="仿宋_GB2312"/>
          <w:color w:val="auto"/>
          <w:sz w:val="32"/>
        </w:rPr>
        <w:t>住宿人员</w:t>
      </w:r>
      <w:r>
        <w:rPr>
          <w:color w:val="auto"/>
          <w:sz w:val="32"/>
        </w:rPr>
        <w:t>10</w:t>
      </w:r>
      <w:r>
        <w:rPr>
          <w:rFonts w:hAnsi="仿宋_GB2312"/>
          <w:color w:val="auto"/>
          <w:sz w:val="32"/>
        </w:rPr>
        <w:t>人以上的自建房。</w:t>
      </w:r>
    </w:p>
    <w:p>
      <w:pPr>
        <w:pStyle w:val="7"/>
        <w:spacing w:line="620" w:lineRule="exact"/>
        <w:ind w:firstLine="640" w:firstLineChars="200"/>
        <w:jc w:val="both"/>
        <w:rPr>
          <w:rFonts w:eastAsia="黑体"/>
          <w:color w:val="auto"/>
          <w:sz w:val="32"/>
        </w:rPr>
      </w:pPr>
      <w:r>
        <w:rPr>
          <w:rFonts w:eastAsia="黑体"/>
          <w:color w:val="auto"/>
          <w:sz w:val="32"/>
        </w:rPr>
        <w:t>二、治理重点</w:t>
      </w:r>
    </w:p>
    <w:p>
      <w:pPr>
        <w:pStyle w:val="7"/>
        <w:spacing w:line="620" w:lineRule="exact"/>
        <w:ind w:firstLine="643" w:firstLineChars="200"/>
        <w:jc w:val="both"/>
        <w:rPr>
          <w:rFonts w:eastAsia="楷体_GB2312"/>
          <w:b/>
          <w:bCs/>
          <w:color w:val="auto"/>
          <w:sz w:val="32"/>
        </w:rPr>
      </w:pPr>
      <w:r>
        <w:rPr>
          <w:rFonts w:eastAsia="楷体_GB2312"/>
          <w:b/>
          <w:bCs/>
          <w:color w:val="auto"/>
          <w:sz w:val="32"/>
        </w:rPr>
        <w:t>（一）使用易燃可燃夹芯彩钢板或易燃材料搭建临时房屋；屋顶、外墙、房间隔墙使用易燃可燃夹芯彩钢板或易燃材料。</w:t>
      </w:r>
    </w:p>
    <w:p>
      <w:pPr>
        <w:pStyle w:val="7"/>
        <w:spacing w:line="620" w:lineRule="exact"/>
        <w:ind w:firstLine="643" w:firstLineChars="200"/>
        <w:jc w:val="both"/>
        <w:rPr>
          <w:b/>
          <w:color w:val="auto"/>
          <w:sz w:val="32"/>
        </w:rPr>
      </w:pPr>
      <w:r>
        <w:rPr>
          <w:b/>
          <w:color w:val="auto"/>
          <w:sz w:val="32"/>
        </w:rPr>
        <w:t>1.</w:t>
      </w:r>
      <w:r>
        <w:rPr>
          <w:rFonts w:hAnsi="仿宋_GB2312"/>
          <w:b/>
          <w:color w:val="auto"/>
          <w:sz w:val="32"/>
        </w:rPr>
        <w:t>具体情形</w:t>
      </w:r>
    </w:p>
    <w:p>
      <w:pPr>
        <w:pStyle w:val="7"/>
        <w:spacing w:line="620" w:lineRule="exact"/>
        <w:ind w:firstLine="640" w:firstLineChars="200"/>
        <w:jc w:val="both"/>
        <w:rPr>
          <w:color w:val="auto"/>
          <w:sz w:val="32"/>
        </w:rPr>
      </w:pPr>
      <w:r>
        <w:rPr>
          <w:rFonts w:hAnsi="仿宋_GB2312"/>
          <w:color w:val="auto"/>
          <w:sz w:val="32"/>
        </w:rPr>
        <w:t>（</w:t>
      </w:r>
      <w:r>
        <w:rPr>
          <w:color w:val="auto"/>
          <w:sz w:val="32"/>
        </w:rPr>
        <w:t>1</w:t>
      </w:r>
      <w:r>
        <w:rPr>
          <w:rFonts w:hAnsi="仿宋_GB2312"/>
          <w:color w:val="auto"/>
          <w:sz w:val="32"/>
        </w:rPr>
        <w:t>）采用芯材为聚苯、挤塑聚苯乙烯、聚氨酯泡沫、三聚酯和纸蜂窝等易燃可燃夹芯彩钢板；</w:t>
      </w:r>
    </w:p>
    <w:p>
      <w:pPr>
        <w:pStyle w:val="7"/>
        <w:spacing w:line="620" w:lineRule="exact"/>
        <w:ind w:firstLine="640" w:firstLineChars="200"/>
        <w:jc w:val="both"/>
        <w:rPr>
          <w:color w:val="auto"/>
          <w:sz w:val="32"/>
        </w:rPr>
      </w:pPr>
      <w:r>
        <w:rPr>
          <w:rFonts w:hAnsi="仿宋_GB2312"/>
          <w:color w:val="auto"/>
          <w:sz w:val="32"/>
        </w:rPr>
        <w:t>（</w:t>
      </w:r>
      <w:r>
        <w:rPr>
          <w:color w:val="auto"/>
          <w:sz w:val="32"/>
        </w:rPr>
        <w:t>2</w:t>
      </w:r>
      <w:r>
        <w:rPr>
          <w:rFonts w:hAnsi="仿宋_GB2312"/>
          <w:color w:val="auto"/>
          <w:sz w:val="32"/>
        </w:rPr>
        <w:t>）采用竹、木、油毡、沥青、塑料和橡胶制品等易燃建材；</w:t>
      </w:r>
    </w:p>
    <w:p>
      <w:pPr>
        <w:pStyle w:val="7"/>
        <w:spacing w:line="620" w:lineRule="exact"/>
        <w:ind w:firstLine="640" w:firstLineChars="200"/>
        <w:jc w:val="both"/>
        <w:rPr>
          <w:color w:val="auto"/>
          <w:sz w:val="32"/>
        </w:rPr>
      </w:pPr>
      <w:r>
        <w:rPr>
          <w:rFonts w:hAnsi="仿宋_GB2312"/>
          <w:color w:val="auto"/>
          <w:sz w:val="32"/>
        </w:rPr>
        <w:t>（</w:t>
      </w:r>
      <w:r>
        <w:rPr>
          <w:color w:val="auto"/>
          <w:sz w:val="32"/>
        </w:rPr>
        <w:t>3</w:t>
      </w:r>
      <w:r>
        <w:rPr>
          <w:rFonts w:hAnsi="仿宋_GB2312"/>
          <w:color w:val="auto"/>
          <w:sz w:val="32"/>
        </w:rPr>
        <w:t>）大量使用棉、麻、纸、布、丙纶、腈纶、环氧树脂等易燃装修材料；</w:t>
      </w:r>
    </w:p>
    <w:p>
      <w:pPr>
        <w:pStyle w:val="7"/>
        <w:spacing w:line="620" w:lineRule="exact"/>
        <w:ind w:firstLine="640" w:firstLineChars="200"/>
        <w:jc w:val="both"/>
        <w:rPr>
          <w:color w:val="auto"/>
          <w:sz w:val="32"/>
        </w:rPr>
      </w:pPr>
      <w:r>
        <w:rPr>
          <w:rFonts w:hAnsi="仿宋_GB2312"/>
          <w:color w:val="auto"/>
          <w:sz w:val="32"/>
        </w:rPr>
        <w:t>（</w:t>
      </w:r>
      <w:r>
        <w:rPr>
          <w:color w:val="auto"/>
          <w:sz w:val="32"/>
        </w:rPr>
        <w:t>4</w:t>
      </w:r>
      <w:r>
        <w:rPr>
          <w:rFonts w:hAnsi="仿宋_GB2312"/>
          <w:color w:val="auto"/>
          <w:sz w:val="32"/>
        </w:rPr>
        <w:t>）采用其他易燃材料。</w:t>
      </w:r>
    </w:p>
    <w:p>
      <w:pPr>
        <w:pStyle w:val="7"/>
        <w:spacing w:line="620" w:lineRule="exact"/>
        <w:ind w:firstLine="643" w:firstLineChars="200"/>
        <w:jc w:val="both"/>
        <w:rPr>
          <w:b/>
          <w:color w:val="auto"/>
          <w:sz w:val="32"/>
        </w:rPr>
      </w:pPr>
      <w:r>
        <w:rPr>
          <w:b/>
          <w:color w:val="auto"/>
          <w:sz w:val="32"/>
        </w:rPr>
        <w:t>2.</w:t>
      </w:r>
      <w:r>
        <w:rPr>
          <w:rFonts w:hAnsi="仿宋_GB2312"/>
          <w:b/>
          <w:color w:val="auto"/>
          <w:sz w:val="32"/>
        </w:rPr>
        <w:t>整改措施</w:t>
      </w:r>
    </w:p>
    <w:p>
      <w:pPr>
        <w:pStyle w:val="7"/>
        <w:snapToGrid w:val="0"/>
        <w:spacing w:line="620" w:lineRule="exact"/>
        <w:ind w:firstLine="640" w:firstLineChars="200"/>
        <w:jc w:val="both"/>
        <w:rPr>
          <w:color w:val="auto"/>
          <w:sz w:val="32"/>
        </w:rPr>
      </w:pPr>
      <w:r>
        <w:rPr>
          <w:rFonts w:hAnsi="仿宋_GB2312"/>
          <w:color w:val="auto"/>
          <w:sz w:val="32"/>
        </w:rPr>
        <w:t>建筑材料应使用不燃、难燃材料，对违规使用易燃可燃夹芯彩钢板或者其他易燃材料的，必须拆除。</w:t>
      </w:r>
    </w:p>
    <w:p>
      <w:pPr>
        <w:pStyle w:val="7"/>
        <w:spacing w:line="620" w:lineRule="exact"/>
        <w:ind w:firstLine="643" w:firstLineChars="200"/>
        <w:jc w:val="both"/>
        <w:rPr>
          <w:rFonts w:eastAsia="楷体_GB2312"/>
          <w:b/>
          <w:bCs/>
          <w:color w:val="auto"/>
          <w:sz w:val="32"/>
        </w:rPr>
      </w:pPr>
      <w:r>
        <w:rPr>
          <w:rFonts w:eastAsia="楷体_GB2312"/>
          <w:b/>
          <w:bCs/>
          <w:color w:val="auto"/>
          <w:sz w:val="32"/>
        </w:rPr>
        <w:t>（二）居住区域与生产、经营区域未完全防火分隔。</w:t>
      </w:r>
    </w:p>
    <w:p>
      <w:pPr>
        <w:pStyle w:val="7"/>
        <w:spacing w:line="620" w:lineRule="exact"/>
        <w:ind w:firstLine="643" w:firstLineChars="200"/>
        <w:jc w:val="both"/>
        <w:rPr>
          <w:b/>
          <w:color w:val="auto"/>
          <w:sz w:val="32"/>
        </w:rPr>
      </w:pPr>
      <w:r>
        <w:rPr>
          <w:b/>
          <w:color w:val="auto"/>
          <w:sz w:val="32"/>
        </w:rPr>
        <w:t>1.</w:t>
      </w:r>
      <w:r>
        <w:rPr>
          <w:rFonts w:hAnsi="仿宋_GB2312"/>
          <w:b/>
          <w:color w:val="auto"/>
          <w:sz w:val="32"/>
        </w:rPr>
        <w:t>具体情形</w:t>
      </w:r>
    </w:p>
    <w:p>
      <w:pPr>
        <w:pStyle w:val="7"/>
        <w:spacing w:line="620" w:lineRule="exact"/>
        <w:ind w:firstLine="640" w:firstLineChars="200"/>
        <w:jc w:val="both"/>
        <w:rPr>
          <w:color w:val="auto"/>
          <w:sz w:val="32"/>
        </w:rPr>
      </w:pPr>
      <w:r>
        <w:rPr>
          <w:rFonts w:hAnsi="仿宋_GB2312"/>
          <w:color w:val="auto"/>
          <w:sz w:val="32"/>
        </w:rPr>
        <w:t>（</w:t>
      </w:r>
      <w:r>
        <w:rPr>
          <w:color w:val="auto"/>
          <w:sz w:val="32"/>
        </w:rPr>
        <w:t>1</w:t>
      </w:r>
      <w:r>
        <w:rPr>
          <w:rFonts w:hAnsi="仿宋_GB2312"/>
          <w:color w:val="auto"/>
          <w:sz w:val="32"/>
        </w:rPr>
        <w:t>）区域之间相互连通，未进行防火分隔；</w:t>
      </w:r>
    </w:p>
    <w:p>
      <w:pPr>
        <w:pStyle w:val="7"/>
        <w:spacing w:line="620" w:lineRule="exact"/>
        <w:ind w:firstLine="640" w:firstLineChars="200"/>
        <w:jc w:val="both"/>
        <w:rPr>
          <w:color w:val="auto"/>
          <w:sz w:val="32"/>
        </w:rPr>
      </w:pPr>
      <w:r>
        <w:rPr>
          <w:rFonts w:hAnsi="仿宋_GB2312"/>
          <w:color w:val="auto"/>
          <w:sz w:val="32"/>
        </w:rPr>
        <w:t>（</w:t>
      </w:r>
      <w:r>
        <w:rPr>
          <w:color w:val="auto"/>
          <w:sz w:val="32"/>
        </w:rPr>
        <w:t>2</w:t>
      </w:r>
      <w:r>
        <w:rPr>
          <w:rFonts w:hAnsi="仿宋_GB2312"/>
          <w:color w:val="auto"/>
          <w:sz w:val="32"/>
        </w:rPr>
        <w:t>）区域之间门窗洞口、敞开楼梯等相互连通，未完全进行防火分隔；</w:t>
      </w:r>
    </w:p>
    <w:p>
      <w:pPr>
        <w:pStyle w:val="7"/>
        <w:spacing w:line="620" w:lineRule="exact"/>
        <w:ind w:firstLine="640" w:firstLineChars="200"/>
        <w:jc w:val="both"/>
        <w:rPr>
          <w:color w:val="auto"/>
          <w:sz w:val="32"/>
        </w:rPr>
      </w:pPr>
      <w:r>
        <w:rPr>
          <w:rFonts w:hAnsi="仿宋_GB2312"/>
          <w:color w:val="auto"/>
          <w:sz w:val="32"/>
        </w:rPr>
        <w:t>（</w:t>
      </w:r>
      <w:r>
        <w:rPr>
          <w:color w:val="auto"/>
          <w:sz w:val="32"/>
        </w:rPr>
        <w:t>3</w:t>
      </w:r>
      <w:r>
        <w:rPr>
          <w:rFonts w:hAnsi="仿宋_GB2312"/>
          <w:color w:val="auto"/>
          <w:sz w:val="32"/>
        </w:rPr>
        <w:t>）区域之间闷顶、吊顶或者管道、竖井等隐蔽空间相互连通，未完全进行防火分隔；</w:t>
      </w:r>
    </w:p>
    <w:p>
      <w:pPr>
        <w:pStyle w:val="7"/>
        <w:spacing w:line="620" w:lineRule="exact"/>
        <w:ind w:firstLine="640" w:firstLineChars="200"/>
        <w:jc w:val="both"/>
        <w:rPr>
          <w:color w:val="auto"/>
          <w:sz w:val="32"/>
        </w:rPr>
      </w:pPr>
      <w:r>
        <w:rPr>
          <w:rFonts w:hAnsi="仿宋_GB2312"/>
          <w:color w:val="auto"/>
          <w:sz w:val="32"/>
        </w:rPr>
        <w:t>（</w:t>
      </w:r>
      <w:r>
        <w:rPr>
          <w:color w:val="auto"/>
          <w:sz w:val="32"/>
        </w:rPr>
        <w:t>4</w:t>
      </w:r>
      <w:r>
        <w:rPr>
          <w:rFonts w:hAnsi="仿宋_GB2312"/>
          <w:color w:val="auto"/>
          <w:sz w:val="32"/>
        </w:rPr>
        <w:t>）区域之间采用木板、纸板、木夹板、密度板、刨花板、塑料板等可燃材料分隔；</w:t>
      </w:r>
    </w:p>
    <w:p>
      <w:pPr>
        <w:pStyle w:val="7"/>
        <w:spacing w:line="620" w:lineRule="exact"/>
        <w:ind w:firstLine="640" w:firstLineChars="200"/>
        <w:jc w:val="both"/>
        <w:rPr>
          <w:color w:val="auto"/>
          <w:sz w:val="32"/>
        </w:rPr>
      </w:pPr>
      <w:r>
        <w:rPr>
          <w:rFonts w:hAnsi="仿宋_GB2312"/>
          <w:color w:val="auto"/>
          <w:sz w:val="32"/>
        </w:rPr>
        <w:t>（</w:t>
      </w:r>
      <w:r>
        <w:rPr>
          <w:color w:val="auto"/>
          <w:sz w:val="32"/>
        </w:rPr>
        <w:t>5</w:t>
      </w:r>
      <w:r>
        <w:rPr>
          <w:rFonts w:hAnsi="仿宋_GB2312"/>
          <w:color w:val="auto"/>
          <w:sz w:val="32"/>
        </w:rPr>
        <w:t>）区域之间采用单层铁皮、石棉瓦、纸面石膏板等不能</w:t>
      </w:r>
      <w:r>
        <w:rPr>
          <w:color w:val="auto"/>
          <w:sz w:val="32"/>
        </w:rPr>
        <w:t>满足耐火隔热要求的材料分隔；</w:t>
      </w:r>
    </w:p>
    <w:p>
      <w:pPr>
        <w:pStyle w:val="7"/>
        <w:spacing w:line="620" w:lineRule="exact"/>
        <w:ind w:firstLine="640" w:firstLineChars="200"/>
        <w:jc w:val="both"/>
        <w:rPr>
          <w:color w:val="auto"/>
          <w:sz w:val="32"/>
        </w:rPr>
      </w:pPr>
      <w:r>
        <w:rPr>
          <w:rFonts w:hAnsi="仿宋_GB2312"/>
          <w:color w:val="auto"/>
          <w:sz w:val="32"/>
        </w:rPr>
        <w:t>（</w:t>
      </w:r>
      <w:r>
        <w:rPr>
          <w:color w:val="auto"/>
          <w:sz w:val="32"/>
        </w:rPr>
        <w:t>6</w:t>
      </w:r>
      <w:r>
        <w:rPr>
          <w:rFonts w:hAnsi="仿宋_GB2312"/>
          <w:color w:val="auto"/>
          <w:sz w:val="32"/>
        </w:rPr>
        <w:t>）其他未完全防火分隔的情形。</w:t>
      </w:r>
    </w:p>
    <w:p>
      <w:pPr>
        <w:pStyle w:val="7"/>
        <w:spacing w:line="620" w:lineRule="exact"/>
        <w:ind w:firstLine="643" w:firstLineChars="200"/>
        <w:jc w:val="both"/>
        <w:rPr>
          <w:b/>
          <w:color w:val="auto"/>
          <w:sz w:val="32"/>
        </w:rPr>
      </w:pPr>
      <w:r>
        <w:rPr>
          <w:b/>
          <w:color w:val="auto"/>
          <w:sz w:val="32"/>
        </w:rPr>
        <w:t>2.</w:t>
      </w:r>
      <w:r>
        <w:rPr>
          <w:rFonts w:hAnsi="仿宋_GB2312"/>
          <w:b/>
          <w:color w:val="auto"/>
          <w:sz w:val="32"/>
        </w:rPr>
        <w:t>整改措施</w:t>
      </w:r>
    </w:p>
    <w:p>
      <w:pPr>
        <w:pStyle w:val="7"/>
        <w:spacing w:line="620" w:lineRule="exact"/>
        <w:ind w:firstLine="640" w:firstLineChars="200"/>
        <w:jc w:val="both"/>
        <w:rPr>
          <w:color w:val="FF0000"/>
          <w:sz w:val="32"/>
        </w:rPr>
      </w:pPr>
      <w:r>
        <w:rPr>
          <w:rFonts w:hAnsi="仿宋_GB2312"/>
          <w:color w:val="auto"/>
          <w:sz w:val="32"/>
        </w:rPr>
        <w:t>建筑内居住区域与生产、经营、储存区域之间应划分不同防火单元。合用场所的建筑高度大于</w:t>
      </w:r>
      <w:r>
        <w:rPr>
          <w:color w:val="auto"/>
          <w:sz w:val="32"/>
        </w:rPr>
        <w:t>15</w:t>
      </w:r>
      <w:r>
        <w:rPr>
          <w:rFonts w:hAnsi="仿宋_GB2312"/>
          <w:color w:val="auto"/>
          <w:sz w:val="32"/>
        </w:rPr>
        <w:t>米、建筑面积大于</w:t>
      </w:r>
      <w:r>
        <w:rPr>
          <w:color w:val="auto"/>
          <w:sz w:val="32"/>
        </w:rPr>
        <w:t>2000</w:t>
      </w:r>
      <w:r>
        <w:rPr>
          <w:rFonts w:hAnsi="仿宋_GB2312"/>
          <w:color w:val="auto"/>
          <w:sz w:val="32"/>
        </w:rPr>
        <w:t>平方米或住宿人数超过</w:t>
      </w:r>
      <w:r>
        <w:rPr>
          <w:color w:val="auto"/>
          <w:sz w:val="32"/>
        </w:rPr>
        <w:t>20</w:t>
      </w:r>
      <w:r>
        <w:rPr>
          <w:rFonts w:hAnsi="仿宋_GB2312"/>
          <w:color w:val="auto"/>
          <w:sz w:val="32"/>
        </w:rPr>
        <w:t>人，应采用不开门窗洞口的防火墙将居住与非居住区域完全分隔；确需开设门窗的，居住与非居住区域应设置火灾自动报警或独立式感烟火灾探测报警器、自动喷水灭火系统或自动喷水局部应用系统，设置独立的辅助疏散设施；其他合用场所应采用实体墙和防火门窗</w:t>
      </w:r>
      <w:r>
        <w:rPr>
          <w:rFonts w:hAnsi="仿宋_GB2312"/>
          <w:color w:val="auto"/>
          <w:kern w:val="1"/>
          <w:sz w:val="32"/>
        </w:rPr>
        <w:t>进行分隔。对于无法满足上述条件的，必须限制生产、经营和储存的物品种类及数量，或人员不得留宿。</w:t>
      </w:r>
    </w:p>
    <w:p>
      <w:pPr>
        <w:pStyle w:val="7"/>
        <w:spacing w:line="620" w:lineRule="exact"/>
        <w:ind w:firstLine="643" w:firstLineChars="200"/>
        <w:jc w:val="both"/>
        <w:rPr>
          <w:rFonts w:eastAsia="楷体_GB2312"/>
          <w:b/>
          <w:bCs/>
          <w:color w:val="auto"/>
          <w:sz w:val="32"/>
        </w:rPr>
      </w:pPr>
      <w:r>
        <w:rPr>
          <w:rFonts w:eastAsia="楷体_GB2312"/>
          <w:b/>
          <w:bCs/>
          <w:color w:val="auto"/>
          <w:sz w:val="32"/>
        </w:rPr>
        <w:t>（三）电动自行车、电动摩托车、电动平衡车及其蓄电池在室内公共区域、疏散走道、楼梯间、安全出口或房间内停放、充电；室外集中停放、充电区域及其设置的雨棚与建筑外窗、安全出口直接相邻。</w:t>
      </w:r>
    </w:p>
    <w:p>
      <w:pPr>
        <w:pStyle w:val="7"/>
        <w:spacing w:line="620" w:lineRule="exact"/>
        <w:ind w:firstLine="643" w:firstLineChars="200"/>
        <w:jc w:val="both"/>
        <w:rPr>
          <w:b/>
          <w:color w:val="auto"/>
          <w:sz w:val="32"/>
        </w:rPr>
      </w:pPr>
      <w:r>
        <w:rPr>
          <w:b/>
          <w:color w:val="auto"/>
          <w:sz w:val="32"/>
        </w:rPr>
        <w:t>1.</w:t>
      </w:r>
      <w:r>
        <w:rPr>
          <w:rFonts w:hAnsi="仿宋_GB2312"/>
          <w:b/>
          <w:color w:val="auto"/>
          <w:sz w:val="32"/>
        </w:rPr>
        <w:t>具体情形</w:t>
      </w:r>
    </w:p>
    <w:p>
      <w:pPr>
        <w:pStyle w:val="7"/>
        <w:spacing w:line="620" w:lineRule="exact"/>
        <w:ind w:firstLine="640" w:firstLineChars="200"/>
        <w:jc w:val="both"/>
        <w:rPr>
          <w:color w:val="auto"/>
          <w:sz w:val="32"/>
        </w:rPr>
      </w:pPr>
      <w:r>
        <w:rPr>
          <w:rFonts w:hAnsi="仿宋_GB2312"/>
          <w:color w:val="auto"/>
          <w:sz w:val="32"/>
        </w:rPr>
        <w:t>（</w:t>
      </w:r>
      <w:r>
        <w:rPr>
          <w:color w:val="auto"/>
          <w:sz w:val="32"/>
        </w:rPr>
        <w:t>1</w:t>
      </w:r>
      <w:r>
        <w:rPr>
          <w:rFonts w:hAnsi="仿宋_GB2312"/>
          <w:color w:val="auto"/>
          <w:sz w:val="32"/>
        </w:rPr>
        <w:t>）在建筑室内公共区域、疏散走道、楼梯间、安全出口或房间内停放、充电；</w:t>
      </w:r>
    </w:p>
    <w:p>
      <w:pPr>
        <w:pStyle w:val="7"/>
        <w:spacing w:line="620" w:lineRule="exact"/>
        <w:ind w:firstLine="640" w:firstLineChars="200"/>
        <w:jc w:val="both"/>
        <w:rPr>
          <w:color w:val="auto"/>
          <w:sz w:val="32"/>
        </w:rPr>
      </w:pPr>
      <w:r>
        <w:rPr>
          <w:rFonts w:hAnsi="仿宋_GB2312"/>
          <w:color w:val="auto"/>
          <w:sz w:val="32"/>
        </w:rPr>
        <w:t>（</w:t>
      </w:r>
      <w:r>
        <w:rPr>
          <w:color w:val="auto"/>
          <w:sz w:val="32"/>
        </w:rPr>
        <w:t>2</w:t>
      </w:r>
      <w:r>
        <w:rPr>
          <w:rFonts w:hAnsi="仿宋_GB2312"/>
          <w:color w:val="auto"/>
          <w:sz w:val="32"/>
        </w:rPr>
        <w:t>）室外集中停放、充电区域及其设置的雨棚与建筑外窗、安全出口直接相邻；</w:t>
      </w:r>
    </w:p>
    <w:p>
      <w:pPr>
        <w:pStyle w:val="7"/>
        <w:spacing w:line="620" w:lineRule="exact"/>
        <w:ind w:firstLine="640" w:firstLineChars="200"/>
        <w:jc w:val="both"/>
        <w:rPr>
          <w:color w:val="auto"/>
          <w:sz w:val="32"/>
        </w:rPr>
      </w:pPr>
      <w:r>
        <w:rPr>
          <w:rFonts w:hAnsi="仿宋_GB2312"/>
          <w:color w:val="auto"/>
          <w:sz w:val="32"/>
        </w:rPr>
        <w:t>（</w:t>
      </w:r>
      <w:r>
        <w:rPr>
          <w:color w:val="auto"/>
          <w:sz w:val="32"/>
        </w:rPr>
        <w:t>3</w:t>
      </w:r>
      <w:r>
        <w:rPr>
          <w:rFonts w:hAnsi="仿宋_GB2312"/>
          <w:color w:val="auto"/>
          <w:sz w:val="32"/>
        </w:rPr>
        <w:t>）其他停放、充电行为可能引起火灾蔓延扩大的情形。</w:t>
      </w:r>
    </w:p>
    <w:p>
      <w:pPr>
        <w:pStyle w:val="7"/>
        <w:spacing w:line="620" w:lineRule="exact"/>
        <w:ind w:firstLine="643" w:firstLineChars="200"/>
        <w:jc w:val="both"/>
        <w:rPr>
          <w:b/>
          <w:color w:val="auto"/>
          <w:sz w:val="32"/>
        </w:rPr>
      </w:pPr>
      <w:r>
        <w:rPr>
          <w:b/>
          <w:color w:val="auto"/>
          <w:sz w:val="32"/>
        </w:rPr>
        <w:t>2.</w:t>
      </w:r>
      <w:r>
        <w:rPr>
          <w:rFonts w:hAnsi="仿宋_GB2312"/>
          <w:b/>
          <w:color w:val="auto"/>
          <w:sz w:val="32"/>
        </w:rPr>
        <w:t>整改措施</w:t>
      </w:r>
    </w:p>
    <w:p>
      <w:pPr>
        <w:pStyle w:val="7"/>
        <w:spacing w:line="620" w:lineRule="exact"/>
        <w:ind w:firstLine="640" w:firstLineChars="200"/>
        <w:jc w:val="both"/>
        <w:rPr>
          <w:color w:val="auto"/>
          <w:sz w:val="32"/>
        </w:rPr>
      </w:pPr>
      <w:r>
        <w:rPr>
          <w:rFonts w:hAnsi="仿宋_GB2312"/>
          <w:bCs/>
          <w:color w:val="auto"/>
          <w:sz w:val="32"/>
        </w:rPr>
        <w:t>电动自行车、电动摩托车、电动平衡车等</w:t>
      </w:r>
      <w:r>
        <w:rPr>
          <w:rFonts w:hAnsi="仿宋_GB2312"/>
          <w:color w:val="auto"/>
          <w:sz w:val="32"/>
        </w:rPr>
        <w:t>应停放在安全地点，充电时确保安全；设置室外集中停放、充电区域的，其雨棚等设施应与建筑外窗、安全出口保持安全距离。对</w:t>
      </w:r>
      <w:r>
        <w:rPr>
          <w:rFonts w:hAnsi="仿宋_GB2312"/>
          <w:bCs/>
          <w:color w:val="auto"/>
          <w:sz w:val="32"/>
        </w:rPr>
        <w:t>电动自行车、电动摩托车、电动平衡车</w:t>
      </w:r>
      <w:r>
        <w:rPr>
          <w:rFonts w:hAnsi="仿宋_GB2312"/>
          <w:color w:val="auto"/>
          <w:sz w:val="32"/>
        </w:rPr>
        <w:t>及蓄电池在建筑内停放、充电的，必须搬移至室外，且不得影响人员疏散和安全逃生</w:t>
      </w:r>
      <w:r>
        <w:rPr>
          <w:color w:val="auto"/>
          <w:sz w:val="32"/>
        </w:rPr>
        <w:t>;</w:t>
      </w:r>
      <w:r>
        <w:rPr>
          <w:rFonts w:hAnsi="仿宋_GB2312"/>
          <w:color w:val="auto"/>
          <w:sz w:val="32"/>
        </w:rPr>
        <w:t>对违规设置室外电动车集中停放、充电雨棚等设施的，必须拆除，或选择合适位置重建。</w:t>
      </w:r>
    </w:p>
    <w:p>
      <w:pPr>
        <w:pStyle w:val="7"/>
        <w:spacing w:line="620" w:lineRule="exact"/>
        <w:ind w:firstLine="643" w:firstLineChars="200"/>
        <w:jc w:val="both"/>
        <w:rPr>
          <w:rFonts w:eastAsia="楷体_GB2312"/>
          <w:b/>
          <w:bCs/>
          <w:color w:val="auto"/>
          <w:sz w:val="32"/>
        </w:rPr>
      </w:pPr>
      <w:r>
        <w:rPr>
          <w:rFonts w:hAnsi="楷体_GB2312" w:eastAsia="楷体_GB2312"/>
          <w:b/>
          <w:bCs/>
          <w:color w:val="auto"/>
          <w:sz w:val="32"/>
        </w:rPr>
        <w:t>（四）每层建筑面积超过</w:t>
      </w:r>
      <w:r>
        <w:rPr>
          <w:rFonts w:eastAsia="楷体_GB2312"/>
          <w:b/>
          <w:bCs/>
          <w:color w:val="auto"/>
          <w:sz w:val="32"/>
        </w:rPr>
        <w:t>200</w:t>
      </w:r>
      <w:r>
        <w:rPr>
          <w:rFonts w:hAnsi="楷体_GB2312" w:eastAsia="楷体_GB2312"/>
          <w:b/>
          <w:bCs/>
          <w:color w:val="auto"/>
          <w:sz w:val="32"/>
        </w:rPr>
        <w:t>平方米、屋顶承重构件和楼板为可燃材料、建筑层数为</w:t>
      </w:r>
      <w:r>
        <w:rPr>
          <w:rFonts w:eastAsia="楷体_GB2312"/>
          <w:b/>
          <w:bCs/>
          <w:color w:val="auto"/>
          <w:sz w:val="32"/>
        </w:rPr>
        <w:t>4</w:t>
      </w:r>
      <w:r>
        <w:rPr>
          <w:rFonts w:hAnsi="楷体_GB2312" w:eastAsia="楷体_GB2312"/>
          <w:b/>
          <w:bCs/>
          <w:color w:val="auto"/>
          <w:sz w:val="32"/>
        </w:rPr>
        <w:t>层以上的，疏散楼梯少于</w:t>
      </w:r>
      <w:r>
        <w:rPr>
          <w:rFonts w:eastAsia="楷体_GB2312"/>
          <w:b/>
          <w:bCs/>
          <w:color w:val="auto"/>
          <w:sz w:val="32"/>
        </w:rPr>
        <w:t>2</w:t>
      </w:r>
      <w:r>
        <w:rPr>
          <w:rFonts w:hAnsi="楷体_GB2312" w:eastAsia="楷体_GB2312"/>
          <w:b/>
          <w:bCs/>
          <w:color w:val="auto"/>
          <w:sz w:val="32"/>
        </w:rPr>
        <w:t>部，首层安全出口少于</w:t>
      </w:r>
      <w:r>
        <w:rPr>
          <w:rFonts w:eastAsia="楷体_GB2312"/>
          <w:b/>
          <w:bCs/>
          <w:color w:val="auto"/>
          <w:sz w:val="32"/>
        </w:rPr>
        <w:t>2</w:t>
      </w:r>
      <w:r>
        <w:rPr>
          <w:rFonts w:hAnsi="楷体_GB2312" w:eastAsia="楷体_GB2312"/>
          <w:b/>
          <w:bCs/>
          <w:color w:val="auto"/>
          <w:sz w:val="32"/>
        </w:rPr>
        <w:t>个。</w:t>
      </w:r>
    </w:p>
    <w:p>
      <w:pPr>
        <w:pStyle w:val="7"/>
        <w:spacing w:line="620" w:lineRule="exact"/>
        <w:ind w:firstLine="643" w:firstLineChars="200"/>
        <w:jc w:val="both"/>
        <w:rPr>
          <w:b/>
          <w:color w:val="auto"/>
          <w:sz w:val="32"/>
        </w:rPr>
      </w:pPr>
      <w:r>
        <w:rPr>
          <w:b/>
          <w:color w:val="auto"/>
          <w:sz w:val="32"/>
        </w:rPr>
        <w:t>1.</w:t>
      </w:r>
      <w:r>
        <w:rPr>
          <w:rFonts w:hAnsi="仿宋_GB2312"/>
          <w:b/>
          <w:color w:val="auto"/>
          <w:sz w:val="32"/>
        </w:rPr>
        <w:t>具体情形</w:t>
      </w:r>
    </w:p>
    <w:p>
      <w:pPr>
        <w:pStyle w:val="7"/>
        <w:spacing w:line="620" w:lineRule="exact"/>
        <w:ind w:firstLine="640" w:firstLineChars="200"/>
        <w:jc w:val="both"/>
        <w:rPr>
          <w:color w:val="auto"/>
          <w:sz w:val="32"/>
        </w:rPr>
      </w:pPr>
      <w:r>
        <w:rPr>
          <w:rFonts w:hAnsi="仿宋_GB2312"/>
          <w:color w:val="auto"/>
          <w:sz w:val="32"/>
        </w:rPr>
        <w:t>（</w:t>
      </w:r>
      <w:r>
        <w:rPr>
          <w:color w:val="auto"/>
          <w:sz w:val="32"/>
        </w:rPr>
        <w:t>1</w:t>
      </w:r>
      <w:r>
        <w:rPr>
          <w:rFonts w:hAnsi="仿宋_GB2312"/>
          <w:color w:val="auto"/>
          <w:sz w:val="32"/>
        </w:rPr>
        <w:t>）每层建筑面积超过</w:t>
      </w:r>
      <w:r>
        <w:rPr>
          <w:color w:val="auto"/>
          <w:sz w:val="32"/>
        </w:rPr>
        <w:t>200</w:t>
      </w:r>
      <w:r>
        <w:rPr>
          <w:rFonts w:hAnsi="仿宋_GB2312"/>
          <w:color w:val="auto"/>
          <w:sz w:val="32"/>
        </w:rPr>
        <w:t>平方米</w:t>
      </w:r>
      <w:r>
        <w:rPr>
          <w:color w:val="auto"/>
          <w:sz w:val="32"/>
        </w:rPr>
        <w:t xml:space="preserve">, </w:t>
      </w:r>
      <w:r>
        <w:rPr>
          <w:rFonts w:hAnsi="仿宋_GB2312"/>
          <w:color w:val="auto"/>
          <w:sz w:val="32"/>
        </w:rPr>
        <w:t>疏散楼梯</w:t>
      </w:r>
      <w:r>
        <w:rPr>
          <w:rFonts w:hAnsi="仿宋_GB2312"/>
          <w:bCs/>
          <w:color w:val="auto"/>
          <w:sz w:val="32"/>
        </w:rPr>
        <w:t>和</w:t>
      </w:r>
      <w:r>
        <w:rPr>
          <w:rFonts w:hAnsi="仿宋_GB2312"/>
          <w:color w:val="auto"/>
          <w:sz w:val="32"/>
        </w:rPr>
        <w:t>首层安全出口少于</w:t>
      </w:r>
      <w:r>
        <w:rPr>
          <w:color w:val="auto"/>
          <w:sz w:val="32"/>
        </w:rPr>
        <w:t>2</w:t>
      </w:r>
      <w:r>
        <w:rPr>
          <w:rFonts w:hAnsi="仿宋_GB2312"/>
          <w:color w:val="auto"/>
          <w:sz w:val="32"/>
        </w:rPr>
        <w:t>个；</w:t>
      </w:r>
    </w:p>
    <w:p>
      <w:pPr>
        <w:pStyle w:val="7"/>
        <w:spacing w:line="620" w:lineRule="exact"/>
        <w:ind w:firstLine="640" w:firstLineChars="200"/>
        <w:jc w:val="both"/>
        <w:rPr>
          <w:color w:val="auto"/>
          <w:sz w:val="32"/>
        </w:rPr>
      </w:pPr>
      <w:r>
        <w:rPr>
          <w:rFonts w:hAnsi="仿宋_GB2312"/>
          <w:color w:val="auto"/>
          <w:sz w:val="32"/>
        </w:rPr>
        <w:t>（</w:t>
      </w:r>
      <w:r>
        <w:rPr>
          <w:color w:val="auto"/>
          <w:sz w:val="32"/>
        </w:rPr>
        <w:t>2</w:t>
      </w:r>
      <w:r>
        <w:rPr>
          <w:rFonts w:hAnsi="仿宋_GB2312"/>
          <w:color w:val="auto"/>
          <w:sz w:val="32"/>
        </w:rPr>
        <w:t>）屋顶承重构件和楼板为可燃材料，疏散楼梯和首层安全出口少于</w:t>
      </w:r>
      <w:r>
        <w:rPr>
          <w:color w:val="auto"/>
          <w:sz w:val="32"/>
        </w:rPr>
        <w:t>2</w:t>
      </w:r>
      <w:r>
        <w:rPr>
          <w:rFonts w:hAnsi="仿宋_GB2312"/>
          <w:color w:val="auto"/>
          <w:sz w:val="32"/>
        </w:rPr>
        <w:t>个；</w:t>
      </w:r>
    </w:p>
    <w:p>
      <w:pPr>
        <w:pStyle w:val="7"/>
        <w:spacing w:line="620" w:lineRule="exact"/>
        <w:ind w:firstLine="640" w:firstLineChars="200"/>
        <w:jc w:val="both"/>
        <w:rPr>
          <w:color w:val="auto"/>
          <w:sz w:val="32"/>
        </w:rPr>
      </w:pPr>
      <w:r>
        <w:rPr>
          <w:rFonts w:hAnsi="仿宋_GB2312"/>
          <w:color w:val="auto"/>
          <w:sz w:val="32"/>
        </w:rPr>
        <w:t>（</w:t>
      </w:r>
      <w:r>
        <w:rPr>
          <w:color w:val="auto"/>
          <w:sz w:val="32"/>
        </w:rPr>
        <w:t>3</w:t>
      </w:r>
      <w:r>
        <w:rPr>
          <w:rFonts w:hAnsi="仿宋_GB2312"/>
          <w:color w:val="auto"/>
          <w:sz w:val="32"/>
        </w:rPr>
        <w:t>）建筑层数为</w:t>
      </w:r>
      <w:r>
        <w:rPr>
          <w:color w:val="auto"/>
          <w:sz w:val="32"/>
        </w:rPr>
        <w:t>4</w:t>
      </w:r>
      <w:r>
        <w:rPr>
          <w:rFonts w:hAnsi="仿宋_GB2312"/>
          <w:color w:val="auto"/>
          <w:sz w:val="32"/>
        </w:rPr>
        <w:t>层及以上，疏散楼梯和首层安全出口少于</w:t>
      </w:r>
      <w:r>
        <w:rPr>
          <w:color w:val="auto"/>
          <w:sz w:val="32"/>
        </w:rPr>
        <w:t>2</w:t>
      </w:r>
      <w:r>
        <w:rPr>
          <w:rFonts w:hAnsi="仿宋_GB2312"/>
          <w:color w:val="auto"/>
          <w:sz w:val="32"/>
        </w:rPr>
        <w:t>个；</w:t>
      </w:r>
    </w:p>
    <w:p>
      <w:pPr>
        <w:pStyle w:val="7"/>
        <w:spacing w:line="620" w:lineRule="exact"/>
        <w:ind w:firstLine="640" w:firstLineChars="200"/>
        <w:jc w:val="both"/>
        <w:rPr>
          <w:color w:val="auto"/>
          <w:sz w:val="32"/>
        </w:rPr>
      </w:pPr>
      <w:r>
        <w:rPr>
          <w:rFonts w:hAnsi="仿宋_GB2312"/>
          <w:color w:val="auto"/>
          <w:sz w:val="32"/>
        </w:rPr>
        <w:t>（</w:t>
      </w:r>
      <w:r>
        <w:rPr>
          <w:color w:val="auto"/>
          <w:sz w:val="32"/>
        </w:rPr>
        <w:t>4</w:t>
      </w:r>
      <w:r>
        <w:rPr>
          <w:rFonts w:hAnsi="仿宋_GB2312"/>
          <w:color w:val="auto"/>
          <w:sz w:val="32"/>
        </w:rPr>
        <w:t>）首层设置托儿所、幼儿园时安全出口少于</w:t>
      </w:r>
      <w:r>
        <w:rPr>
          <w:color w:val="auto"/>
          <w:sz w:val="32"/>
        </w:rPr>
        <w:t>2</w:t>
      </w:r>
      <w:r>
        <w:rPr>
          <w:rFonts w:hAnsi="仿宋_GB2312"/>
          <w:color w:val="auto"/>
          <w:sz w:val="32"/>
        </w:rPr>
        <w:t>个，或二、三层设置医疗、养老、教育培训、儿童活动和歌舞娱乐放映游艺等经营场所时疏散楼梯少于</w:t>
      </w:r>
      <w:r>
        <w:rPr>
          <w:color w:val="auto"/>
          <w:sz w:val="32"/>
        </w:rPr>
        <w:t>2</w:t>
      </w:r>
      <w:r>
        <w:rPr>
          <w:rFonts w:hAnsi="仿宋_GB2312"/>
          <w:color w:val="auto"/>
          <w:sz w:val="32"/>
        </w:rPr>
        <w:t>部。</w:t>
      </w:r>
    </w:p>
    <w:p>
      <w:pPr>
        <w:pStyle w:val="7"/>
        <w:spacing w:line="620" w:lineRule="exact"/>
        <w:ind w:firstLine="640" w:firstLineChars="200"/>
        <w:jc w:val="both"/>
        <w:rPr>
          <w:color w:val="auto"/>
          <w:sz w:val="32"/>
        </w:rPr>
      </w:pPr>
      <w:r>
        <w:rPr>
          <w:rFonts w:hAnsi="仿宋_GB2312"/>
          <w:color w:val="auto"/>
          <w:sz w:val="32"/>
        </w:rPr>
        <w:t>（</w:t>
      </w:r>
      <w:r>
        <w:rPr>
          <w:color w:val="auto"/>
          <w:sz w:val="32"/>
        </w:rPr>
        <w:t>5</w:t>
      </w:r>
      <w:r>
        <w:rPr>
          <w:rFonts w:hAnsi="仿宋_GB2312"/>
          <w:color w:val="auto"/>
          <w:sz w:val="32"/>
        </w:rPr>
        <w:t>）小加工作坊当任一层建筑面积大于</w:t>
      </w:r>
      <w:r>
        <w:rPr>
          <w:color w:val="auto"/>
          <w:sz w:val="32"/>
        </w:rPr>
        <w:t>150</w:t>
      </w:r>
      <w:r>
        <w:rPr>
          <w:rFonts w:hAnsi="仿宋_GB2312"/>
          <w:color w:val="auto"/>
          <w:sz w:val="32"/>
        </w:rPr>
        <w:t>平方米，或同一时间的生产人数超过</w:t>
      </w:r>
      <w:r>
        <w:rPr>
          <w:color w:val="auto"/>
          <w:sz w:val="32"/>
        </w:rPr>
        <w:t>10</w:t>
      </w:r>
      <w:r>
        <w:rPr>
          <w:rFonts w:hAnsi="仿宋_GB2312"/>
          <w:color w:val="auto"/>
          <w:sz w:val="32"/>
        </w:rPr>
        <w:t>人时，疏散楼梯和首层安全出口少于</w:t>
      </w:r>
      <w:r>
        <w:rPr>
          <w:color w:val="auto"/>
          <w:sz w:val="32"/>
        </w:rPr>
        <w:t>2</w:t>
      </w:r>
      <w:r>
        <w:rPr>
          <w:rFonts w:hAnsi="仿宋_GB2312"/>
          <w:color w:val="auto"/>
          <w:sz w:val="32"/>
        </w:rPr>
        <w:t>个。</w:t>
      </w:r>
    </w:p>
    <w:p>
      <w:pPr>
        <w:pStyle w:val="7"/>
        <w:spacing w:line="620" w:lineRule="exact"/>
        <w:ind w:firstLine="643" w:firstLineChars="200"/>
        <w:jc w:val="both"/>
        <w:rPr>
          <w:b/>
          <w:color w:val="auto"/>
          <w:sz w:val="32"/>
        </w:rPr>
      </w:pPr>
      <w:r>
        <w:rPr>
          <w:b/>
          <w:color w:val="auto"/>
          <w:sz w:val="32"/>
        </w:rPr>
        <w:t>2.</w:t>
      </w:r>
      <w:r>
        <w:rPr>
          <w:rFonts w:hAnsi="仿宋_GB2312"/>
          <w:b/>
          <w:color w:val="auto"/>
          <w:sz w:val="32"/>
        </w:rPr>
        <w:t>整改措施</w:t>
      </w:r>
    </w:p>
    <w:p>
      <w:pPr>
        <w:pStyle w:val="7"/>
        <w:spacing w:line="620" w:lineRule="exact"/>
        <w:ind w:firstLine="640" w:firstLineChars="200"/>
        <w:jc w:val="both"/>
        <w:rPr>
          <w:color w:val="auto"/>
          <w:sz w:val="32"/>
        </w:rPr>
      </w:pPr>
      <w:r>
        <w:rPr>
          <w:rFonts w:hAnsi="仿宋_GB2312"/>
          <w:color w:val="auto"/>
          <w:sz w:val="32"/>
        </w:rPr>
        <w:t>一定规模的</w:t>
      </w:r>
      <w:r>
        <w:rPr>
          <w:rFonts w:hAnsi="仿宋_GB2312"/>
          <w:sz w:val="32"/>
        </w:rPr>
        <w:t>生产经营租住村（居）民自建房</w:t>
      </w:r>
      <w:r>
        <w:rPr>
          <w:rFonts w:hAnsi="仿宋_GB2312"/>
          <w:color w:val="auto"/>
          <w:sz w:val="32"/>
        </w:rPr>
        <w:t>，其疏散楼梯不应少于</w:t>
      </w:r>
      <w:r>
        <w:rPr>
          <w:color w:val="auto"/>
          <w:sz w:val="32"/>
        </w:rPr>
        <w:t>2</w:t>
      </w:r>
      <w:r>
        <w:rPr>
          <w:rFonts w:hAnsi="仿宋_GB2312"/>
          <w:color w:val="auto"/>
          <w:sz w:val="32"/>
        </w:rPr>
        <w:t>部、首层安全出口不应少于</w:t>
      </w:r>
      <w:r>
        <w:rPr>
          <w:color w:val="auto"/>
          <w:sz w:val="32"/>
        </w:rPr>
        <w:t>2</w:t>
      </w:r>
      <w:r>
        <w:rPr>
          <w:rFonts w:hAnsi="仿宋_GB2312"/>
          <w:color w:val="auto"/>
          <w:sz w:val="32"/>
        </w:rPr>
        <w:t>个；对于疏散楼梯、安全出口数量不足的，应增设室外楼梯和安全出口。无法满足上述条件的，必须限制生产、经营规模或改变使用性质；具有租住功能的自建房不得从事租住业务。</w:t>
      </w:r>
    </w:p>
    <w:p>
      <w:pPr>
        <w:pStyle w:val="7"/>
        <w:spacing w:line="620" w:lineRule="exact"/>
        <w:ind w:firstLine="643" w:firstLineChars="200"/>
        <w:jc w:val="both"/>
        <w:rPr>
          <w:rFonts w:eastAsia="楷体_GB2312"/>
          <w:b/>
          <w:bCs/>
          <w:color w:val="auto"/>
          <w:sz w:val="32"/>
        </w:rPr>
      </w:pPr>
      <w:r>
        <w:rPr>
          <w:rFonts w:eastAsia="楷体_GB2312"/>
          <w:b/>
          <w:bCs/>
          <w:color w:val="auto"/>
          <w:sz w:val="32"/>
        </w:rPr>
        <w:t>（五）外窗、疏散走道安装防盗网、广告牌、铁栅栏。</w:t>
      </w:r>
    </w:p>
    <w:p>
      <w:pPr>
        <w:pStyle w:val="7"/>
        <w:spacing w:line="620" w:lineRule="exact"/>
        <w:ind w:firstLine="643" w:firstLineChars="200"/>
        <w:jc w:val="both"/>
        <w:rPr>
          <w:b/>
          <w:color w:val="auto"/>
          <w:sz w:val="32"/>
        </w:rPr>
      </w:pPr>
      <w:r>
        <w:rPr>
          <w:b/>
          <w:color w:val="auto"/>
          <w:sz w:val="32"/>
        </w:rPr>
        <w:t>1.</w:t>
      </w:r>
      <w:r>
        <w:rPr>
          <w:rFonts w:hAnsi="仿宋_GB2312"/>
          <w:b/>
          <w:color w:val="auto"/>
          <w:sz w:val="32"/>
        </w:rPr>
        <w:t>具体情形</w:t>
      </w:r>
    </w:p>
    <w:p>
      <w:pPr>
        <w:pStyle w:val="7"/>
        <w:spacing w:line="620" w:lineRule="exact"/>
        <w:ind w:firstLine="640" w:firstLineChars="200"/>
        <w:jc w:val="both"/>
        <w:rPr>
          <w:color w:val="auto"/>
          <w:sz w:val="32"/>
        </w:rPr>
      </w:pPr>
      <w:r>
        <w:rPr>
          <w:rFonts w:hAnsi="仿宋_GB2312"/>
          <w:color w:val="auto"/>
          <w:sz w:val="32"/>
        </w:rPr>
        <w:t>（</w:t>
      </w:r>
      <w:r>
        <w:rPr>
          <w:color w:val="auto"/>
          <w:sz w:val="32"/>
        </w:rPr>
        <w:t>1</w:t>
      </w:r>
      <w:r>
        <w:rPr>
          <w:rFonts w:hAnsi="仿宋_GB2312"/>
          <w:color w:val="auto"/>
          <w:sz w:val="32"/>
        </w:rPr>
        <w:t>）建筑外窗、阳台上安装防盗网、广告牌等影响逃生救援的障碍物；</w:t>
      </w:r>
    </w:p>
    <w:p>
      <w:pPr>
        <w:pStyle w:val="7"/>
        <w:spacing w:line="620" w:lineRule="exact"/>
        <w:ind w:firstLine="640" w:firstLineChars="200"/>
        <w:jc w:val="both"/>
        <w:rPr>
          <w:color w:val="auto"/>
          <w:sz w:val="32"/>
        </w:rPr>
      </w:pPr>
      <w:r>
        <w:rPr>
          <w:rFonts w:hAnsi="仿宋_GB2312"/>
          <w:color w:val="auto"/>
          <w:sz w:val="32"/>
        </w:rPr>
        <w:t>（</w:t>
      </w:r>
      <w:r>
        <w:rPr>
          <w:color w:val="auto"/>
          <w:sz w:val="32"/>
        </w:rPr>
        <w:t>2</w:t>
      </w:r>
      <w:r>
        <w:rPr>
          <w:rFonts w:hAnsi="仿宋_GB2312"/>
          <w:color w:val="auto"/>
          <w:sz w:val="32"/>
        </w:rPr>
        <w:t>）建筑内疏散走道、楼梯、安全出口等处设置铁栅栏等障碍物影响疏散逃生；</w:t>
      </w:r>
    </w:p>
    <w:p>
      <w:pPr>
        <w:pStyle w:val="7"/>
        <w:spacing w:line="620" w:lineRule="exact"/>
        <w:ind w:firstLine="640" w:firstLineChars="200"/>
        <w:jc w:val="both"/>
        <w:rPr>
          <w:color w:val="auto"/>
          <w:sz w:val="32"/>
        </w:rPr>
      </w:pPr>
      <w:r>
        <w:rPr>
          <w:rFonts w:hAnsi="仿宋_GB2312"/>
          <w:color w:val="auto"/>
          <w:sz w:val="32"/>
        </w:rPr>
        <w:t>（</w:t>
      </w:r>
      <w:r>
        <w:rPr>
          <w:color w:val="auto"/>
          <w:sz w:val="32"/>
        </w:rPr>
        <w:t>3</w:t>
      </w:r>
      <w:r>
        <w:rPr>
          <w:rFonts w:hAnsi="仿宋_GB2312"/>
          <w:color w:val="auto"/>
          <w:sz w:val="32"/>
        </w:rPr>
        <w:t>）其他逃生和救援路径上设置障碍物。</w:t>
      </w:r>
    </w:p>
    <w:p>
      <w:pPr>
        <w:pStyle w:val="7"/>
        <w:spacing w:line="620" w:lineRule="exact"/>
        <w:ind w:firstLine="643" w:firstLineChars="200"/>
        <w:jc w:val="both"/>
        <w:rPr>
          <w:b/>
          <w:color w:val="auto"/>
          <w:sz w:val="32"/>
        </w:rPr>
      </w:pPr>
      <w:r>
        <w:rPr>
          <w:b/>
          <w:color w:val="auto"/>
          <w:sz w:val="32"/>
        </w:rPr>
        <w:t>2.</w:t>
      </w:r>
      <w:r>
        <w:rPr>
          <w:rFonts w:hAnsi="仿宋_GB2312"/>
          <w:b/>
          <w:color w:val="auto"/>
          <w:sz w:val="32"/>
        </w:rPr>
        <w:t>整改措施</w:t>
      </w:r>
    </w:p>
    <w:p>
      <w:pPr>
        <w:pStyle w:val="7"/>
        <w:spacing w:line="620" w:lineRule="exact"/>
        <w:ind w:firstLine="640" w:firstLineChars="200"/>
        <w:jc w:val="both"/>
        <w:rPr>
          <w:color w:val="auto"/>
          <w:sz w:val="32"/>
        </w:rPr>
      </w:pPr>
      <w:r>
        <w:rPr>
          <w:rFonts w:hAnsi="仿宋_GB2312"/>
          <w:color w:val="auto"/>
          <w:sz w:val="32"/>
        </w:rPr>
        <w:t>安全出口、疏散走道、楼梯间和楼梯等疏散设施及窗口、阳台等部位，不应设置封闭栅</w:t>
      </w:r>
      <w:r>
        <w:rPr>
          <w:color w:val="auto"/>
          <w:sz w:val="32"/>
        </w:rPr>
        <w:t>栏等影响逃生自救的障碍物；户外广告牌的设置不应遮挡建筑外窗，不应影响外部灭火救援行动。对外窗、疏散走道安装防盗网、广告牌、铁栅栏的，必须拆除；确需设置的，应确保易于从内部打开，并宜设置逃生梯、逃生绳等辅助疏散逃生设施。</w:t>
      </w:r>
    </w:p>
    <w:p>
      <w:pPr>
        <w:pStyle w:val="7"/>
        <w:spacing w:line="620" w:lineRule="exact"/>
        <w:ind w:firstLine="643" w:firstLineChars="200"/>
        <w:jc w:val="both"/>
        <w:rPr>
          <w:rFonts w:eastAsia="楷体_GB2312"/>
          <w:b/>
          <w:bCs/>
          <w:color w:val="auto"/>
          <w:sz w:val="32"/>
        </w:rPr>
      </w:pPr>
      <w:r>
        <w:rPr>
          <w:rFonts w:eastAsia="楷体_GB2312"/>
          <w:b/>
          <w:bCs/>
          <w:color w:val="auto"/>
          <w:sz w:val="32"/>
        </w:rPr>
        <w:t>（六）用于租住的自建房内设置采用易燃可燃保温材料的冷库、设置液氨制冷剂的冷库，生产、储存、经营易燃易爆危险品的自建房设置居住场所。</w:t>
      </w:r>
    </w:p>
    <w:p>
      <w:pPr>
        <w:pStyle w:val="7"/>
        <w:spacing w:line="620" w:lineRule="exact"/>
        <w:ind w:firstLine="643" w:firstLineChars="200"/>
        <w:jc w:val="both"/>
        <w:rPr>
          <w:b/>
          <w:color w:val="auto"/>
          <w:sz w:val="32"/>
        </w:rPr>
      </w:pPr>
      <w:r>
        <w:rPr>
          <w:b/>
          <w:color w:val="auto"/>
          <w:sz w:val="32"/>
        </w:rPr>
        <w:t>1.</w:t>
      </w:r>
      <w:r>
        <w:rPr>
          <w:rFonts w:hAnsi="仿宋_GB2312"/>
          <w:b/>
          <w:color w:val="auto"/>
          <w:sz w:val="32"/>
        </w:rPr>
        <w:t>具体情形</w:t>
      </w:r>
    </w:p>
    <w:p>
      <w:pPr>
        <w:pStyle w:val="7"/>
        <w:spacing w:line="620" w:lineRule="exact"/>
        <w:ind w:firstLine="640" w:firstLineChars="200"/>
        <w:jc w:val="both"/>
        <w:rPr>
          <w:color w:val="auto"/>
          <w:sz w:val="32"/>
        </w:rPr>
      </w:pPr>
      <w:r>
        <w:rPr>
          <w:rFonts w:hAnsi="仿宋_GB2312"/>
          <w:color w:val="auto"/>
          <w:sz w:val="32"/>
        </w:rPr>
        <w:t>（</w:t>
      </w:r>
      <w:r>
        <w:rPr>
          <w:color w:val="auto"/>
          <w:sz w:val="32"/>
        </w:rPr>
        <w:t>1</w:t>
      </w:r>
      <w:r>
        <w:rPr>
          <w:rFonts w:hAnsi="仿宋_GB2312"/>
          <w:color w:val="auto"/>
          <w:sz w:val="32"/>
        </w:rPr>
        <w:t>）租住自建房内设置采用聚氨酯泡沫等易燃可燃保温材料的冷库；</w:t>
      </w:r>
    </w:p>
    <w:p>
      <w:pPr>
        <w:pStyle w:val="7"/>
        <w:spacing w:line="620" w:lineRule="exact"/>
        <w:ind w:firstLine="640" w:firstLineChars="200"/>
        <w:jc w:val="both"/>
        <w:rPr>
          <w:color w:val="auto"/>
          <w:sz w:val="32"/>
        </w:rPr>
      </w:pPr>
      <w:r>
        <w:rPr>
          <w:rFonts w:hAnsi="仿宋_GB2312"/>
          <w:color w:val="auto"/>
          <w:sz w:val="32"/>
        </w:rPr>
        <w:t>（</w:t>
      </w:r>
      <w:r>
        <w:rPr>
          <w:color w:val="auto"/>
          <w:sz w:val="32"/>
        </w:rPr>
        <w:t>2</w:t>
      </w:r>
      <w:r>
        <w:rPr>
          <w:rFonts w:hAnsi="仿宋_GB2312"/>
          <w:color w:val="auto"/>
          <w:sz w:val="32"/>
        </w:rPr>
        <w:t>）租住自建房内设置使用液氨制冷剂的冷库；</w:t>
      </w:r>
    </w:p>
    <w:p>
      <w:pPr>
        <w:pStyle w:val="7"/>
        <w:spacing w:line="620" w:lineRule="exact"/>
        <w:ind w:firstLine="640" w:firstLineChars="200"/>
        <w:jc w:val="both"/>
        <w:rPr>
          <w:color w:val="auto"/>
          <w:sz w:val="32"/>
        </w:rPr>
      </w:pPr>
      <w:r>
        <w:rPr>
          <w:rFonts w:hAnsi="仿宋_GB2312"/>
          <w:color w:val="auto"/>
          <w:sz w:val="32"/>
        </w:rPr>
        <w:t>（</w:t>
      </w:r>
      <w:r>
        <w:rPr>
          <w:color w:val="auto"/>
          <w:sz w:val="32"/>
        </w:rPr>
        <w:t>3</w:t>
      </w:r>
      <w:r>
        <w:rPr>
          <w:rFonts w:hAnsi="仿宋_GB2312"/>
          <w:color w:val="auto"/>
          <w:sz w:val="32"/>
        </w:rPr>
        <w:t>）生产、储存、经营烟花爆竹、可燃液体（气体）等易燃易爆危险品的自建房内设置居住场所；</w:t>
      </w:r>
    </w:p>
    <w:p>
      <w:pPr>
        <w:pStyle w:val="7"/>
        <w:spacing w:line="620" w:lineRule="exact"/>
        <w:ind w:firstLine="640" w:firstLineChars="200"/>
        <w:jc w:val="both"/>
        <w:rPr>
          <w:color w:val="auto"/>
          <w:sz w:val="32"/>
        </w:rPr>
      </w:pPr>
      <w:r>
        <w:rPr>
          <w:rFonts w:hAnsi="仿宋_GB2312"/>
          <w:color w:val="auto"/>
          <w:sz w:val="32"/>
        </w:rPr>
        <w:t>（</w:t>
      </w:r>
      <w:r>
        <w:rPr>
          <w:color w:val="auto"/>
          <w:sz w:val="32"/>
        </w:rPr>
        <w:t>4</w:t>
      </w:r>
      <w:r>
        <w:rPr>
          <w:rFonts w:hAnsi="仿宋_GB2312"/>
          <w:color w:val="auto"/>
          <w:sz w:val="32"/>
        </w:rPr>
        <w:t>）其他合用方式可能引发租住人员伤亡火灾的。</w:t>
      </w:r>
    </w:p>
    <w:p>
      <w:pPr>
        <w:spacing w:line="620" w:lineRule="exact"/>
        <w:ind w:firstLine="643" w:firstLineChars="200"/>
        <w:rPr>
          <w:rFonts w:ascii="Times New Roman" w:hAnsi="Times New Roman" w:eastAsia="仿宋_GB2312"/>
          <w:b/>
          <w:sz w:val="32"/>
        </w:rPr>
      </w:pPr>
      <w:r>
        <w:rPr>
          <w:rFonts w:ascii="Times New Roman" w:hAnsi="Times New Roman" w:eastAsia="仿宋_GB2312"/>
          <w:b/>
          <w:sz w:val="32"/>
        </w:rPr>
        <w:t>2.</w:t>
      </w:r>
      <w:r>
        <w:rPr>
          <w:rFonts w:ascii="Times New Roman" w:hAnsi="仿宋_GB2312" w:eastAsia="仿宋_GB2312"/>
          <w:b/>
          <w:sz w:val="32"/>
        </w:rPr>
        <w:t>整改措施</w:t>
      </w:r>
    </w:p>
    <w:p>
      <w:pPr>
        <w:spacing w:line="620" w:lineRule="exact"/>
        <w:ind w:firstLine="640" w:firstLineChars="200"/>
        <w:rPr>
          <w:rFonts w:ascii="Times New Roman" w:hAnsi="Times New Roman" w:eastAsia="仿宋_GB2312"/>
          <w:sz w:val="32"/>
        </w:rPr>
      </w:pPr>
      <w:r>
        <w:rPr>
          <w:rFonts w:ascii="Times New Roman" w:hAnsi="仿宋_GB2312" w:eastAsia="仿宋_GB2312"/>
          <w:sz w:val="32"/>
        </w:rPr>
        <w:t>对租住自建房内设置不符合要求的冷库，或在生产、储存、经营易燃易爆危险品区域内设置的居住场所，必须搬离。无法满足上述条件的，必须责令停止生产、储存和经营，或严禁人员留宿。</w:t>
      </w:r>
    </w:p>
    <w:p>
      <w:pPr>
        <w:pStyle w:val="7"/>
        <w:spacing w:line="620" w:lineRule="exact"/>
        <w:ind w:firstLine="640" w:firstLineChars="200"/>
        <w:jc w:val="both"/>
        <w:rPr>
          <w:rFonts w:eastAsia="黑体"/>
          <w:color w:val="auto"/>
          <w:sz w:val="32"/>
        </w:rPr>
      </w:pPr>
      <w:r>
        <w:rPr>
          <w:rFonts w:eastAsia="黑体"/>
          <w:color w:val="auto"/>
          <w:sz w:val="32"/>
        </w:rPr>
        <w:t>三、其他典型火灾风险</w:t>
      </w:r>
    </w:p>
    <w:p>
      <w:pPr>
        <w:pStyle w:val="7"/>
        <w:spacing w:line="620" w:lineRule="exact"/>
        <w:ind w:firstLine="640" w:firstLineChars="200"/>
        <w:jc w:val="both"/>
        <w:rPr>
          <w:rFonts w:eastAsia="楷体_GB2312"/>
          <w:spacing w:val="3"/>
          <w:sz w:val="32"/>
        </w:rPr>
      </w:pPr>
      <w:r>
        <w:rPr>
          <w:rFonts w:eastAsia="楷体_GB2312"/>
          <w:color w:val="auto"/>
          <w:sz w:val="32"/>
        </w:rPr>
        <w:t>（一）</w:t>
      </w:r>
      <w:r>
        <w:rPr>
          <w:rFonts w:eastAsia="楷体_GB2312"/>
          <w:spacing w:val="3"/>
          <w:sz w:val="32"/>
        </w:rPr>
        <w:t>在生产、经营、储存可燃物品场所内生火做饭、吸烟等使用明火；</w:t>
      </w:r>
    </w:p>
    <w:p>
      <w:pPr>
        <w:pStyle w:val="7"/>
        <w:spacing w:line="620" w:lineRule="exact"/>
        <w:ind w:firstLine="640" w:firstLineChars="200"/>
        <w:jc w:val="both"/>
        <w:rPr>
          <w:rFonts w:eastAsia="楷体_GB2312"/>
          <w:spacing w:val="3"/>
          <w:sz w:val="32"/>
        </w:rPr>
      </w:pPr>
      <w:r>
        <w:rPr>
          <w:rFonts w:eastAsia="楷体_GB2312"/>
          <w:color w:val="auto"/>
          <w:sz w:val="32"/>
        </w:rPr>
        <w:t>（二）</w:t>
      </w:r>
      <w:r>
        <w:rPr>
          <w:rFonts w:eastAsia="楷体_GB2312"/>
          <w:spacing w:val="3"/>
          <w:sz w:val="32"/>
        </w:rPr>
        <w:t>在生产、经营、租住区域进行电焊、气焊、切割施工等明火作业未落实安全防范措施；</w:t>
      </w:r>
    </w:p>
    <w:p>
      <w:pPr>
        <w:pStyle w:val="7"/>
        <w:spacing w:line="620" w:lineRule="exact"/>
        <w:ind w:firstLine="640" w:firstLineChars="200"/>
        <w:jc w:val="both"/>
        <w:rPr>
          <w:rFonts w:eastAsia="楷体_GB2312"/>
          <w:spacing w:val="3"/>
          <w:sz w:val="32"/>
        </w:rPr>
      </w:pPr>
      <w:r>
        <w:rPr>
          <w:rFonts w:eastAsia="楷体_GB2312"/>
          <w:color w:val="auto"/>
          <w:sz w:val="32"/>
        </w:rPr>
        <w:t>（三）</w:t>
      </w:r>
      <w:r>
        <w:rPr>
          <w:rFonts w:eastAsia="楷体_GB2312"/>
          <w:spacing w:val="3"/>
          <w:sz w:val="32"/>
        </w:rPr>
        <w:t>室内燃气管线老化、破损、接口不牢固，液化石油气钢瓶锈蚀、变形、开裂、未定期检验或超期服役；</w:t>
      </w:r>
    </w:p>
    <w:p>
      <w:pPr>
        <w:pStyle w:val="7"/>
        <w:spacing w:line="620" w:lineRule="exact"/>
        <w:ind w:firstLine="640" w:firstLineChars="200"/>
        <w:jc w:val="both"/>
        <w:rPr>
          <w:rFonts w:eastAsia="楷体_GB2312"/>
          <w:spacing w:val="3"/>
          <w:sz w:val="32"/>
        </w:rPr>
      </w:pPr>
      <w:r>
        <w:rPr>
          <w:rFonts w:eastAsia="楷体_GB2312"/>
          <w:color w:val="auto"/>
          <w:sz w:val="32"/>
        </w:rPr>
        <w:t>（四）</w:t>
      </w:r>
      <w:r>
        <w:rPr>
          <w:rFonts w:eastAsia="楷体_GB2312"/>
          <w:spacing w:val="3"/>
          <w:sz w:val="32"/>
        </w:rPr>
        <w:t>私拉乱接电气线路，超负荷使用大功率电器产品；</w:t>
      </w:r>
    </w:p>
    <w:p>
      <w:pPr>
        <w:pStyle w:val="7"/>
        <w:spacing w:line="620" w:lineRule="exact"/>
        <w:ind w:firstLine="640" w:firstLineChars="200"/>
        <w:jc w:val="both"/>
        <w:rPr>
          <w:rFonts w:eastAsia="楷体_GB2312"/>
          <w:spacing w:val="3"/>
          <w:sz w:val="32"/>
        </w:rPr>
      </w:pPr>
      <w:r>
        <w:rPr>
          <w:rFonts w:eastAsia="楷体_GB2312"/>
          <w:color w:val="auto"/>
          <w:sz w:val="32"/>
        </w:rPr>
        <w:t>（五）</w:t>
      </w:r>
      <w:r>
        <w:rPr>
          <w:rFonts w:eastAsia="楷体_GB2312"/>
          <w:spacing w:val="3"/>
          <w:sz w:val="32"/>
        </w:rPr>
        <w:t>占用、堵塞、封闭疏散通道和安全出口；</w:t>
      </w:r>
    </w:p>
    <w:p>
      <w:pPr>
        <w:pStyle w:val="7"/>
        <w:spacing w:line="620" w:lineRule="exact"/>
        <w:ind w:firstLine="640" w:firstLineChars="200"/>
        <w:jc w:val="both"/>
        <w:rPr>
          <w:rFonts w:eastAsia="楷体_GB2312"/>
          <w:sz w:val="32"/>
        </w:rPr>
      </w:pPr>
      <w:r>
        <w:rPr>
          <w:rFonts w:eastAsia="楷体_GB2312"/>
          <w:color w:val="auto"/>
          <w:sz w:val="32"/>
        </w:rPr>
        <w:t>（六）未设置灭火器、应急照明灯和安全疏散指示标志等消防器材设施或消防器材设施损坏、过期失效</w:t>
      </w:r>
      <w:r>
        <w:rPr>
          <w:rFonts w:eastAsia="楷体_GB2312"/>
          <w:sz w:val="32"/>
        </w:rPr>
        <w:t>；</w:t>
      </w:r>
    </w:p>
    <w:p>
      <w:pPr>
        <w:pStyle w:val="7"/>
        <w:spacing w:line="620" w:lineRule="exact"/>
        <w:ind w:firstLine="640" w:firstLineChars="200"/>
        <w:jc w:val="both"/>
        <w:rPr>
          <w:rFonts w:eastAsia="楷体_GB2312"/>
          <w:spacing w:val="3"/>
          <w:sz w:val="32"/>
        </w:rPr>
      </w:pPr>
      <w:r>
        <w:rPr>
          <w:rFonts w:eastAsia="楷体_GB2312"/>
          <w:color w:val="auto"/>
          <w:sz w:val="32"/>
        </w:rPr>
        <w:t>（七）</w:t>
      </w:r>
      <w:r>
        <w:rPr>
          <w:rFonts w:eastAsia="楷体_GB2312"/>
          <w:spacing w:val="3"/>
          <w:sz w:val="32"/>
        </w:rPr>
        <w:t>其他容易造成火灾发生蔓延和人员伤亡的火灾风险。</w:t>
      </w:r>
    </w:p>
    <w:p>
      <w:pPr>
        <w:pStyle w:val="7"/>
        <w:spacing w:line="620" w:lineRule="exact"/>
        <w:ind w:firstLine="643" w:firstLineChars="200"/>
        <w:jc w:val="both"/>
        <w:rPr>
          <w:color w:val="auto"/>
          <w:sz w:val="32"/>
        </w:rPr>
      </w:pPr>
      <w:r>
        <w:rPr>
          <w:b/>
          <w:color w:val="auto"/>
          <w:sz w:val="32"/>
        </w:rPr>
        <w:t>整改措施：</w:t>
      </w:r>
      <w:r>
        <w:rPr>
          <w:color w:val="auto"/>
          <w:sz w:val="32"/>
        </w:rPr>
        <w:t>对排查发现的消防安全管理问题和火灾风险，应立即督促调整、修复和整改；现场整改不了的，由村（居）民委员会督办整改，督促建筑产权人、使用人或相关责任人及时采取有效措施，消除火灾风险，杜绝火灾事故发生。</w:t>
      </w:r>
    </w:p>
    <w:p>
      <w:pPr>
        <w:pStyle w:val="7"/>
        <w:spacing w:line="620" w:lineRule="exact"/>
        <w:jc w:val="both"/>
        <w:rPr>
          <w:rFonts w:eastAsia="黑体"/>
          <w:color w:val="auto"/>
          <w:sz w:val="32"/>
        </w:rPr>
      </w:pPr>
    </w:p>
    <w:p>
      <w:pPr>
        <w:pStyle w:val="7"/>
        <w:spacing w:line="620" w:lineRule="exact"/>
        <w:jc w:val="both"/>
        <w:rPr>
          <w:rFonts w:eastAsia="黑体"/>
          <w:color w:val="auto"/>
          <w:sz w:val="32"/>
        </w:rPr>
      </w:pPr>
    </w:p>
    <w:p>
      <w:pPr>
        <w:pStyle w:val="7"/>
        <w:spacing w:line="620" w:lineRule="exact"/>
        <w:jc w:val="both"/>
        <w:rPr>
          <w:rFonts w:eastAsia="黑体"/>
          <w:color w:val="auto"/>
          <w:sz w:val="32"/>
        </w:rPr>
      </w:pPr>
    </w:p>
    <w:p>
      <w:pPr>
        <w:pStyle w:val="7"/>
        <w:spacing w:line="620" w:lineRule="exact"/>
        <w:jc w:val="both"/>
        <w:rPr>
          <w:rFonts w:eastAsia="黑体"/>
          <w:color w:val="auto"/>
          <w:sz w:val="32"/>
        </w:rPr>
      </w:pPr>
    </w:p>
    <w:p>
      <w:pPr>
        <w:pStyle w:val="7"/>
        <w:spacing w:line="620" w:lineRule="exact"/>
        <w:jc w:val="both"/>
        <w:rPr>
          <w:rFonts w:eastAsia="黑体"/>
          <w:color w:val="auto"/>
          <w:sz w:val="32"/>
        </w:rPr>
      </w:pPr>
    </w:p>
    <w:p>
      <w:pPr>
        <w:pStyle w:val="7"/>
        <w:spacing w:line="620" w:lineRule="exact"/>
        <w:jc w:val="both"/>
        <w:rPr>
          <w:rFonts w:eastAsia="黑体"/>
          <w:color w:val="auto"/>
          <w:sz w:val="32"/>
        </w:rPr>
      </w:pPr>
    </w:p>
    <w:p>
      <w:pPr>
        <w:pStyle w:val="7"/>
        <w:spacing w:line="620" w:lineRule="exact"/>
        <w:jc w:val="both"/>
        <w:rPr>
          <w:rFonts w:eastAsia="黑体"/>
          <w:color w:val="auto"/>
          <w:sz w:val="32"/>
        </w:rPr>
      </w:pPr>
    </w:p>
    <w:p>
      <w:pPr>
        <w:pStyle w:val="7"/>
        <w:spacing w:line="620" w:lineRule="exact"/>
        <w:jc w:val="both"/>
        <w:rPr>
          <w:rFonts w:eastAsia="黑体"/>
          <w:color w:val="auto"/>
          <w:sz w:val="32"/>
        </w:rPr>
      </w:pPr>
    </w:p>
    <w:p>
      <w:pPr>
        <w:pStyle w:val="7"/>
        <w:spacing w:line="620" w:lineRule="exact"/>
        <w:jc w:val="both"/>
        <w:rPr>
          <w:rFonts w:hint="eastAsia" w:ascii="黑体" w:hAnsi="黑体" w:eastAsia="黑体" w:cs="黑体"/>
          <w:color w:val="auto"/>
          <w:sz w:val="32"/>
        </w:rPr>
      </w:pPr>
      <w:r>
        <w:rPr>
          <w:rFonts w:hint="eastAsia" w:ascii="黑体" w:hAnsi="黑体" w:eastAsia="黑体" w:cs="黑体"/>
          <w:color w:val="auto"/>
          <w:sz w:val="32"/>
        </w:rPr>
        <w:t>附件2:</w:t>
      </w:r>
    </w:p>
    <w:p>
      <w:pPr>
        <w:spacing w:line="620" w:lineRule="exact"/>
        <w:ind w:firstLine="1134" w:firstLineChars="300"/>
        <w:rPr>
          <w:rFonts w:ascii="Times New Roman" w:hAnsi="Times New Roman" w:eastAsia="方正小标宋简体"/>
          <w:sz w:val="40"/>
          <w:szCs w:val="40"/>
        </w:rPr>
      </w:pPr>
      <w:r>
        <w:rPr>
          <w:rFonts w:hint="eastAsia" w:ascii="Times New Roman" w:hAnsi="方正小标宋简体" w:eastAsia="方正小标宋简体"/>
          <w:spacing w:val="-11"/>
          <w:sz w:val="40"/>
          <w:szCs w:val="40"/>
        </w:rPr>
        <w:t>高新区</w:t>
      </w:r>
      <w:r>
        <w:rPr>
          <w:rFonts w:ascii="Times New Roman" w:hAnsi="方正小标宋简体" w:eastAsia="方正小标宋简体"/>
          <w:spacing w:val="-11"/>
          <w:sz w:val="40"/>
          <w:szCs w:val="40"/>
        </w:rPr>
        <w:t>自建房消防安全整治告知书</w:t>
      </w:r>
    </w:p>
    <w:p>
      <w:pPr>
        <w:pStyle w:val="7"/>
        <w:spacing w:line="620" w:lineRule="exact"/>
        <w:ind w:firstLine="640" w:firstLineChars="200"/>
        <w:jc w:val="both"/>
        <w:rPr>
          <w:color w:val="auto"/>
          <w:sz w:val="32"/>
        </w:rPr>
      </w:pPr>
    </w:p>
    <w:p>
      <w:pPr>
        <w:pStyle w:val="7"/>
        <w:spacing w:line="540" w:lineRule="exact"/>
        <w:ind w:firstLine="640" w:firstLineChars="200"/>
        <w:rPr>
          <w:rFonts w:hAnsi="仿宋_GB2312"/>
          <w:color w:val="auto"/>
          <w:sz w:val="32"/>
        </w:rPr>
      </w:pPr>
      <w:r>
        <w:rPr>
          <w:rFonts w:hAnsi="仿宋_GB2312"/>
          <w:color w:val="auto"/>
          <w:sz w:val="32"/>
        </w:rPr>
        <w:t>为贯彻落实</w:t>
      </w:r>
      <w:r>
        <w:rPr>
          <w:rFonts w:hint="eastAsia" w:hAnsi="仿宋_GB2312"/>
          <w:color w:val="auto"/>
          <w:sz w:val="32"/>
        </w:rPr>
        <w:t>市</w:t>
      </w:r>
      <w:r>
        <w:rPr>
          <w:rFonts w:hAnsi="仿宋_GB2312"/>
          <w:color w:val="auto"/>
          <w:sz w:val="32"/>
        </w:rPr>
        <w:t>安委会、</w:t>
      </w:r>
      <w:r>
        <w:rPr>
          <w:rFonts w:hint="eastAsia" w:hAnsi="仿宋_GB2312"/>
          <w:color w:val="auto"/>
          <w:sz w:val="32"/>
        </w:rPr>
        <w:t>市</w:t>
      </w:r>
      <w:r>
        <w:rPr>
          <w:rFonts w:hAnsi="仿宋_GB2312"/>
          <w:color w:val="auto"/>
          <w:sz w:val="32"/>
        </w:rPr>
        <w:t>消委会《关于印发全市生产经营租住村（居）民自建房重大火灾风险综合治理工作方案的通知》</w:t>
      </w:r>
    </w:p>
    <w:p>
      <w:pPr>
        <w:pStyle w:val="7"/>
        <w:spacing w:line="540" w:lineRule="exact"/>
        <w:rPr>
          <w:rFonts w:hAnsi="仿宋_GB2312"/>
          <w:color w:val="auto"/>
          <w:sz w:val="32"/>
        </w:rPr>
      </w:pPr>
      <w:r>
        <w:rPr>
          <w:rFonts w:hAnsi="仿宋_GB2312"/>
          <w:color w:val="auto"/>
          <w:sz w:val="32"/>
        </w:rPr>
        <w:t>（</w:t>
      </w:r>
      <w:r>
        <w:rPr>
          <w:rFonts w:hint="eastAsia" w:hAnsi="仿宋_GB2312"/>
          <w:color w:val="auto"/>
          <w:sz w:val="32"/>
        </w:rPr>
        <w:t>随</w:t>
      </w:r>
      <w:r>
        <w:rPr>
          <w:rFonts w:hAnsi="仿宋_GB2312"/>
          <w:color w:val="auto"/>
          <w:sz w:val="32"/>
        </w:rPr>
        <w:t>安〔2022〕</w:t>
      </w:r>
      <w:r>
        <w:rPr>
          <w:rFonts w:hint="eastAsia" w:hAnsi="仿宋_GB2312"/>
          <w:color w:val="auto"/>
          <w:sz w:val="32"/>
        </w:rPr>
        <w:t>3</w:t>
      </w:r>
      <w:r>
        <w:rPr>
          <w:rFonts w:hAnsi="仿宋_GB2312"/>
          <w:color w:val="auto"/>
          <w:sz w:val="32"/>
        </w:rPr>
        <w:t>号）,认真吸取火灾事故教训,确保人民群众生命财产安全,</w:t>
      </w:r>
      <w:r>
        <w:rPr>
          <w:rFonts w:hint="eastAsia" w:hAnsi="仿宋_GB2312"/>
          <w:color w:val="auto"/>
          <w:sz w:val="32"/>
        </w:rPr>
        <w:t>区</w:t>
      </w:r>
      <w:r>
        <w:rPr>
          <w:rFonts w:hAnsi="仿宋_GB2312"/>
          <w:color w:val="auto"/>
          <w:sz w:val="32"/>
        </w:rPr>
        <w:t>安委会、</w:t>
      </w:r>
      <w:r>
        <w:rPr>
          <w:rFonts w:hint="eastAsia" w:hAnsi="仿宋_GB2312"/>
          <w:color w:val="auto"/>
          <w:sz w:val="32"/>
        </w:rPr>
        <w:t>区</w:t>
      </w:r>
      <w:r>
        <w:rPr>
          <w:rFonts w:hAnsi="仿宋_GB2312"/>
          <w:color w:val="auto"/>
          <w:sz w:val="32"/>
        </w:rPr>
        <w:t>消委会决定在全</w:t>
      </w:r>
      <w:r>
        <w:rPr>
          <w:rFonts w:hint="eastAsia" w:hAnsi="仿宋_GB2312"/>
          <w:color w:val="auto"/>
          <w:sz w:val="32"/>
        </w:rPr>
        <w:t>区</w:t>
      </w:r>
      <w:r>
        <w:rPr>
          <w:rFonts w:hAnsi="仿宋_GB2312"/>
          <w:color w:val="auto"/>
          <w:sz w:val="32"/>
        </w:rPr>
        <w:t>范围内开展生产经营租住村（居）民自建房（以下简称自建房）重大火灾风险综合治理,现将有关事项告知如下:</w:t>
      </w:r>
    </w:p>
    <w:p>
      <w:pPr>
        <w:pStyle w:val="7"/>
        <w:spacing w:line="540" w:lineRule="exact"/>
        <w:ind w:firstLine="640" w:firstLineChars="200"/>
        <w:jc w:val="both"/>
        <w:rPr>
          <w:color w:val="auto"/>
          <w:sz w:val="32"/>
        </w:rPr>
      </w:pPr>
      <w:r>
        <w:rPr>
          <w:rFonts w:hAnsi="仿宋_GB2312"/>
          <w:color w:val="auto"/>
          <w:sz w:val="32"/>
        </w:rPr>
        <w:t>一、自建房存在重大火灾隐患的</w:t>
      </w:r>
      <w:r>
        <w:rPr>
          <w:color w:val="auto"/>
          <w:sz w:val="32"/>
        </w:rPr>
        <w:t>,</w:t>
      </w:r>
      <w:r>
        <w:rPr>
          <w:rFonts w:hAnsi="仿宋_GB2312"/>
          <w:color w:val="auto"/>
          <w:sz w:val="32"/>
        </w:rPr>
        <w:t>依法责令暂时停产停业</w:t>
      </w:r>
      <w:r>
        <w:rPr>
          <w:color w:val="auto"/>
          <w:sz w:val="32"/>
        </w:rPr>
        <w:t>;</w:t>
      </w:r>
      <w:r>
        <w:rPr>
          <w:rFonts w:hAnsi="仿宋_GB2312"/>
          <w:color w:val="auto"/>
          <w:sz w:val="32"/>
        </w:rPr>
        <w:t>拒不执行的</w:t>
      </w:r>
      <w:r>
        <w:rPr>
          <w:color w:val="auto"/>
          <w:sz w:val="32"/>
        </w:rPr>
        <w:t>,</w:t>
      </w:r>
      <w:r>
        <w:rPr>
          <w:rFonts w:hAnsi="仿宋_GB2312"/>
          <w:color w:val="auto"/>
          <w:sz w:val="32"/>
        </w:rPr>
        <w:t>依法采取强制停止供电等措施</w:t>
      </w:r>
      <w:r>
        <w:rPr>
          <w:color w:val="auto"/>
          <w:sz w:val="32"/>
        </w:rPr>
        <w:t>,</w:t>
      </w:r>
      <w:r>
        <w:rPr>
          <w:rFonts w:hAnsi="仿宋_GB2312"/>
          <w:color w:val="auto"/>
          <w:sz w:val="32"/>
        </w:rPr>
        <w:t>并处罚款</w:t>
      </w:r>
      <w:r>
        <w:rPr>
          <w:color w:val="auto"/>
          <w:sz w:val="32"/>
        </w:rPr>
        <w:t>;</w:t>
      </w:r>
      <w:r>
        <w:rPr>
          <w:rFonts w:hAnsi="仿宋_GB2312"/>
          <w:color w:val="auto"/>
          <w:sz w:val="32"/>
        </w:rPr>
        <w:t>造成事故发生的</w:t>
      </w:r>
      <w:r>
        <w:rPr>
          <w:color w:val="auto"/>
          <w:sz w:val="32"/>
        </w:rPr>
        <w:t>,</w:t>
      </w:r>
      <w:r>
        <w:rPr>
          <w:rFonts w:hAnsi="仿宋_GB2312"/>
          <w:color w:val="auto"/>
          <w:sz w:val="32"/>
        </w:rPr>
        <w:t>对主要负责人及相关责任人员依法追究法律责任直至刑事责任。</w:t>
      </w:r>
    </w:p>
    <w:p>
      <w:pPr>
        <w:pStyle w:val="7"/>
        <w:spacing w:line="540" w:lineRule="exact"/>
        <w:ind w:firstLine="640" w:firstLineChars="200"/>
        <w:jc w:val="both"/>
        <w:rPr>
          <w:color w:val="auto"/>
          <w:sz w:val="32"/>
        </w:rPr>
      </w:pPr>
      <w:r>
        <w:rPr>
          <w:rFonts w:hAnsi="仿宋_GB2312"/>
          <w:color w:val="auto"/>
          <w:sz w:val="32"/>
        </w:rPr>
        <w:t>二、从事纺织、鞋服、电子、纸品、印刷、木制品等丙类火灾危险性自建房加工场所必须在</w:t>
      </w:r>
      <w:r>
        <w:rPr>
          <w:color w:val="auto"/>
          <w:sz w:val="32"/>
        </w:rPr>
        <w:t>2022</w:t>
      </w:r>
      <w:r>
        <w:rPr>
          <w:rFonts w:hAnsi="仿宋_GB2312"/>
          <w:color w:val="auto"/>
          <w:sz w:val="32"/>
        </w:rPr>
        <w:t>年</w:t>
      </w:r>
      <w:r>
        <w:rPr>
          <w:color w:val="auto"/>
          <w:sz w:val="32"/>
        </w:rPr>
        <w:t>7</w:t>
      </w:r>
      <w:r>
        <w:rPr>
          <w:rFonts w:hAnsi="仿宋_GB2312"/>
          <w:color w:val="auto"/>
          <w:sz w:val="32"/>
        </w:rPr>
        <w:t>月</w:t>
      </w:r>
      <w:r>
        <w:rPr>
          <w:color w:val="auto"/>
          <w:sz w:val="32"/>
        </w:rPr>
        <w:t>30</w:t>
      </w:r>
      <w:r>
        <w:rPr>
          <w:rFonts w:hAnsi="仿宋_GB2312"/>
          <w:color w:val="auto"/>
          <w:sz w:val="32"/>
        </w:rPr>
        <w:t>日前完成安全隐患整改</w:t>
      </w:r>
      <w:r>
        <w:rPr>
          <w:color w:val="auto"/>
          <w:sz w:val="32"/>
        </w:rPr>
        <w:t>;</w:t>
      </w:r>
      <w:r>
        <w:rPr>
          <w:rFonts w:hAnsi="仿宋_GB2312"/>
          <w:color w:val="auto"/>
          <w:sz w:val="32"/>
        </w:rPr>
        <w:t>其他行业的自建房必须在</w:t>
      </w:r>
      <w:r>
        <w:rPr>
          <w:color w:val="auto"/>
          <w:sz w:val="32"/>
        </w:rPr>
        <w:t>2022</w:t>
      </w:r>
      <w:r>
        <w:rPr>
          <w:rFonts w:hAnsi="仿宋_GB2312"/>
          <w:color w:val="auto"/>
          <w:sz w:val="32"/>
        </w:rPr>
        <w:t>年</w:t>
      </w:r>
      <w:r>
        <w:rPr>
          <w:color w:val="auto"/>
          <w:sz w:val="32"/>
        </w:rPr>
        <w:t>8</w:t>
      </w:r>
      <w:r>
        <w:rPr>
          <w:rFonts w:hAnsi="仿宋_GB2312"/>
          <w:color w:val="auto"/>
          <w:sz w:val="32"/>
        </w:rPr>
        <w:t>月</w:t>
      </w:r>
      <w:r>
        <w:rPr>
          <w:color w:val="auto"/>
          <w:sz w:val="32"/>
        </w:rPr>
        <w:t>30</w:t>
      </w:r>
      <w:r>
        <w:rPr>
          <w:rFonts w:hAnsi="仿宋_GB2312"/>
          <w:color w:val="auto"/>
          <w:sz w:val="32"/>
        </w:rPr>
        <w:t>日前完成安全隐患整改，逾期未完成整改的</w:t>
      </w:r>
      <w:r>
        <w:rPr>
          <w:color w:val="auto"/>
          <w:sz w:val="32"/>
        </w:rPr>
        <w:t>,</w:t>
      </w:r>
      <w:r>
        <w:rPr>
          <w:rFonts w:hAnsi="仿宋_GB2312"/>
          <w:color w:val="auto"/>
          <w:sz w:val="32"/>
        </w:rPr>
        <w:t>依法责令停产停业整顿</w:t>
      </w:r>
      <w:r>
        <w:rPr>
          <w:color w:val="auto"/>
          <w:sz w:val="32"/>
        </w:rPr>
        <w:t>,</w:t>
      </w:r>
      <w:r>
        <w:rPr>
          <w:rFonts w:hAnsi="仿宋_GB2312"/>
          <w:color w:val="auto"/>
          <w:sz w:val="32"/>
        </w:rPr>
        <w:t>直至取缔关闭。严禁自建房用于从事化工、易燃易爆危险品等甲类、乙类火灾危险性的生产加工和储存。</w:t>
      </w:r>
    </w:p>
    <w:p>
      <w:pPr>
        <w:pStyle w:val="7"/>
        <w:spacing w:line="540" w:lineRule="exact"/>
        <w:ind w:firstLine="640" w:firstLineChars="200"/>
        <w:jc w:val="both"/>
        <w:rPr>
          <w:color w:val="auto"/>
          <w:sz w:val="32"/>
        </w:rPr>
      </w:pPr>
      <w:r>
        <w:rPr>
          <w:rFonts w:hAnsi="仿宋_GB2312"/>
          <w:color w:val="auto"/>
          <w:sz w:val="32"/>
        </w:rPr>
        <w:t>三、将自建房出租</w:t>
      </w:r>
      <w:r>
        <w:rPr>
          <w:color w:val="auto"/>
          <w:sz w:val="32"/>
        </w:rPr>
        <w:t>(</w:t>
      </w:r>
      <w:r>
        <w:rPr>
          <w:rFonts w:hAnsi="仿宋_GB2312"/>
          <w:color w:val="auto"/>
          <w:sz w:val="32"/>
        </w:rPr>
        <w:t>包括但不限于分租、转租</w:t>
      </w:r>
      <w:r>
        <w:rPr>
          <w:color w:val="auto"/>
          <w:sz w:val="32"/>
        </w:rPr>
        <w:t>)</w:t>
      </w:r>
      <w:r>
        <w:rPr>
          <w:rFonts w:hAnsi="仿宋_GB2312"/>
          <w:color w:val="auto"/>
          <w:sz w:val="32"/>
        </w:rPr>
        <w:t>为生产加工场所的</w:t>
      </w:r>
      <w:r>
        <w:rPr>
          <w:color w:val="auto"/>
          <w:sz w:val="32"/>
        </w:rPr>
        <w:t>,</w:t>
      </w:r>
      <w:r>
        <w:rPr>
          <w:rFonts w:hAnsi="仿宋_GB2312"/>
          <w:color w:val="auto"/>
          <w:sz w:val="32"/>
        </w:rPr>
        <w:t>出租方应在订立出租合同中明确各方的消防安全责任</w:t>
      </w:r>
      <w:r>
        <w:rPr>
          <w:color w:val="auto"/>
          <w:sz w:val="32"/>
        </w:rPr>
        <w:t>,</w:t>
      </w:r>
      <w:r>
        <w:rPr>
          <w:rFonts w:hAnsi="仿宋_GB2312"/>
          <w:color w:val="auto"/>
          <w:sz w:val="32"/>
        </w:rPr>
        <w:t>对分租给两个及以上不同经营主体的</w:t>
      </w:r>
      <w:r>
        <w:rPr>
          <w:color w:val="auto"/>
          <w:sz w:val="32"/>
        </w:rPr>
        <w:t>,</w:t>
      </w:r>
      <w:r>
        <w:rPr>
          <w:rFonts w:hAnsi="仿宋_GB2312"/>
          <w:color w:val="auto"/>
          <w:sz w:val="32"/>
        </w:rPr>
        <w:t>出租方应负责并明确专</w:t>
      </w:r>
      <w:r>
        <w:rPr>
          <w:color w:val="auto"/>
          <w:sz w:val="32"/>
        </w:rPr>
        <w:t>(</w:t>
      </w:r>
      <w:r>
        <w:rPr>
          <w:rFonts w:hAnsi="仿宋_GB2312"/>
          <w:color w:val="auto"/>
          <w:sz w:val="32"/>
        </w:rPr>
        <w:t>兼</w:t>
      </w:r>
      <w:r>
        <w:rPr>
          <w:color w:val="auto"/>
          <w:sz w:val="32"/>
        </w:rPr>
        <w:t>)</w:t>
      </w:r>
      <w:r>
        <w:rPr>
          <w:rFonts w:hAnsi="仿宋_GB2312"/>
          <w:color w:val="auto"/>
          <w:sz w:val="32"/>
        </w:rPr>
        <w:t>职管理员对公共消防设施统一管理</w:t>
      </w:r>
      <w:r>
        <w:rPr>
          <w:color w:val="auto"/>
          <w:sz w:val="32"/>
        </w:rPr>
        <w:t>,</w:t>
      </w:r>
      <w:r>
        <w:rPr>
          <w:rFonts w:hAnsi="仿宋_GB2312"/>
          <w:color w:val="auto"/>
          <w:sz w:val="32"/>
        </w:rPr>
        <w:t>落实防火巡查、设施维护、隐患整改等消防安全制度</w:t>
      </w:r>
      <w:r>
        <w:rPr>
          <w:color w:val="auto"/>
          <w:sz w:val="32"/>
        </w:rPr>
        <w:t>,</w:t>
      </w:r>
      <w:r>
        <w:rPr>
          <w:rFonts w:hAnsi="仿宋_GB2312"/>
          <w:color w:val="auto"/>
          <w:sz w:val="32"/>
        </w:rPr>
        <w:t>并将租赁情况告知属地乡镇（</w:t>
      </w:r>
      <w:r>
        <w:rPr>
          <w:rFonts w:hint="eastAsia" w:hAnsi="仿宋_GB2312"/>
          <w:color w:val="auto"/>
          <w:sz w:val="32"/>
        </w:rPr>
        <w:t>工作局</w:t>
      </w:r>
      <w:r>
        <w:rPr>
          <w:rFonts w:hAnsi="仿宋_GB2312"/>
          <w:color w:val="auto"/>
          <w:sz w:val="32"/>
        </w:rPr>
        <w:t>）政府。未落实上述措施的</w:t>
      </w:r>
      <w:r>
        <w:rPr>
          <w:color w:val="auto"/>
          <w:sz w:val="32"/>
        </w:rPr>
        <w:t>,</w:t>
      </w:r>
      <w:r>
        <w:rPr>
          <w:rFonts w:hAnsi="仿宋_GB2312"/>
          <w:color w:val="auto"/>
          <w:sz w:val="32"/>
        </w:rPr>
        <w:t>依法责令限期改正并处罚款</w:t>
      </w:r>
      <w:r>
        <w:rPr>
          <w:color w:val="auto"/>
          <w:sz w:val="32"/>
        </w:rPr>
        <w:t>;</w:t>
      </w:r>
      <w:r>
        <w:rPr>
          <w:rFonts w:hAnsi="仿宋_GB2312"/>
          <w:color w:val="auto"/>
          <w:sz w:val="32"/>
        </w:rPr>
        <w:t>逾期未改正的</w:t>
      </w:r>
      <w:r>
        <w:rPr>
          <w:color w:val="auto"/>
          <w:sz w:val="32"/>
        </w:rPr>
        <w:t>,</w:t>
      </w:r>
      <w:r>
        <w:rPr>
          <w:rFonts w:hAnsi="仿宋_GB2312"/>
          <w:color w:val="auto"/>
          <w:sz w:val="32"/>
        </w:rPr>
        <w:t>必须责令停产停业整顿。</w:t>
      </w:r>
    </w:p>
    <w:p>
      <w:pPr>
        <w:pStyle w:val="7"/>
        <w:spacing w:line="540" w:lineRule="exact"/>
        <w:ind w:firstLine="640" w:firstLineChars="200"/>
        <w:jc w:val="both"/>
        <w:rPr>
          <w:color w:val="auto"/>
          <w:sz w:val="32"/>
        </w:rPr>
      </w:pPr>
      <w:r>
        <w:rPr>
          <w:rFonts w:hAnsi="仿宋_GB2312"/>
          <w:color w:val="auto"/>
          <w:sz w:val="32"/>
        </w:rPr>
        <w:t>四、占用、堵塞、封闭疏散通道、安全出口或者有其他妨碍安全疏散行为的</w:t>
      </w:r>
      <w:r>
        <w:rPr>
          <w:color w:val="auto"/>
          <w:sz w:val="32"/>
        </w:rPr>
        <w:t>,</w:t>
      </w:r>
      <w:r>
        <w:rPr>
          <w:rFonts w:hAnsi="仿宋_GB2312"/>
          <w:color w:val="auto"/>
          <w:sz w:val="32"/>
        </w:rPr>
        <w:t>依法责令改正并予以罚款</w:t>
      </w:r>
      <w:r>
        <w:rPr>
          <w:color w:val="auto"/>
          <w:sz w:val="32"/>
        </w:rPr>
        <w:t>;</w:t>
      </w:r>
      <w:r>
        <w:rPr>
          <w:rFonts w:hAnsi="仿宋_GB2312"/>
          <w:color w:val="auto"/>
          <w:sz w:val="32"/>
        </w:rPr>
        <w:t>疏散通道、安全出口数量不足或者严重堵塞</w:t>
      </w:r>
      <w:r>
        <w:rPr>
          <w:color w:val="auto"/>
          <w:sz w:val="32"/>
        </w:rPr>
        <w:t>,</w:t>
      </w:r>
      <w:r>
        <w:rPr>
          <w:rFonts w:hAnsi="仿宋_GB2312"/>
          <w:color w:val="auto"/>
          <w:sz w:val="32"/>
        </w:rPr>
        <w:t>已不具备安全疏散条件的</w:t>
      </w:r>
      <w:r>
        <w:rPr>
          <w:color w:val="auto"/>
          <w:sz w:val="32"/>
        </w:rPr>
        <w:t>,</w:t>
      </w:r>
      <w:r>
        <w:rPr>
          <w:rFonts w:hAnsi="仿宋_GB2312"/>
          <w:color w:val="auto"/>
          <w:sz w:val="32"/>
        </w:rPr>
        <w:t>依法予以查封。</w:t>
      </w:r>
    </w:p>
    <w:p>
      <w:pPr>
        <w:pStyle w:val="7"/>
        <w:spacing w:line="540" w:lineRule="exact"/>
        <w:ind w:firstLine="640" w:firstLineChars="200"/>
        <w:jc w:val="both"/>
        <w:rPr>
          <w:color w:val="auto"/>
          <w:sz w:val="32"/>
        </w:rPr>
      </w:pPr>
      <w:r>
        <w:rPr>
          <w:rFonts w:hAnsi="仿宋_GB2312"/>
          <w:color w:val="auto"/>
          <w:sz w:val="32"/>
        </w:rPr>
        <w:t>五、严禁未经审批搭建临时搭盖。自建房生产、加工场所屋面采用易燃可燃材料芯材彩钢板简易搭盖或占用消防通道、应急避难空间的</w:t>
      </w:r>
      <w:r>
        <w:rPr>
          <w:color w:val="auto"/>
          <w:sz w:val="32"/>
        </w:rPr>
        <w:t>,</w:t>
      </w:r>
      <w:r>
        <w:rPr>
          <w:rFonts w:hAnsi="仿宋_GB2312"/>
          <w:color w:val="auto"/>
          <w:sz w:val="32"/>
        </w:rPr>
        <w:t>自建房所有者或管理人应在</w:t>
      </w:r>
      <w:r>
        <w:rPr>
          <w:color w:val="auto"/>
          <w:sz w:val="32"/>
        </w:rPr>
        <w:t>2022</w:t>
      </w:r>
      <w:r>
        <w:rPr>
          <w:rFonts w:hAnsi="仿宋_GB2312"/>
          <w:color w:val="auto"/>
          <w:sz w:val="32"/>
        </w:rPr>
        <w:t>年</w:t>
      </w:r>
      <w:r>
        <w:rPr>
          <w:color w:val="auto"/>
          <w:sz w:val="32"/>
        </w:rPr>
        <w:t>5</w:t>
      </w:r>
      <w:r>
        <w:rPr>
          <w:rFonts w:hAnsi="仿宋_GB2312"/>
          <w:color w:val="auto"/>
          <w:sz w:val="32"/>
        </w:rPr>
        <w:t>月</w:t>
      </w:r>
      <w:r>
        <w:rPr>
          <w:color w:val="auto"/>
          <w:sz w:val="32"/>
        </w:rPr>
        <w:t>30</w:t>
      </w:r>
      <w:r>
        <w:rPr>
          <w:rFonts w:hAnsi="仿宋_GB2312"/>
          <w:color w:val="auto"/>
          <w:sz w:val="32"/>
        </w:rPr>
        <w:t>日前自行拆除</w:t>
      </w:r>
      <w:r>
        <w:rPr>
          <w:color w:val="auto"/>
          <w:sz w:val="32"/>
        </w:rPr>
        <w:t>;</w:t>
      </w:r>
      <w:r>
        <w:rPr>
          <w:rFonts w:hAnsi="仿宋_GB2312"/>
          <w:color w:val="auto"/>
          <w:sz w:val="32"/>
        </w:rPr>
        <w:t>逾期未自行拆除的</w:t>
      </w:r>
      <w:r>
        <w:rPr>
          <w:color w:val="auto"/>
          <w:sz w:val="32"/>
        </w:rPr>
        <w:t>,</w:t>
      </w:r>
      <w:r>
        <w:rPr>
          <w:rFonts w:hAnsi="仿宋_GB2312"/>
          <w:color w:val="auto"/>
          <w:sz w:val="32"/>
        </w:rPr>
        <w:t>依法予以强制拆除并处罚款。</w:t>
      </w:r>
    </w:p>
    <w:p>
      <w:pPr>
        <w:pStyle w:val="7"/>
        <w:spacing w:line="540" w:lineRule="exact"/>
        <w:ind w:firstLine="640" w:firstLineChars="200"/>
        <w:jc w:val="both"/>
        <w:rPr>
          <w:color w:val="auto"/>
          <w:sz w:val="32"/>
        </w:rPr>
      </w:pPr>
      <w:r>
        <w:rPr>
          <w:rFonts w:hAnsi="仿宋_GB2312"/>
          <w:color w:val="auto"/>
          <w:sz w:val="32"/>
        </w:rPr>
        <w:t>六、存在生产、储存、经营与居住场所合用的</w:t>
      </w:r>
      <w:r>
        <w:rPr>
          <w:color w:val="auto"/>
          <w:sz w:val="32"/>
        </w:rPr>
        <w:t>"</w:t>
      </w:r>
      <w:r>
        <w:rPr>
          <w:rFonts w:hAnsi="仿宋_GB2312"/>
          <w:color w:val="auto"/>
          <w:sz w:val="32"/>
        </w:rPr>
        <w:t>三合一</w:t>
      </w:r>
      <w:r>
        <w:rPr>
          <w:color w:val="auto"/>
          <w:sz w:val="32"/>
        </w:rPr>
        <w:t>"</w:t>
      </w:r>
      <w:r>
        <w:rPr>
          <w:rFonts w:hAnsi="仿宋_GB2312"/>
          <w:color w:val="auto"/>
          <w:sz w:val="32"/>
        </w:rPr>
        <w:t>自建房加工场所</w:t>
      </w:r>
      <w:r>
        <w:rPr>
          <w:color w:val="auto"/>
          <w:sz w:val="32"/>
        </w:rPr>
        <w:t>,</w:t>
      </w:r>
      <w:r>
        <w:rPr>
          <w:rFonts w:hAnsi="仿宋_GB2312"/>
          <w:color w:val="auto"/>
          <w:sz w:val="32"/>
        </w:rPr>
        <w:t>依法责令停产停业并处罚款</w:t>
      </w:r>
      <w:r>
        <w:rPr>
          <w:color w:val="auto"/>
          <w:sz w:val="32"/>
        </w:rPr>
        <w:t>;</w:t>
      </w:r>
      <w:r>
        <w:rPr>
          <w:rFonts w:hAnsi="仿宋_GB2312"/>
          <w:color w:val="auto"/>
          <w:sz w:val="32"/>
        </w:rPr>
        <w:t>违规停放电动自行车存在火灾隐患的</w:t>
      </w:r>
      <w:r>
        <w:rPr>
          <w:color w:val="auto"/>
          <w:sz w:val="32"/>
        </w:rPr>
        <w:t>,</w:t>
      </w:r>
      <w:r>
        <w:rPr>
          <w:rFonts w:hAnsi="仿宋_GB2312"/>
          <w:color w:val="auto"/>
          <w:sz w:val="32"/>
        </w:rPr>
        <w:t>必须责令当场整改</w:t>
      </w:r>
      <w:r>
        <w:rPr>
          <w:color w:val="auto"/>
          <w:sz w:val="32"/>
        </w:rPr>
        <w:t>;</w:t>
      </w:r>
      <w:r>
        <w:rPr>
          <w:rFonts w:hAnsi="仿宋_GB2312"/>
          <w:color w:val="auto"/>
          <w:sz w:val="32"/>
        </w:rPr>
        <w:t>电气线路未规范敷设的</w:t>
      </w:r>
      <w:r>
        <w:rPr>
          <w:color w:val="auto"/>
          <w:sz w:val="32"/>
        </w:rPr>
        <w:t>,</w:t>
      </w:r>
      <w:r>
        <w:rPr>
          <w:rFonts w:hAnsi="仿宋_GB2312"/>
          <w:color w:val="auto"/>
          <w:sz w:val="32"/>
        </w:rPr>
        <w:t>责令限期整改</w:t>
      </w:r>
      <w:r>
        <w:rPr>
          <w:color w:val="auto"/>
          <w:sz w:val="32"/>
        </w:rPr>
        <w:t>,</w:t>
      </w:r>
      <w:r>
        <w:rPr>
          <w:rFonts w:hAnsi="仿宋_GB2312"/>
          <w:color w:val="auto"/>
          <w:sz w:val="32"/>
        </w:rPr>
        <w:t>逾期不改正的</w:t>
      </w:r>
      <w:r>
        <w:rPr>
          <w:color w:val="auto"/>
          <w:sz w:val="32"/>
        </w:rPr>
        <w:t>,</w:t>
      </w:r>
      <w:r>
        <w:rPr>
          <w:rFonts w:hAnsi="仿宋_GB2312"/>
          <w:color w:val="auto"/>
          <w:sz w:val="32"/>
        </w:rPr>
        <w:t>依法责令停止使用并处罚款。</w:t>
      </w:r>
    </w:p>
    <w:p>
      <w:pPr>
        <w:pStyle w:val="7"/>
        <w:spacing w:line="540" w:lineRule="exact"/>
        <w:ind w:firstLine="640" w:firstLineChars="200"/>
        <w:jc w:val="both"/>
        <w:rPr>
          <w:color w:val="auto"/>
          <w:sz w:val="32"/>
        </w:rPr>
      </w:pPr>
      <w:r>
        <w:rPr>
          <w:rFonts w:hAnsi="仿宋_GB2312"/>
          <w:color w:val="auto"/>
          <w:sz w:val="32"/>
        </w:rPr>
        <w:t>七、禁止在具有火灾、爆炸危险的场所吸烟、使用明火。因施工等需要使用明火作业的</w:t>
      </w:r>
      <w:r>
        <w:rPr>
          <w:color w:val="auto"/>
          <w:sz w:val="32"/>
        </w:rPr>
        <w:t>,</w:t>
      </w:r>
      <w:r>
        <w:rPr>
          <w:rFonts w:hAnsi="仿宋_GB2312"/>
          <w:color w:val="auto"/>
          <w:sz w:val="32"/>
        </w:rPr>
        <w:t>应按照规定办理内部审批手续</w:t>
      </w:r>
      <w:r>
        <w:rPr>
          <w:color w:val="auto"/>
          <w:sz w:val="32"/>
        </w:rPr>
        <w:t>,</w:t>
      </w:r>
      <w:r>
        <w:rPr>
          <w:rFonts w:hAnsi="仿宋_GB2312"/>
          <w:color w:val="auto"/>
          <w:sz w:val="32"/>
        </w:rPr>
        <w:t>并事先告知自建房所有者、管理人以及同一建筑内其他生产加工单位</w:t>
      </w:r>
      <w:r>
        <w:rPr>
          <w:color w:val="auto"/>
          <w:sz w:val="32"/>
        </w:rPr>
        <w:t>,</w:t>
      </w:r>
      <w:r>
        <w:rPr>
          <w:rFonts w:hAnsi="仿宋_GB2312"/>
          <w:color w:val="auto"/>
          <w:sz w:val="32"/>
        </w:rPr>
        <w:t>同时向所在地乡镇</w:t>
      </w:r>
      <w:r>
        <w:rPr>
          <w:color w:val="auto"/>
          <w:sz w:val="32"/>
        </w:rPr>
        <w:t>(</w:t>
      </w:r>
      <w:r>
        <w:rPr>
          <w:rFonts w:hint="eastAsia" w:hAnsi="仿宋_GB2312"/>
          <w:color w:val="auto"/>
          <w:sz w:val="32"/>
        </w:rPr>
        <w:t>工作局</w:t>
      </w:r>
      <w:r>
        <w:rPr>
          <w:color w:val="auto"/>
          <w:sz w:val="32"/>
        </w:rPr>
        <w:t>)</w:t>
      </w:r>
      <w:r>
        <w:rPr>
          <w:rFonts w:hAnsi="仿宋_GB2312"/>
          <w:color w:val="auto"/>
          <w:sz w:val="32"/>
        </w:rPr>
        <w:t>驻村干部报备</w:t>
      </w:r>
      <w:r>
        <w:rPr>
          <w:color w:val="auto"/>
          <w:sz w:val="32"/>
        </w:rPr>
        <w:t>,</w:t>
      </w:r>
      <w:r>
        <w:rPr>
          <w:rFonts w:hAnsi="仿宋_GB2312"/>
          <w:color w:val="auto"/>
          <w:sz w:val="32"/>
        </w:rPr>
        <w:t>在确保可燃物清理干净</w:t>
      </w:r>
      <w:r>
        <w:rPr>
          <w:color w:val="auto"/>
          <w:sz w:val="32"/>
        </w:rPr>
        <w:t>,</w:t>
      </w:r>
      <w:r>
        <w:rPr>
          <w:rFonts w:hAnsi="仿宋_GB2312"/>
          <w:color w:val="auto"/>
          <w:sz w:val="32"/>
        </w:rPr>
        <w:t>现场监护人在岗在位的情况下方可使用明火作业。进行电焊、气焊、热切割等具有火灾危险作业的人员</w:t>
      </w:r>
      <w:r>
        <w:rPr>
          <w:color w:val="auto"/>
          <w:sz w:val="32"/>
        </w:rPr>
        <w:t>,</w:t>
      </w:r>
      <w:r>
        <w:rPr>
          <w:rFonts w:hAnsi="仿宋_GB2312"/>
          <w:color w:val="auto"/>
          <w:sz w:val="32"/>
        </w:rPr>
        <w:t>必须持特种作业操作证上岗</w:t>
      </w:r>
      <w:r>
        <w:rPr>
          <w:color w:val="auto"/>
          <w:sz w:val="32"/>
        </w:rPr>
        <w:t>,</w:t>
      </w:r>
      <w:r>
        <w:rPr>
          <w:rFonts w:hAnsi="仿宋_GB2312"/>
          <w:color w:val="auto"/>
          <w:sz w:val="32"/>
        </w:rPr>
        <w:t>并遵守消防安全操作规程</w:t>
      </w:r>
      <w:r>
        <w:rPr>
          <w:rFonts w:hint="eastAsia"/>
          <w:color w:val="auto"/>
          <w:sz w:val="32"/>
        </w:rPr>
        <w:t>,</w:t>
      </w:r>
      <w:r>
        <w:rPr>
          <w:rFonts w:hAnsi="仿宋_GB2312"/>
          <w:color w:val="auto"/>
          <w:sz w:val="32"/>
        </w:rPr>
        <w:t>违反规定使用明火作业或者在具有火灾、爆炸危险的场所吸烟、使用明火的</w:t>
      </w:r>
      <w:r>
        <w:rPr>
          <w:color w:val="auto"/>
          <w:sz w:val="32"/>
        </w:rPr>
        <w:t>,</w:t>
      </w:r>
      <w:r>
        <w:rPr>
          <w:rFonts w:hAnsi="仿宋_GB2312"/>
          <w:color w:val="auto"/>
          <w:sz w:val="32"/>
        </w:rPr>
        <w:t>依法给予罚款、停产停业整顿直至行政拘留等处罚。</w:t>
      </w:r>
    </w:p>
    <w:p>
      <w:pPr>
        <w:pStyle w:val="7"/>
        <w:spacing w:line="540" w:lineRule="exact"/>
        <w:ind w:firstLine="640" w:firstLineChars="200"/>
        <w:jc w:val="both"/>
        <w:rPr>
          <w:color w:val="auto"/>
          <w:sz w:val="32"/>
        </w:rPr>
      </w:pPr>
      <w:r>
        <w:rPr>
          <w:rFonts w:hAnsi="仿宋_GB2312"/>
          <w:color w:val="auto"/>
          <w:sz w:val="32"/>
        </w:rPr>
        <w:t>八、自建房所有者或管理人应制定场所火灾应急预案</w:t>
      </w:r>
      <w:r>
        <w:rPr>
          <w:color w:val="auto"/>
          <w:sz w:val="32"/>
        </w:rPr>
        <w:t>,</w:t>
      </w:r>
      <w:r>
        <w:rPr>
          <w:rFonts w:hAnsi="仿宋_GB2312"/>
          <w:color w:val="auto"/>
          <w:sz w:val="32"/>
        </w:rPr>
        <w:t>每半年应组织开展一次演练</w:t>
      </w:r>
      <w:r>
        <w:rPr>
          <w:color w:val="auto"/>
          <w:sz w:val="32"/>
        </w:rPr>
        <w:t>,</w:t>
      </w:r>
      <w:r>
        <w:rPr>
          <w:rFonts w:hAnsi="仿宋_GB2312"/>
          <w:color w:val="auto"/>
          <w:sz w:val="32"/>
        </w:rPr>
        <w:t>全体人员应熟练掌握疏散逃生路线和技能，</w:t>
      </w:r>
      <w:r>
        <w:rPr>
          <w:color w:val="auto"/>
          <w:sz w:val="32"/>
        </w:rPr>
        <w:t>2022</w:t>
      </w:r>
      <w:r>
        <w:rPr>
          <w:rFonts w:hAnsi="仿宋_GB2312"/>
          <w:color w:val="auto"/>
          <w:sz w:val="32"/>
        </w:rPr>
        <w:t>年</w:t>
      </w:r>
      <w:r>
        <w:rPr>
          <w:color w:val="auto"/>
          <w:sz w:val="32"/>
        </w:rPr>
        <w:t>7</w:t>
      </w:r>
      <w:r>
        <w:rPr>
          <w:rFonts w:hAnsi="仿宋_GB2312"/>
          <w:color w:val="auto"/>
          <w:sz w:val="32"/>
        </w:rPr>
        <w:t>月底前</w:t>
      </w:r>
      <w:r>
        <w:rPr>
          <w:color w:val="auto"/>
          <w:sz w:val="32"/>
        </w:rPr>
        <w:t>,</w:t>
      </w:r>
      <w:r>
        <w:rPr>
          <w:rFonts w:hAnsi="仿宋_GB2312"/>
          <w:color w:val="auto"/>
          <w:sz w:val="32"/>
        </w:rPr>
        <w:t>经营性自建房应开展一次火灾应急疏散演练，未按规定开展演练的</w:t>
      </w:r>
      <w:r>
        <w:rPr>
          <w:color w:val="auto"/>
          <w:sz w:val="32"/>
        </w:rPr>
        <w:t>,</w:t>
      </w:r>
      <w:r>
        <w:rPr>
          <w:rFonts w:hAnsi="仿宋_GB2312"/>
          <w:color w:val="auto"/>
          <w:sz w:val="32"/>
        </w:rPr>
        <w:t>依法责令限期改正</w:t>
      </w:r>
      <w:r>
        <w:rPr>
          <w:color w:val="auto"/>
          <w:sz w:val="32"/>
        </w:rPr>
        <w:t>;</w:t>
      </w:r>
      <w:r>
        <w:rPr>
          <w:rFonts w:hAnsi="仿宋_GB2312"/>
          <w:color w:val="auto"/>
          <w:sz w:val="32"/>
        </w:rPr>
        <w:t>逾期未改正的</w:t>
      </w:r>
      <w:r>
        <w:rPr>
          <w:color w:val="auto"/>
          <w:sz w:val="32"/>
        </w:rPr>
        <w:t>,</w:t>
      </w:r>
      <w:r>
        <w:rPr>
          <w:rFonts w:hAnsi="仿宋_GB2312"/>
          <w:color w:val="auto"/>
          <w:sz w:val="32"/>
        </w:rPr>
        <w:t>依法责令停产停业整顿</w:t>
      </w:r>
      <w:r>
        <w:rPr>
          <w:color w:val="auto"/>
          <w:sz w:val="32"/>
        </w:rPr>
        <w:t>,</w:t>
      </w:r>
      <w:r>
        <w:rPr>
          <w:rFonts w:hAnsi="仿宋_GB2312"/>
          <w:color w:val="auto"/>
          <w:sz w:val="32"/>
        </w:rPr>
        <w:t>并处罚款。</w:t>
      </w:r>
    </w:p>
    <w:p>
      <w:pPr>
        <w:pStyle w:val="7"/>
        <w:spacing w:line="540" w:lineRule="exact"/>
        <w:ind w:firstLine="640" w:firstLineChars="200"/>
        <w:jc w:val="both"/>
        <w:rPr>
          <w:color w:val="auto"/>
          <w:sz w:val="32"/>
        </w:rPr>
      </w:pPr>
      <w:r>
        <w:rPr>
          <w:rFonts w:hAnsi="仿宋_GB2312"/>
          <w:color w:val="auto"/>
          <w:sz w:val="32"/>
        </w:rPr>
        <w:t>九、对因安全生产违法行为受到行政处罚的单位或个人实施联合惩戒</w:t>
      </w:r>
      <w:r>
        <w:rPr>
          <w:color w:val="auto"/>
          <w:sz w:val="32"/>
        </w:rPr>
        <w:t>,</w:t>
      </w:r>
      <w:r>
        <w:rPr>
          <w:rFonts w:hAnsi="仿宋_GB2312"/>
          <w:color w:val="auto"/>
          <w:sz w:val="32"/>
        </w:rPr>
        <w:t>并在各级政府、部门网站和主流媒体公开曝光。</w:t>
      </w:r>
    </w:p>
    <w:p>
      <w:pPr>
        <w:pStyle w:val="7"/>
        <w:spacing w:line="540" w:lineRule="exact"/>
        <w:ind w:firstLine="640" w:firstLineChars="200"/>
        <w:jc w:val="both"/>
        <w:rPr>
          <w:color w:val="auto"/>
          <w:sz w:val="32"/>
        </w:rPr>
      </w:pPr>
      <w:r>
        <w:rPr>
          <w:rFonts w:hAnsi="仿宋_GB2312"/>
          <w:color w:val="auto"/>
          <w:sz w:val="32"/>
        </w:rPr>
        <w:t>十、党员干部、公职人员要发挥表率作用</w:t>
      </w:r>
      <w:r>
        <w:rPr>
          <w:color w:val="auto"/>
          <w:sz w:val="32"/>
        </w:rPr>
        <w:t>,</w:t>
      </w:r>
      <w:r>
        <w:rPr>
          <w:rFonts w:hAnsi="仿宋_GB2312"/>
          <w:color w:val="auto"/>
          <w:sz w:val="32"/>
        </w:rPr>
        <w:t>主动整治自有自建房安全隐患问题</w:t>
      </w:r>
      <w:r>
        <w:rPr>
          <w:color w:val="auto"/>
          <w:sz w:val="32"/>
        </w:rPr>
        <w:t>,</w:t>
      </w:r>
      <w:r>
        <w:rPr>
          <w:rFonts w:hAnsi="仿宋_GB2312"/>
          <w:color w:val="auto"/>
          <w:sz w:val="32"/>
        </w:rPr>
        <w:t>带头抓好整改</w:t>
      </w:r>
      <w:r>
        <w:rPr>
          <w:color w:val="auto"/>
          <w:sz w:val="32"/>
        </w:rPr>
        <w:t>;</w:t>
      </w:r>
      <w:r>
        <w:rPr>
          <w:rFonts w:hAnsi="仿宋_GB2312"/>
          <w:color w:val="auto"/>
          <w:sz w:val="32"/>
        </w:rPr>
        <w:t>要积极督促、劝导亲友、邻里参与自建房隐患整改</w:t>
      </w:r>
      <w:r>
        <w:rPr>
          <w:color w:val="auto"/>
          <w:sz w:val="32"/>
        </w:rPr>
        <w:t>,</w:t>
      </w:r>
      <w:r>
        <w:rPr>
          <w:rFonts w:hAnsi="仿宋_GB2312"/>
          <w:color w:val="auto"/>
          <w:sz w:val="32"/>
        </w:rPr>
        <w:t>以实际行动支持、助推安全整治攻坚行动</w:t>
      </w:r>
      <w:r>
        <w:rPr>
          <w:color w:val="auto"/>
          <w:sz w:val="32"/>
        </w:rPr>
        <w:t>,</w:t>
      </w:r>
      <w:r>
        <w:rPr>
          <w:rFonts w:hAnsi="仿宋_GB2312"/>
          <w:color w:val="auto"/>
          <w:sz w:val="32"/>
        </w:rPr>
        <w:t>发挥党员立足本职、带头奉献的先锋模范作用。</w:t>
      </w:r>
    </w:p>
    <w:p>
      <w:pPr>
        <w:pStyle w:val="7"/>
        <w:spacing w:line="620" w:lineRule="exact"/>
        <w:jc w:val="both"/>
        <w:rPr>
          <w:color w:val="auto"/>
          <w:sz w:val="32"/>
        </w:rPr>
      </w:pPr>
    </w:p>
    <w:p>
      <w:pPr>
        <w:pStyle w:val="7"/>
        <w:spacing w:line="620" w:lineRule="exact"/>
        <w:ind w:firstLine="5120" w:firstLineChars="1600"/>
        <w:jc w:val="both"/>
        <w:rPr>
          <w:color w:val="auto"/>
          <w:sz w:val="32"/>
        </w:rPr>
      </w:pPr>
      <w:r>
        <w:rPr>
          <w:rFonts w:hAnsi="仿宋_GB2312"/>
          <w:color w:val="auto"/>
          <w:sz w:val="32"/>
        </w:rPr>
        <w:t>告知单位</w:t>
      </w:r>
      <w:r>
        <w:rPr>
          <w:color w:val="auto"/>
          <w:sz w:val="32"/>
        </w:rPr>
        <w:t>(</w:t>
      </w:r>
      <w:r>
        <w:rPr>
          <w:rFonts w:hAnsi="仿宋_GB2312"/>
          <w:color w:val="auto"/>
          <w:sz w:val="32"/>
        </w:rPr>
        <w:t>盖章</w:t>
      </w:r>
      <w:r>
        <w:rPr>
          <w:color w:val="auto"/>
          <w:sz w:val="32"/>
        </w:rPr>
        <w:t>):</w:t>
      </w:r>
    </w:p>
    <w:p>
      <w:pPr>
        <w:pStyle w:val="7"/>
        <w:spacing w:line="620" w:lineRule="exact"/>
        <w:ind w:firstLine="5120" w:firstLineChars="1600"/>
        <w:jc w:val="both"/>
        <w:rPr>
          <w:color w:val="auto"/>
          <w:sz w:val="32"/>
        </w:rPr>
      </w:pPr>
      <w:r>
        <w:rPr>
          <w:color w:val="auto"/>
          <w:sz w:val="32"/>
        </w:rPr>
        <w:t>2022</w:t>
      </w:r>
      <w:r>
        <w:rPr>
          <w:rFonts w:hAnsi="仿宋_GB2312"/>
          <w:color w:val="auto"/>
          <w:sz w:val="32"/>
        </w:rPr>
        <w:t>年</w:t>
      </w:r>
      <w:r>
        <w:rPr>
          <w:color w:val="auto"/>
          <w:sz w:val="32"/>
        </w:rPr>
        <w:t xml:space="preserve">   </w:t>
      </w:r>
      <w:r>
        <w:rPr>
          <w:rFonts w:hAnsi="仿宋_GB2312"/>
          <w:color w:val="auto"/>
          <w:sz w:val="32"/>
        </w:rPr>
        <w:t>月</w:t>
      </w:r>
      <w:r>
        <w:rPr>
          <w:color w:val="auto"/>
          <w:sz w:val="32"/>
        </w:rPr>
        <w:t xml:space="preserve">   </w:t>
      </w:r>
      <w:r>
        <w:rPr>
          <w:rFonts w:hAnsi="仿宋_GB2312"/>
          <w:color w:val="auto"/>
          <w:sz w:val="32"/>
        </w:rPr>
        <w:t>日</w:t>
      </w:r>
    </w:p>
    <w:p>
      <w:pPr>
        <w:pStyle w:val="7"/>
        <w:spacing w:line="520" w:lineRule="exact"/>
        <w:ind w:firstLine="640" w:firstLineChars="200"/>
        <w:jc w:val="both"/>
        <w:rPr>
          <w:rFonts w:hAnsi="仿宋_GB2312"/>
          <w:color w:val="auto"/>
          <w:sz w:val="32"/>
        </w:rPr>
      </w:pPr>
    </w:p>
    <w:p>
      <w:pPr>
        <w:pStyle w:val="7"/>
        <w:spacing w:line="520" w:lineRule="exact"/>
        <w:ind w:firstLine="640" w:firstLineChars="200"/>
        <w:jc w:val="both"/>
        <w:rPr>
          <w:color w:val="auto"/>
          <w:sz w:val="32"/>
        </w:rPr>
      </w:pPr>
      <w:r>
        <w:rPr>
          <w:rFonts w:hAnsi="仿宋_GB2312"/>
          <w:color w:val="auto"/>
          <w:sz w:val="32"/>
        </w:rPr>
        <w:t>消防安全整治告知书回执</w:t>
      </w:r>
    </w:p>
    <w:p>
      <w:pPr>
        <w:pStyle w:val="7"/>
        <w:spacing w:line="520" w:lineRule="exact"/>
        <w:ind w:firstLine="640" w:firstLineChars="200"/>
        <w:jc w:val="both"/>
        <w:rPr>
          <w:color w:val="auto"/>
          <w:sz w:val="32"/>
        </w:rPr>
      </w:pPr>
    </w:p>
    <w:p>
      <w:pPr>
        <w:pStyle w:val="7"/>
        <w:spacing w:line="520" w:lineRule="exact"/>
        <w:ind w:firstLine="640" w:firstLineChars="200"/>
        <w:jc w:val="both"/>
        <w:rPr>
          <w:color w:val="auto"/>
          <w:sz w:val="32"/>
        </w:rPr>
      </w:pPr>
      <w:r>
        <w:rPr>
          <w:rFonts w:hAnsi="仿宋_GB2312"/>
          <w:color w:val="auto"/>
          <w:sz w:val="32"/>
        </w:rPr>
        <w:t>经营性自建房地址</w:t>
      </w:r>
      <w:r>
        <w:rPr>
          <w:color w:val="auto"/>
          <w:sz w:val="32"/>
        </w:rPr>
        <w:t>:</w:t>
      </w:r>
    </w:p>
    <w:p>
      <w:pPr>
        <w:pStyle w:val="7"/>
        <w:spacing w:line="520" w:lineRule="exact"/>
        <w:ind w:firstLine="640" w:firstLineChars="200"/>
        <w:jc w:val="both"/>
        <w:rPr>
          <w:color w:val="auto"/>
          <w:sz w:val="32"/>
        </w:rPr>
      </w:pPr>
      <w:r>
        <w:rPr>
          <w:rFonts w:hAnsi="仿宋_GB2312"/>
          <w:color w:val="auto"/>
          <w:sz w:val="32"/>
        </w:rPr>
        <w:t>经营性自建房业主</w:t>
      </w:r>
      <w:r>
        <w:rPr>
          <w:rFonts w:hint="eastAsia"/>
          <w:color w:val="auto"/>
          <w:sz w:val="32"/>
        </w:rPr>
        <w:t>（</w:t>
      </w:r>
      <w:r>
        <w:rPr>
          <w:rFonts w:hAnsi="仿宋_GB2312"/>
          <w:color w:val="auto"/>
          <w:sz w:val="32"/>
        </w:rPr>
        <w:t>签字</w:t>
      </w:r>
      <w:r>
        <w:rPr>
          <w:rFonts w:hint="eastAsia"/>
          <w:color w:val="auto"/>
          <w:sz w:val="32"/>
        </w:rPr>
        <w:t>）</w:t>
      </w:r>
      <w:r>
        <w:rPr>
          <w:color w:val="auto"/>
          <w:sz w:val="32"/>
        </w:rPr>
        <w:t>:</w:t>
      </w:r>
    </w:p>
    <w:p>
      <w:pPr>
        <w:pStyle w:val="7"/>
        <w:spacing w:line="520" w:lineRule="exact"/>
        <w:ind w:firstLine="640" w:firstLineChars="200"/>
        <w:jc w:val="both"/>
        <w:rPr>
          <w:color w:val="auto"/>
          <w:sz w:val="32"/>
        </w:rPr>
      </w:pPr>
      <w:r>
        <w:rPr>
          <w:rFonts w:hAnsi="仿宋_GB2312"/>
          <w:color w:val="auto"/>
          <w:sz w:val="32"/>
        </w:rPr>
        <w:t>经营性自建房主要负责人</w:t>
      </w:r>
      <w:r>
        <w:rPr>
          <w:rFonts w:hint="eastAsia"/>
          <w:color w:val="auto"/>
          <w:sz w:val="32"/>
        </w:rPr>
        <w:t>（</w:t>
      </w:r>
      <w:r>
        <w:rPr>
          <w:rFonts w:hAnsi="仿宋_GB2312"/>
          <w:color w:val="auto"/>
          <w:sz w:val="32"/>
        </w:rPr>
        <w:t>签字</w:t>
      </w:r>
      <w:r>
        <w:rPr>
          <w:rFonts w:hint="eastAsia"/>
          <w:color w:val="auto"/>
          <w:sz w:val="32"/>
        </w:rPr>
        <w:t>）</w:t>
      </w:r>
      <w:r>
        <w:rPr>
          <w:color w:val="auto"/>
          <w:sz w:val="32"/>
        </w:rPr>
        <w:t>:</w:t>
      </w:r>
    </w:p>
    <w:p>
      <w:pPr>
        <w:pStyle w:val="7"/>
        <w:spacing w:line="520" w:lineRule="exact"/>
        <w:ind w:firstLine="640" w:firstLineChars="200"/>
        <w:jc w:val="both"/>
        <w:rPr>
          <w:color w:val="auto"/>
          <w:sz w:val="32"/>
        </w:rPr>
      </w:pPr>
      <w:r>
        <w:rPr>
          <w:rFonts w:hAnsi="仿宋_GB2312"/>
          <w:color w:val="auto"/>
          <w:sz w:val="32"/>
        </w:rPr>
        <w:t>村</w:t>
      </w:r>
      <w:r>
        <w:rPr>
          <w:rFonts w:hint="eastAsia"/>
          <w:color w:val="auto"/>
          <w:sz w:val="32"/>
        </w:rPr>
        <w:t>（</w:t>
      </w:r>
      <w:r>
        <w:rPr>
          <w:rFonts w:hAnsi="仿宋_GB2312"/>
          <w:color w:val="auto"/>
          <w:sz w:val="32"/>
        </w:rPr>
        <w:t>社区</w:t>
      </w:r>
      <w:r>
        <w:rPr>
          <w:rFonts w:hint="eastAsia"/>
          <w:color w:val="auto"/>
          <w:sz w:val="32"/>
        </w:rPr>
        <w:t>）</w:t>
      </w:r>
      <w:r>
        <w:rPr>
          <w:rFonts w:hAnsi="仿宋_GB2312"/>
          <w:color w:val="auto"/>
          <w:sz w:val="32"/>
        </w:rPr>
        <w:t>干部</w:t>
      </w:r>
      <w:r>
        <w:rPr>
          <w:rFonts w:hint="eastAsia" w:hAnsi="仿宋_GB2312"/>
          <w:color w:val="auto"/>
          <w:sz w:val="32"/>
        </w:rPr>
        <w:t>（</w:t>
      </w:r>
      <w:r>
        <w:rPr>
          <w:rFonts w:hAnsi="仿宋_GB2312"/>
          <w:color w:val="auto"/>
          <w:sz w:val="32"/>
        </w:rPr>
        <w:t>签字</w:t>
      </w:r>
      <w:r>
        <w:rPr>
          <w:rFonts w:hint="eastAsia" w:hAnsi="仿宋_GB2312"/>
          <w:color w:val="auto"/>
          <w:sz w:val="32"/>
        </w:rPr>
        <w:t>）</w:t>
      </w:r>
      <w:r>
        <w:rPr>
          <w:color w:val="auto"/>
          <w:sz w:val="32"/>
        </w:rPr>
        <w:t>:</w:t>
      </w:r>
    </w:p>
    <w:p>
      <w:pPr>
        <w:pStyle w:val="7"/>
        <w:spacing w:line="520" w:lineRule="exact"/>
        <w:ind w:firstLine="640" w:firstLineChars="200"/>
        <w:jc w:val="both"/>
        <w:rPr>
          <w:color w:val="auto"/>
          <w:sz w:val="32"/>
        </w:rPr>
      </w:pPr>
      <w:r>
        <w:rPr>
          <w:rFonts w:hAnsi="仿宋_GB2312"/>
          <w:color w:val="auto"/>
          <w:sz w:val="32"/>
        </w:rPr>
        <w:t>备注</w:t>
      </w:r>
      <w:r>
        <w:rPr>
          <w:color w:val="auto"/>
          <w:sz w:val="32"/>
        </w:rPr>
        <w:t>:</w:t>
      </w:r>
      <w:r>
        <w:rPr>
          <w:rFonts w:hAnsi="仿宋_GB2312"/>
          <w:color w:val="auto"/>
          <w:sz w:val="32"/>
        </w:rPr>
        <w:t>本回执应由交由属地乡镇</w:t>
      </w:r>
      <w:r>
        <w:rPr>
          <w:rFonts w:hint="eastAsia"/>
          <w:color w:val="auto"/>
          <w:sz w:val="32"/>
        </w:rPr>
        <w:t>（</w:t>
      </w:r>
      <w:r>
        <w:rPr>
          <w:rFonts w:hint="eastAsia" w:hAnsi="仿宋_GB2312"/>
          <w:color w:val="auto"/>
          <w:sz w:val="32"/>
        </w:rPr>
        <w:t>工作局</w:t>
      </w:r>
      <w:r>
        <w:rPr>
          <w:rFonts w:hint="eastAsia"/>
          <w:color w:val="auto"/>
          <w:sz w:val="32"/>
        </w:rPr>
        <w:t>）</w:t>
      </w:r>
      <w:r>
        <w:rPr>
          <w:rFonts w:hAnsi="仿宋_GB2312"/>
          <w:color w:val="auto"/>
          <w:sz w:val="32"/>
        </w:rPr>
        <w:t>存档备查</w:t>
      </w:r>
      <w:r>
        <w:rPr>
          <w:color w:val="auto"/>
          <w:sz w:val="32"/>
        </w:rPr>
        <w:t>.</w:t>
      </w:r>
    </w:p>
    <w:p>
      <w:pPr>
        <w:spacing w:before="343" w:line="224" w:lineRule="auto"/>
        <w:rPr>
          <w:rFonts w:ascii="Times New Roman" w:hAnsi="黑体" w:eastAsia="黑体"/>
          <w:spacing w:val="-11"/>
          <w:sz w:val="32"/>
          <w:szCs w:val="32"/>
        </w:rPr>
      </w:pPr>
    </w:p>
    <w:p>
      <w:pPr>
        <w:spacing w:before="343" w:line="224" w:lineRule="auto"/>
        <w:rPr>
          <w:rFonts w:hint="eastAsia" w:ascii="黑体" w:hAnsi="黑体" w:eastAsia="黑体" w:cs="黑体"/>
          <w:sz w:val="32"/>
          <w:szCs w:val="32"/>
        </w:rPr>
      </w:pPr>
      <w:r>
        <w:rPr>
          <w:rFonts w:hint="eastAsia" w:ascii="黑体" w:hAnsi="黑体" w:eastAsia="黑体" w:cs="黑体"/>
          <w:spacing w:val="-11"/>
          <w:sz w:val="32"/>
          <w:szCs w:val="32"/>
        </w:rPr>
        <w:t>附件3</w:t>
      </w:r>
    </w:p>
    <w:p>
      <w:pPr>
        <w:spacing w:before="173" w:line="216" w:lineRule="auto"/>
        <w:jc w:val="center"/>
        <w:rPr>
          <w:rFonts w:ascii="Times New Roman" w:hAnsi="Times New Roman" w:eastAsia="方正小标宋简体"/>
          <w:sz w:val="40"/>
          <w:szCs w:val="40"/>
        </w:rPr>
      </w:pPr>
      <w:r>
        <w:rPr>
          <w:rFonts w:ascii="Times New Roman" w:hAnsi="Times New Roman" w:eastAsia="方正小标宋简体"/>
          <w:spacing w:val="8"/>
          <w:sz w:val="40"/>
          <w:szCs w:val="40"/>
          <w:u w:val="single"/>
        </w:rPr>
        <w:t xml:space="preserve">        </w:t>
      </w:r>
      <w:r>
        <w:rPr>
          <w:rFonts w:ascii="Times New Roman" w:hAnsi="方正小标宋简体" w:eastAsia="方正小标宋简体"/>
          <w:spacing w:val="8"/>
          <w:sz w:val="40"/>
          <w:szCs w:val="40"/>
        </w:rPr>
        <w:t>自建房排查登记表</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1781"/>
        <w:gridCol w:w="817"/>
        <w:gridCol w:w="2078"/>
        <w:gridCol w:w="1878"/>
        <w:gridCol w:w="391"/>
        <w:gridCol w:w="20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94" w:type="dxa"/>
            <w:vMerge w:val="restart"/>
            <w:tcBorders>
              <w:top w:val="single" w:color="000000" w:sz="2" w:space="0"/>
              <w:bottom w:val="nil"/>
            </w:tcBorders>
            <w:noWrap w:val="0"/>
            <w:vAlign w:val="top"/>
          </w:tcPr>
          <w:p>
            <w:pPr>
              <w:spacing w:line="320" w:lineRule="exact"/>
              <w:rPr>
                <w:rFonts w:hint="eastAsia" w:ascii="仿宋_GB2312" w:hAnsi="仿宋_GB2312" w:eastAsia="仿宋_GB2312" w:cs="仿宋_GB2312"/>
                <w:szCs w:val="21"/>
              </w:rPr>
            </w:pPr>
          </w:p>
          <w:p>
            <w:pPr>
              <w:spacing w:line="320" w:lineRule="exact"/>
              <w:ind w:firstLine="105"/>
              <w:rPr>
                <w:rFonts w:hint="eastAsia" w:ascii="仿宋_GB2312" w:hAnsi="仿宋_GB2312" w:eastAsia="仿宋_GB2312" w:cs="仿宋_GB2312"/>
                <w:szCs w:val="21"/>
              </w:rPr>
            </w:pPr>
            <w:r>
              <w:rPr>
                <w:rFonts w:hint="eastAsia" w:ascii="仿宋_GB2312" w:hAnsi="仿宋_GB2312" w:eastAsia="仿宋_GB2312" w:cs="仿宋_GB2312"/>
                <w:spacing w:val="-3"/>
                <w:szCs w:val="21"/>
              </w:rPr>
              <w:t>基本</w:t>
            </w:r>
          </w:p>
          <w:p>
            <w:pPr>
              <w:spacing w:line="320" w:lineRule="exact"/>
              <w:ind w:firstLine="105"/>
              <w:rPr>
                <w:rFonts w:hint="eastAsia" w:ascii="仿宋_GB2312" w:hAnsi="仿宋_GB2312" w:eastAsia="仿宋_GB2312" w:cs="仿宋_GB2312"/>
                <w:szCs w:val="21"/>
              </w:rPr>
            </w:pPr>
            <w:r>
              <w:rPr>
                <w:rFonts w:hint="eastAsia" w:ascii="仿宋_GB2312" w:hAnsi="仿宋_GB2312" w:eastAsia="仿宋_GB2312" w:cs="仿宋_GB2312"/>
                <w:spacing w:val="-3"/>
                <w:szCs w:val="21"/>
              </w:rPr>
              <w:t>情况</w:t>
            </w:r>
          </w:p>
        </w:tc>
        <w:tc>
          <w:tcPr>
            <w:tcW w:w="1781" w:type="dxa"/>
            <w:tcBorders>
              <w:top w:val="single" w:color="000000" w:sz="2" w:space="0"/>
              <w:bottom w:val="single" w:color="000000" w:sz="2" w:space="0"/>
            </w:tcBorders>
            <w:noWrap w:val="0"/>
            <w:vAlign w:val="top"/>
          </w:tcPr>
          <w:p>
            <w:pPr>
              <w:spacing w:line="320" w:lineRule="exact"/>
              <w:ind w:firstLine="371"/>
              <w:rPr>
                <w:rFonts w:hint="eastAsia" w:ascii="仿宋_GB2312" w:hAnsi="仿宋_GB2312" w:eastAsia="仿宋_GB2312" w:cs="仿宋_GB2312"/>
                <w:szCs w:val="21"/>
              </w:rPr>
            </w:pPr>
            <w:r>
              <w:rPr>
                <w:rFonts w:hint="eastAsia" w:ascii="仿宋_GB2312" w:hAnsi="仿宋_GB2312" w:eastAsia="仿宋_GB2312" w:cs="仿宋_GB2312"/>
                <w:spacing w:val="2"/>
                <w:szCs w:val="21"/>
              </w:rPr>
              <w:t>所在地址</w:t>
            </w:r>
          </w:p>
        </w:tc>
        <w:tc>
          <w:tcPr>
            <w:tcW w:w="2895" w:type="dxa"/>
            <w:gridSpan w:val="2"/>
            <w:tcBorders>
              <w:top w:val="single" w:color="000000" w:sz="2" w:space="0"/>
              <w:bottom w:val="single" w:color="000000" w:sz="2" w:space="0"/>
            </w:tcBorders>
            <w:noWrap w:val="0"/>
            <w:vAlign w:val="top"/>
          </w:tcPr>
          <w:p>
            <w:pPr>
              <w:spacing w:line="320" w:lineRule="exact"/>
              <w:rPr>
                <w:rFonts w:hint="eastAsia" w:ascii="仿宋_GB2312" w:hAnsi="仿宋_GB2312" w:eastAsia="仿宋_GB2312" w:cs="仿宋_GB2312"/>
                <w:szCs w:val="21"/>
              </w:rPr>
            </w:pPr>
          </w:p>
        </w:tc>
        <w:tc>
          <w:tcPr>
            <w:tcW w:w="2269" w:type="dxa"/>
            <w:gridSpan w:val="2"/>
            <w:tcBorders>
              <w:top w:val="single" w:color="000000" w:sz="2" w:space="0"/>
              <w:bottom w:val="single" w:color="000000" w:sz="2" w:space="0"/>
            </w:tcBorders>
            <w:noWrap w:val="0"/>
            <w:vAlign w:val="top"/>
          </w:tcPr>
          <w:p>
            <w:pPr>
              <w:spacing w:line="320" w:lineRule="exact"/>
              <w:ind w:firstLine="415"/>
              <w:rPr>
                <w:rFonts w:hint="eastAsia" w:ascii="仿宋_GB2312" w:hAnsi="仿宋_GB2312" w:eastAsia="仿宋_GB2312" w:cs="仿宋_GB2312"/>
                <w:szCs w:val="21"/>
              </w:rPr>
            </w:pPr>
            <w:r>
              <w:rPr>
                <w:rFonts w:hint="eastAsia" w:ascii="仿宋_GB2312" w:hAnsi="仿宋_GB2312" w:eastAsia="仿宋_GB2312" w:cs="仿宋_GB2312"/>
                <w:spacing w:val="-2"/>
                <w:szCs w:val="21"/>
              </w:rPr>
              <w:t>建筑面积（m2）</w:t>
            </w:r>
          </w:p>
        </w:tc>
        <w:tc>
          <w:tcPr>
            <w:tcW w:w="2016" w:type="dxa"/>
            <w:tcBorders>
              <w:top w:val="single" w:color="000000" w:sz="2" w:space="0"/>
              <w:bottom w:val="single" w:color="000000" w:sz="2" w:space="0"/>
            </w:tcBorders>
            <w:noWrap w:val="0"/>
            <w:vAlign w:val="top"/>
          </w:tcPr>
          <w:p>
            <w:pPr>
              <w:spacing w:line="320" w:lineRule="exact"/>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94" w:type="dxa"/>
            <w:vMerge w:val="continue"/>
            <w:tcBorders>
              <w:top w:val="nil"/>
              <w:bottom w:val="nil"/>
            </w:tcBorders>
            <w:noWrap w:val="0"/>
            <w:vAlign w:val="top"/>
          </w:tcPr>
          <w:p>
            <w:pPr>
              <w:spacing w:line="320" w:lineRule="exact"/>
              <w:rPr>
                <w:rFonts w:hint="eastAsia" w:ascii="仿宋_GB2312" w:hAnsi="仿宋_GB2312" w:eastAsia="仿宋_GB2312" w:cs="仿宋_GB2312"/>
                <w:szCs w:val="21"/>
              </w:rPr>
            </w:pPr>
          </w:p>
        </w:tc>
        <w:tc>
          <w:tcPr>
            <w:tcW w:w="1781" w:type="dxa"/>
            <w:tcBorders>
              <w:top w:val="single" w:color="000000" w:sz="2" w:space="0"/>
              <w:bottom w:val="single" w:color="000000" w:sz="2" w:space="0"/>
            </w:tcBorders>
            <w:noWrap w:val="0"/>
            <w:vAlign w:val="top"/>
          </w:tcPr>
          <w:p>
            <w:pPr>
              <w:spacing w:line="320" w:lineRule="exact"/>
              <w:ind w:firstLine="371"/>
              <w:rPr>
                <w:rFonts w:hint="eastAsia" w:ascii="仿宋_GB2312" w:hAnsi="仿宋_GB2312" w:eastAsia="仿宋_GB2312" w:cs="仿宋_GB2312"/>
                <w:szCs w:val="21"/>
              </w:rPr>
            </w:pPr>
            <w:r>
              <w:rPr>
                <w:rFonts w:hint="eastAsia" w:ascii="仿宋_GB2312" w:hAnsi="仿宋_GB2312" w:eastAsia="仿宋_GB2312" w:cs="仿宋_GB2312"/>
                <w:spacing w:val="7"/>
                <w:szCs w:val="21"/>
              </w:rPr>
              <w:t>业主姓名</w:t>
            </w:r>
          </w:p>
        </w:tc>
        <w:tc>
          <w:tcPr>
            <w:tcW w:w="2895" w:type="dxa"/>
            <w:gridSpan w:val="2"/>
            <w:tcBorders>
              <w:top w:val="single" w:color="000000" w:sz="2" w:space="0"/>
              <w:bottom w:val="single" w:color="000000" w:sz="2" w:space="0"/>
            </w:tcBorders>
            <w:noWrap w:val="0"/>
            <w:vAlign w:val="top"/>
          </w:tcPr>
          <w:p>
            <w:pPr>
              <w:spacing w:line="320" w:lineRule="exact"/>
              <w:rPr>
                <w:rFonts w:hint="eastAsia" w:ascii="仿宋_GB2312" w:hAnsi="仿宋_GB2312" w:eastAsia="仿宋_GB2312" w:cs="仿宋_GB2312"/>
                <w:szCs w:val="21"/>
              </w:rPr>
            </w:pPr>
          </w:p>
        </w:tc>
        <w:tc>
          <w:tcPr>
            <w:tcW w:w="2269" w:type="dxa"/>
            <w:gridSpan w:val="2"/>
            <w:tcBorders>
              <w:top w:val="single" w:color="000000" w:sz="2" w:space="0"/>
              <w:bottom w:val="single" w:color="000000" w:sz="2" w:space="0"/>
            </w:tcBorders>
            <w:noWrap w:val="0"/>
            <w:vAlign w:val="top"/>
          </w:tcPr>
          <w:p>
            <w:pPr>
              <w:spacing w:line="320" w:lineRule="exact"/>
              <w:ind w:firstLine="415"/>
              <w:rPr>
                <w:rFonts w:hint="eastAsia" w:ascii="仿宋_GB2312" w:hAnsi="仿宋_GB2312" w:eastAsia="仿宋_GB2312" w:cs="仿宋_GB2312"/>
                <w:szCs w:val="21"/>
              </w:rPr>
            </w:pPr>
            <w:r>
              <w:rPr>
                <w:rFonts w:hint="eastAsia" w:ascii="仿宋_GB2312" w:hAnsi="仿宋_GB2312" w:eastAsia="仿宋_GB2312" w:cs="仿宋_GB2312"/>
                <w:spacing w:val="-2"/>
                <w:szCs w:val="21"/>
              </w:rPr>
              <w:t>所在建筑层数</w:t>
            </w:r>
          </w:p>
        </w:tc>
        <w:tc>
          <w:tcPr>
            <w:tcW w:w="2016" w:type="dxa"/>
            <w:tcBorders>
              <w:top w:val="single" w:color="000000" w:sz="2" w:space="0"/>
              <w:bottom w:val="single" w:color="000000" w:sz="2" w:space="0"/>
            </w:tcBorders>
            <w:noWrap w:val="0"/>
            <w:vAlign w:val="top"/>
          </w:tcPr>
          <w:p>
            <w:pPr>
              <w:spacing w:line="320" w:lineRule="exact"/>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94" w:type="dxa"/>
            <w:vMerge w:val="continue"/>
            <w:tcBorders>
              <w:top w:val="nil"/>
              <w:bottom w:val="nil"/>
            </w:tcBorders>
            <w:noWrap w:val="0"/>
            <w:vAlign w:val="top"/>
          </w:tcPr>
          <w:p>
            <w:pPr>
              <w:spacing w:line="320" w:lineRule="exact"/>
              <w:rPr>
                <w:rFonts w:hint="eastAsia" w:ascii="仿宋_GB2312" w:hAnsi="仿宋_GB2312" w:eastAsia="仿宋_GB2312" w:cs="仿宋_GB2312"/>
                <w:szCs w:val="21"/>
              </w:rPr>
            </w:pPr>
          </w:p>
        </w:tc>
        <w:tc>
          <w:tcPr>
            <w:tcW w:w="1781" w:type="dxa"/>
            <w:tcBorders>
              <w:top w:val="single" w:color="000000" w:sz="2" w:space="0"/>
              <w:bottom w:val="single" w:color="000000" w:sz="2" w:space="0"/>
            </w:tcBorders>
            <w:noWrap w:val="0"/>
            <w:vAlign w:val="top"/>
          </w:tcPr>
          <w:p>
            <w:pPr>
              <w:spacing w:line="320" w:lineRule="exact"/>
              <w:ind w:firstLine="371"/>
              <w:rPr>
                <w:rFonts w:hint="eastAsia" w:ascii="仿宋_GB2312" w:hAnsi="仿宋_GB2312" w:eastAsia="仿宋_GB2312" w:cs="仿宋_GB2312"/>
                <w:szCs w:val="21"/>
              </w:rPr>
            </w:pPr>
            <w:r>
              <w:rPr>
                <w:rFonts w:hint="eastAsia" w:ascii="仿宋_GB2312" w:hAnsi="仿宋_GB2312" w:eastAsia="仿宋_GB2312" w:cs="仿宋_GB2312"/>
                <w:spacing w:val="-2"/>
                <w:szCs w:val="21"/>
              </w:rPr>
              <w:t>联系电话</w:t>
            </w:r>
          </w:p>
        </w:tc>
        <w:tc>
          <w:tcPr>
            <w:tcW w:w="2895" w:type="dxa"/>
            <w:gridSpan w:val="2"/>
            <w:tcBorders>
              <w:top w:val="single" w:color="000000" w:sz="2" w:space="0"/>
              <w:bottom w:val="single" w:color="000000" w:sz="2" w:space="0"/>
            </w:tcBorders>
            <w:noWrap w:val="0"/>
            <w:vAlign w:val="top"/>
          </w:tcPr>
          <w:p>
            <w:pPr>
              <w:spacing w:line="320" w:lineRule="exact"/>
              <w:rPr>
                <w:rFonts w:hint="eastAsia" w:ascii="仿宋_GB2312" w:hAnsi="仿宋_GB2312" w:eastAsia="仿宋_GB2312" w:cs="仿宋_GB2312"/>
                <w:szCs w:val="21"/>
              </w:rPr>
            </w:pPr>
          </w:p>
        </w:tc>
        <w:tc>
          <w:tcPr>
            <w:tcW w:w="2269" w:type="dxa"/>
            <w:gridSpan w:val="2"/>
            <w:tcBorders>
              <w:top w:val="single" w:color="000000" w:sz="2" w:space="0"/>
              <w:bottom w:val="single" w:color="000000" w:sz="2" w:space="0"/>
            </w:tcBorders>
            <w:noWrap w:val="0"/>
            <w:vAlign w:val="top"/>
          </w:tcPr>
          <w:p>
            <w:pPr>
              <w:spacing w:line="320" w:lineRule="exact"/>
              <w:ind w:firstLine="294"/>
              <w:rPr>
                <w:rFonts w:hint="eastAsia" w:ascii="仿宋_GB2312" w:hAnsi="仿宋_GB2312" w:eastAsia="仿宋_GB2312" w:cs="仿宋_GB2312"/>
                <w:szCs w:val="21"/>
              </w:rPr>
            </w:pPr>
            <w:r>
              <w:rPr>
                <w:rFonts w:hint="eastAsia" w:ascii="仿宋_GB2312" w:hAnsi="仿宋_GB2312" w:eastAsia="仿宋_GB2312" w:cs="仿宋_GB2312"/>
                <w:spacing w:val="-2"/>
                <w:szCs w:val="21"/>
              </w:rPr>
              <w:t>总居住人数（人）</w:t>
            </w:r>
          </w:p>
        </w:tc>
        <w:tc>
          <w:tcPr>
            <w:tcW w:w="2016" w:type="dxa"/>
            <w:tcBorders>
              <w:top w:val="single" w:color="000000" w:sz="2" w:space="0"/>
              <w:bottom w:val="single" w:color="000000" w:sz="2" w:space="0"/>
            </w:tcBorders>
            <w:noWrap w:val="0"/>
            <w:vAlign w:val="top"/>
          </w:tcPr>
          <w:p>
            <w:pPr>
              <w:spacing w:line="320" w:lineRule="exact"/>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94" w:type="dxa"/>
            <w:vMerge w:val="continue"/>
            <w:tcBorders>
              <w:top w:val="nil"/>
              <w:bottom w:val="single" w:color="000000" w:sz="2" w:space="0"/>
            </w:tcBorders>
            <w:noWrap w:val="0"/>
            <w:vAlign w:val="top"/>
          </w:tcPr>
          <w:p>
            <w:pPr>
              <w:spacing w:line="320" w:lineRule="exact"/>
              <w:rPr>
                <w:rFonts w:hint="eastAsia" w:ascii="仿宋_GB2312" w:hAnsi="仿宋_GB2312" w:eastAsia="仿宋_GB2312" w:cs="仿宋_GB2312"/>
                <w:szCs w:val="21"/>
              </w:rPr>
            </w:pPr>
          </w:p>
        </w:tc>
        <w:tc>
          <w:tcPr>
            <w:tcW w:w="1781" w:type="dxa"/>
            <w:tcBorders>
              <w:top w:val="single" w:color="000000" w:sz="2" w:space="0"/>
              <w:bottom w:val="single" w:color="000000" w:sz="2" w:space="0"/>
            </w:tcBorders>
            <w:noWrap w:val="0"/>
            <w:vAlign w:val="top"/>
          </w:tcPr>
          <w:p>
            <w:pPr>
              <w:spacing w:line="320" w:lineRule="exact"/>
              <w:ind w:firstLine="371"/>
              <w:rPr>
                <w:rFonts w:hint="eastAsia" w:ascii="仿宋_GB2312" w:hAnsi="仿宋_GB2312" w:eastAsia="仿宋_GB2312" w:cs="仿宋_GB2312"/>
                <w:szCs w:val="21"/>
              </w:rPr>
            </w:pPr>
            <w:r>
              <w:rPr>
                <w:rFonts w:hint="eastAsia" w:ascii="仿宋_GB2312" w:hAnsi="仿宋_GB2312" w:eastAsia="仿宋_GB2312" w:cs="仿宋_GB2312"/>
                <w:spacing w:val="4"/>
                <w:szCs w:val="21"/>
              </w:rPr>
              <w:t>场所类别</w:t>
            </w:r>
          </w:p>
        </w:tc>
        <w:tc>
          <w:tcPr>
            <w:tcW w:w="7180" w:type="dxa"/>
            <w:gridSpan w:val="5"/>
            <w:tcBorders>
              <w:top w:val="single" w:color="000000" w:sz="2" w:space="0"/>
              <w:bottom w:val="single" w:color="000000" w:sz="2" w:space="0"/>
            </w:tcBorders>
            <w:noWrap w:val="0"/>
            <w:vAlign w:val="top"/>
          </w:tcPr>
          <w:p>
            <w:pPr>
              <w:spacing w:line="320" w:lineRule="exact"/>
              <w:ind w:firstLine="122"/>
              <w:rPr>
                <w:rFonts w:hint="eastAsia" w:ascii="仿宋_GB2312" w:hAnsi="仿宋_GB2312" w:eastAsia="仿宋_GB2312" w:cs="仿宋_GB2312"/>
                <w:szCs w:val="21"/>
              </w:rPr>
            </w:pPr>
            <w:r>
              <w:rPr>
                <w:rFonts w:hint="eastAsia" w:ascii="仿宋_GB2312" w:hAnsi="仿宋_GB2312" w:eastAsia="仿宋_GB2312" w:cs="仿宋_GB2312"/>
                <w:spacing w:val="1"/>
                <w:szCs w:val="21"/>
              </w:rPr>
              <w:t>纯居住场所□群租房□“三合一”“多合一”场所□经营储存危险品场所□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94" w:type="dxa"/>
            <w:vMerge w:val="restart"/>
            <w:tcBorders>
              <w:top w:val="single" w:color="000000" w:sz="2" w:space="0"/>
              <w:bottom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电动自行车停</w:t>
            </w:r>
          </w:p>
          <w:p>
            <w:pPr>
              <w:jc w:val="center"/>
              <w:rPr>
                <w:rFonts w:hint="eastAsia" w:ascii="仿宋_GB2312" w:hAnsi="仿宋_GB2312" w:eastAsia="仿宋_GB2312" w:cs="仿宋_GB2312"/>
              </w:rPr>
            </w:pPr>
            <w:r>
              <w:rPr>
                <w:rFonts w:hint="eastAsia" w:ascii="仿宋_GB2312" w:hAnsi="仿宋_GB2312" w:eastAsia="仿宋_GB2312" w:cs="仿宋_GB2312"/>
              </w:rPr>
              <w:t>放充电情况</w:t>
            </w:r>
          </w:p>
          <w:p>
            <w:pPr>
              <w:spacing w:line="320" w:lineRule="exact"/>
              <w:ind w:firstLine="202"/>
              <w:jc w:val="center"/>
              <w:rPr>
                <w:rFonts w:hint="eastAsia" w:ascii="仿宋_GB2312" w:hAnsi="仿宋_GB2312" w:eastAsia="仿宋_GB2312" w:cs="仿宋_GB2312"/>
                <w:szCs w:val="21"/>
              </w:rPr>
            </w:pPr>
          </w:p>
        </w:tc>
        <w:tc>
          <w:tcPr>
            <w:tcW w:w="1781" w:type="dxa"/>
            <w:tcBorders>
              <w:top w:val="single" w:color="000000" w:sz="2" w:space="0"/>
              <w:bottom w:val="single" w:color="000000" w:sz="2" w:space="0"/>
            </w:tcBorders>
            <w:noWrap w:val="0"/>
            <w:vAlign w:val="top"/>
          </w:tcPr>
          <w:p>
            <w:pPr>
              <w:spacing w:line="320" w:lineRule="exact"/>
              <w:ind w:firstLine="9"/>
              <w:rPr>
                <w:rFonts w:hint="eastAsia" w:ascii="仿宋_GB2312" w:hAnsi="仿宋_GB2312" w:eastAsia="仿宋_GB2312" w:cs="仿宋_GB2312"/>
                <w:szCs w:val="21"/>
              </w:rPr>
            </w:pPr>
            <w:r>
              <w:rPr>
                <w:rFonts w:hint="eastAsia" w:ascii="仿宋_GB2312" w:hAnsi="仿宋_GB2312" w:eastAsia="仿宋_GB2312" w:cs="仿宋_GB2312"/>
                <w:spacing w:val="-2"/>
                <w:szCs w:val="21"/>
              </w:rPr>
              <w:t>停放充电场所</w:t>
            </w:r>
            <w:r>
              <w:rPr>
                <w:rFonts w:hint="eastAsia" w:ascii="仿宋_GB2312" w:hAnsi="仿宋_GB2312" w:eastAsia="仿宋_GB2312" w:cs="仿宋_GB2312"/>
                <w:spacing w:val="3"/>
                <w:szCs w:val="21"/>
              </w:rPr>
              <w:t>是否设置在室</w:t>
            </w:r>
            <w:r>
              <w:rPr>
                <w:rFonts w:hint="eastAsia" w:ascii="仿宋_GB2312" w:hAnsi="仿宋_GB2312" w:eastAsia="仿宋_GB2312" w:cs="仿宋_GB2312"/>
                <w:szCs w:val="21"/>
              </w:rPr>
              <w:t>内</w:t>
            </w:r>
          </w:p>
        </w:tc>
        <w:tc>
          <w:tcPr>
            <w:tcW w:w="2895" w:type="dxa"/>
            <w:gridSpan w:val="2"/>
            <w:tcBorders>
              <w:top w:val="single" w:color="000000" w:sz="2" w:space="0"/>
              <w:bottom w:val="single" w:color="000000" w:sz="2" w:space="0"/>
            </w:tcBorders>
            <w:noWrap w:val="0"/>
            <w:vAlign w:val="top"/>
          </w:tcPr>
          <w:p>
            <w:pPr>
              <w:spacing w:line="320" w:lineRule="exact"/>
              <w:rPr>
                <w:rFonts w:hint="eastAsia" w:ascii="仿宋_GB2312" w:hAnsi="仿宋_GB2312" w:eastAsia="仿宋_GB2312" w:cs="仿宋_GB2312"/>
                <w:szCs w:val="21"/>
              </w:rPr>
            </w:pPr>
          </w:p>
          <w:p>
            <w:pPr>
              <w:spacing w:line="320" w:lineRule="exact"/>
              <w:ind w:firstLine="132"/>
              <w:rPr>
                <w:rFonts w:hint="eastAsia" w:ascii="仿宋_GB2312" w:hAnsi="仿宋_GB2312" w:eastAsia="仿宋_GB2312" w:cs="仿宋_GB2312"/>
                <w:szCs w:val="21"/>
              </w:rPr>
            </w:pPr>
            <w:r>
              <w:rPr>
                <w:rFonts w:hint="eastAsia" w:ascii="仿宋_GB2312" w:hAnsi="仿宋_GB2312" w:eastAsia="仿宋_GB2312" w:cs="仿宋_GB2312"/>
                <w:spacing w:val="8"/>
                <w:szCs w:val="21"/>
              </w:rPr>
              <w:t>是</w:t>
            </w:r>
            <w:r>
              <w:rPr>
                <w:rFonts w:hint="eastAsia" w:ascii="仿宋_GB2312" w:hAnsi="仿宋_GB2312" w:eastAsia="仿宋_GB2312" w:cs="仿宋_GB2312"/>
                <w:spacing w:val="1"/>
                <w:szCs w:val="21"/>
              </w:rPr>
              <w:t>□</w:t>
            </w:r>
            <w:r>
              <w:rPr>
                <w:rFonts w:hint="eastAsia" w:ascii="仿宋_GB2312" w:hAnsi="仿宋_GB2312" w:eastAsia="仿宋_GB2312" w:cs="仿宋_GB2312"/>
                <w:spacing w:val="8"/>
                <w:szCs w:val="21"/>
              </w:rPr>
              <w:t>否</w:t>
            </w:r>
            <w:r>
              <w:rPr>
                <w:rFonts w:hint="eastAsia" w:ascii="仿宋_GB2312" w:hAnsi="仿宋_GB2312" w:eastAsia="仿宋_GB2312" w:cs="仿宋_GB2312"/>
                <w:spacing w:val="1"/>
                <w:szCs w:val="21"/>
              </w:rPr>
              <w:t>□</w:t>
            </w:r>
          </w:p>
        </w:tc>
        <w:tc>
          <w:tcPr>
            <w:tcW w:w="2269" w:type="dxa"/>
            <w:gridSpan w:val="2"/>
            <w:tcBorders>
              <w:top w:val="single" w:color="000000" w:sz="2" w:space="0"/>
              <w:bottom w:val="single" w:color="000000" w:sz="2" w:space="0"/>
            </w:tcBorders>
            <w:noWrap w:val="0"/>
            <w:vAlign w:val="top"/>
          </w:tcPr>
          <w:p>
            <w:pPr>
              <w:spacing w:line="320" w:lineRule="exact"/>
              <w:rPr>
                <w:rFonts w:hint="eastAsia" w:ascii="仿宋_GB2312" w:hAnsi="仿宋_GB2312" w:eastAsia="仿宋_GB2312" w:cs="仿宋_GB2312"/>
                <w:szCs w:val="21"/>
              </w:rPr>
            </w:pPr>
            <w:r>
              <w:rPr>
                <w:rFonts w:hint="eastAsia" w:ascii="仿宋_GB2312" w:hAnsi="仿宋_GB2312" w:eastAsia="仿宋_GB2312" w:cs="仿宋_GB2312"/>
                <w:spacing w:val="5"/>
                <w:szCs w:val="21"/>
              </w:rPr>
              <w:t>室内电动自行车日</w:t>
            </w:r>
            <w:r>
              <w:rPr>
                <w:rFonts w:hint="eastAsia" w:ascii="仿宋_GB2312" w:hAnsi="仿宋_GB2312" w:eastAsia="仿宋_GB2312" w:cs="仿宋_GB2312"/>
                <w:spacing w:val="-2"/>
                <w:szCs w:val="21"/>
              </w:rPr>
              <w:t>常停放数量（辆）</w:t>
            </w:r>
          </w:p>
        </w:tc>
        <w:tc>
          <w:tcPr>
            <w:tcW w:w="2016" w:type="dxa"/>
            <w:tcBorders>
              <w:top w:val="single" w:color="000000" w:sz="2" w:space="0"/>
              <w:bottom w:val="single" w:color="000000" w:sz="2" w:space="0"/>
            </w:tcBorders>
            <w:noWrap w:val="0"/>
            <w:vAlign w:val="top"/>
          </w:tcPr>
          <w:p>
            <w:pPr>
              <w:spacing w:line="320" w:lineRule="exact"/>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94" w:type="dxa"/>
            <w:vMerge w:val="continue"/>
            <w:tcBorders>
              <w:top w:val="nil"/>
              <w:bottom w:val="single" w:color="000000" w:sz="2" w:space="0"/>
            </w:tcBorders>
            <w:noWrap w:val="0"/>
            <w:textDirection w:val="tbRlV"/>
            <w:vAlign w:val="top"/>
          </w:tcPr>
          <w:p>
            <w:pPr>
              <w:spacing w:line="320" w:lineRule="exact"/>
              <w:rPr>
                <w:rFonts w:hint="eastAsia" w:ascii="仿宋_GB2312" w:hAnsi="仿宋_GB2312" w:eastAsia="仿宋_GB2312" w:cs="仿宋_GB2312"/>
                <w:szCs w:val="21"/>
              </w:rPr>
            </w:pPr>
          </w:p>
        </w:tc>
        <w:tc>
          <w:tcPr>
            <w:tcW w:w="1781" w:type="dxa"/>
            <w:tcBorders>
              <w:top w:val="single" w:color="000000" w:sz="2" w:space="0"/>
              <w:bottom w:val="single" w:color="000000" w:sz="2" w:space="0"/>
            </w:tcBorders>
            <w:noWrap w:val="0"/>
            <w:vAlign w:val="top"/>
          </w:tcPr>
          <w:p>
            <w:pPr>
              <w:spacing w:line="320" w:lineRule="exact"/>
              <w:rPr>
                <w:rFonts w:hint="eastAsia" w:ascii="仿宋_GB2312" w:hAnsi="仿宋_GB2312" w:eastAsia="仿宋_GB2312" w:cs="仿宋_GB2312"/>
                <w:szCs w:val="21"/>
              </w:rPr>
            </w:pPr>
            <w:r>
              <w:rPr>
                <w:rFonts w:hint="eastAsia" w:ascii="仿宋_GB2312" w:hAnsi="仿宋_GB2312" w:eastAsia="仿宋_GB2312" w:cs="仿宋_GB2312"/>
                <w:spacing w:val="13"/>
                <w:szCs w:val="21"/>
              </w:rPr>
              <w:t>停放与住宿区</w:t>
            </w:r>
            <w:r>
              <w:rPr>
                <w:rFonts w:hint="eastAsia" w:ascii="仿宋_GB2312" w:hAnsi="仿宋_GB2312" w:eastAsia="仿宋_GB2312" w:cs="仿宋_GB2312"/>
                <w:spacing w:val="11"/>
                <w:szCs w:val="21"/>
              </w:rPr>
              <w:t>域之间是否采</w:t>
            </w:r>
            <w:r>
              <w:rPr>
                <w:rFonts w:hint="eastAsia" w:ascii="仿宋_GB2312" w:hAnsi="仿宋_GB2312" w:eastAsia="仿宋_GB2312" w:cs="仿宋_GB2312"/>
                <w:spacing w:val="12"/>
                <w:szCs w:val="21"/>
              </w:rPr>
              <w:t>用实体墙、防</w:t>
            </w:r>
            <w:r>
              <w:rPr>
                <w:rFonts w:hint="eastAsia" w:ascii="仿宋_GB2312" w:hAnsi="仿宋_GB2312" w:eastAsia="仿宋_GB2312" w:cs="仿宋_GB2312"/>
                <w:spacing w:val="13"/>
                <w:szCs w:val="21"/>
              </w:rPr>
              <w:t>火门进行分隔</w:t>
            </w:r>
          </w:p>
        </w:tc>
        <w:tc>
          <w:tcPr>
            <w:tcW w:w="2895" w:type="dxa"/>
            <w:gridSpan w:val="2"/>
            <w:tcBorders>
              <w:top w:val="single" w:color="000000" w:sz="2" w:space="0"/>
              <w:bottom w:val="single" w:color="000000" w:sz="2" w:space="0"/>
            </w:tcBorders>
            <w:noWrap w:val="0"/>
            <w:vAlign w:val="top"/>
          </w:tcPr>
          <w:p>
            <w:pPr>
              <w:spacing w:line="320" w:lineRule="exact"/>
              <w:rPr>
                <w:rFonts w:hint="eastAsia" w:ascii="仿宋_GB2312" w:hAnsi="仿宋_GB2312" w:eastAsia="仿宋_GB2312" w:cs="仿宋_GB2312"/>
                <w:szCs w:val="21"/>
              </w:rPr>
            </w:pPr>
          </w:p>
          <w:p>
            <w:pPr>
              <w:spacing w:line="320" w:lineRule="exact"/>
              <w:ind w:firstLine="132"/>
              <w:rPr>
                <w:rFonts w:hint="eastAsia" w:ascii="仿宋_GB2312" w:hAnsi="仿宋_GB2312" w:eastAsia="仿宋_GB2312" w:cs="仿宋_GB2312"/>
                <w:szCs w:val="21"/>
              </w:rPr>
            </w:pPr>
            <w:r>
              <w:rPr>
                <w:rFonts w:hint="eastAsia" w:ascii="仿宋_GB2312" w:hAnsi="仿宋_GB2312" w:eastAsia="仿宋_GB2312" w:cs="仿宋_GB2312"/>
                <w:spacing w:val="8"/>
                <w:szCs w:val="21"/>
              </w:rPr>
              <w:t>是</w:t>
            </w:r>
            <w:r>
              <w:rPr>
                <w:rFonts w:hint="eastAsia" w:ascii="仿宋_GB2312" w:hAnsi="仿宋_GB2312" w:eastAsia="仿宋_GB2312" w:cs="仿宋_GB2312"/>
                <w:spacing w:val="1"/>
                <w:szCs w:val="21"/>
              </w:rPr>
              <w:t>□</w:t>
            </w:r>
            <w:r>
              <w:rPr>
                <w:rFonts w:hint="eastAsia" w:ascii="仿宋_GB2312" w:hAnsi="仿宋_GB2312" w:eastAsia="仿宋_GB2312" w:cs="仿宋_GB2312"/>
                <w:spacing w:val="8"/>
                <w:szCs w:val="21"/>
              </w:rPr>
              <w:t>否</w:t>
            </w:r>
            <w:r>
              <w:rPr>
                <w:rFonts w:hint="eastAsia" w:ascii="仿宋_GB2312" w:hAnsi="仿宋_GB2312" w:eastAsia="仿宋_GB2312" w:cs="仿宋_GB2312"/>
                <w:spacing w:val="1"/>
                <w:szCs w:val="21"/>
              </w:rPr>
              <w:t>□</w:t>
            </w:r>
          </w:p>
        </w:tc>
        <w:tc>
          <w:tcPr>
            <w:tcW w:w="2269" w:type="dxa"/>
            <w:gridSpan w:val="2"/>
            <w:tcBorders>
              <w:top w:val="single" w:color="000000" w:sz="2" w:space="0"/>
              <w:bottom w:val="single" w:color="000000" w:sz="2" w:space="0"/>
            </w:tcBorders>
            <w:noWrap w:val="0"/>
            <w:vAlign w:val="top"/>
          </w:tcPr>
          <w:p>
            <w:pPr>
              <w:spacing w:line="320" w:lineRule="exact"/>
              <w:ind w:firstLine="9"/>
              <w:rPr>
                <w:rFonts w:hint="eastAsia" w:ascii="仿宋_GB2312" w:hAnsi="仿宋_GB2312" w:eastAsia="仿宋_GB2312" w:cs="仿宋_GB2312"/>
                <w:szCs w:val="21"/>
              </w:rPr>
            </w:pPr>
            <w:r>
              <w:rPr>
                <w:rFonts w:hint="eastAsia" w:ascii="仿宋_GB2312" w:hAnsi="仿宋_GB2312" w:eastAsia="仿宋_GB2312" w:cs="仿宋_GB2312"/>
                <w:spacing w:val="-2"/>
                <w:szCs w:val="21"/>
              </w:rPr>
              <w:t>楼上居住人员逃生</w:t>
            </w:r>
            <w:r>
              <w:rPr>
                <w:rFonts w:hint="eastAsia" w:ascii="仿宋_GB2312" w:hAnsi="仿宋_GB2312" w:eastAsia="仿宋_GB2312" w:cs="仿宋_GB2312"/>
                <w:spacing w:val="1"/>
                <w:szCs w:val="21"/>
              </w:rPr>
              <w:t>是否必须经过停放</w:t>
            </w:r>
            <w:r>
              <w:rPr>
                <w:rFonts w:hint="eastAsia" w:ascii="仿宋_GB2312" w:hAnsi="仿宋_GB2312" w:eastAsia="仿宋_GB2312" w:cs="仿宋_GB2312"/>
                <w:spacing w:val="2"/>
                <w:szCs w:val="21"/>
              </w:rPr>
              <w:t>充电部位</w:t>
            </w:r>
          </w:p>
        </w:tc>
        <w:tc>
          <w:tcPr>
            <w:tcW w:w="2016" w:type="dxa"/>
            <w:tcBorders>
              <w:top w:val="single" w:color="000000" w:sz="2" w:space="0"/>
              <w:bottom w:val="single" w:color="000000" w:sz="2" w:space="0"/>
            </w:tcBorders>
            <w:noWrap w:val="0"/>
            <w:vAlign w:val="top"/>
          </w:tcPr>
          <w:p>
            <w:pPr>
              <w:spacing w:line="320" w:lineRule="exact"/>
              <w:rPr>
                <w:rFonts w:hint="eastAsia" w:ascii="仿宋_GB2312" w:hAnsi="仿宋_GB2312" w:eastAsia="仿宋_GB2312" w:cs="仿宋_GB2312"/>
                <w:szCs w:val="21"/>
              </w:rPr>
            </w:pPr>
          </w:p>
          <w:p>
            <w:pPr>
              <w:spacing w:line="320" w:lineRule="exact"/>
              <w:ind w:firstLine="96"/>
              <w:rPr>
                <w:rFonts w:hint="eastAsia" w:ascii="仿宋_GB2312" w:hAnsi="仿宋_GB2312" w:eastAsia="仿宋_GB2312" w:cs="仿宋_GB2312"/>
                <w:szCs w:val="21"/>
              </w:rPr>
            </w:pPr>
            <w:r>
              <w:rPr>
                <w:rFonts w:hint="eastAsia" w:ascii="仿宋_GB2312" w:hAnsi="仿宋_GB2312" w:eastAsia="仿宋_GB2312" w:cs="仿宋_GB2312"/>
                <w:spacing w:val="8"/>
                <w:szCs w:val="21"/>
              </w:rPr>
              <w:t>是</w:t>
            </w:r>
            <w:r>
              <w:rPr>
                <w:rFonts w:hint="eastAsia" w:ascii="仿宋_GB2312" w:hAnsi="仿宋_GB2312" w:eastAsia="仿宋_GB2312" w:cs="仿宋_GB2312"/>
                <w:spacing w:val="1"/>
                <w:szCs w:val="21"/>
              </w:rPr>
              <w:t>□</w:t>
            </w:r>
            <w:r>
              <w:rPr>
                <w:rFonts w:hint="eastAsia" w:ascii="仿宋_GB2312" w:hAnsi="仿宋_GB2312" w:eastAsia="仿宋_GB2312" w:cs="仿宋_GB2312"/>
                <w:spacing w:val="8"/>
                <w:szCs w:val="21"/>
              </w:rPr>
              <w:t>否</w:t>
            </w:r>
            <w:r>
              <w:rPr>
                <w:rFonts w:hint="eastAsia" w:ascii="仿宋_GB2312" w:hAnsi="仿宋_GB2312" w:eastAsia="仿宋_GB2312" w:cs="仿宋_GB2312"/>
                <w:spacing w:val="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94" w:type="dxa"/>
            <w:vMerge w:val="restart"/>
            <w:tcBorders>
              <w:top w:val="single" w:color="000000" w:sz="2" w:space="0"/>
              <w:bottom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w w:val="106"/>
              </w:rPr>
              <w:t>经营</w:t>
            </w:r>
            <w:r>
              <w:rPr>
                <w:rFonts w:hint="eastAsia" w:ascii="仿宋_GB2312" w:hAnsi="仿宋_GB2312" w:eastAsia="仿宋_GB2312" w:cs="仿宋_GB2312"/>
              </w:rPr>
              <w:t>性</w:t>
            </w:r>
            <w:r>
              <w:rPr>
                <w:rFonts w:hint="eastAsia" w:ascii="仿宋_GB2312" w:hAnsi="仿宋_GB2312" w:eastAsia="仿宋_GB2312" w:cs="仿宋_GB2312"/>
                <w:w w:val="106"/>
              </w:rPr>
              <w:t>场</w:t>
            </w:r>
            <w:r>
              <w:rPr>
                <w:rFonts w:hint="eastAsia" w:ascii="仿宋_GB2312" w:hAnsi="仿宋_GB2312" w:eastAsia="仿宋_GB2312" w:cs="仿宋_GB2312"/>
              </w:rPr>
              <w:t>所</w:t>
            </w:r>
          </w:p>
          <w:p>
            <w:pPr>
              <w:jc w:val="center"/>
              <w:rPr>
                <w:rFonts w:hint="eastAsia" w:ascii="仿宋_GB2312" w:hAnsi="仿宋_GB2312" w:eastAsia="仿宋_GB2312" w:cs="仿宋_GB2312"/>
              </w:rPr>
            </w:pPr>
            <w:r>
              <w:rPr>
                <w:rFonts w:hint="eastAsia" w:ascii="仿宋_GB2312" w:hAnsi="仿宋_GB2312" w:eastAsia="仿宋_GB2312" w:cs="仿宋_GB2312"/>
              </w:rPr>
              <w:t>情况</w:t>
            </w:r>
          </w:p>
        </w:tc>
        <w:tc>
          <w:tcPr>
            <w:tcW w:w="1781" w:type="dxa"/>
            <w:tcBorders>
              <w:top w:val="single" w:color="000000" w:sz="2" w:space="0"/>
              <w:bottom w:val="single" w:color="000000" w:sz="2" w:space="0"/>
            </w:tcBorders>
            <w:noWrap w:val="0"/>
            <w:vAlign w:val="top"/>
          </w:tcPr>
          <w:p>
            <w:pPr>
              <w:spacing w:line="320" w:lineRule="exact"/>
              <w:ind w:firstLine="9"/>
              <w:rPr>
                <w:rFonts w:hint="eastAsia" w:ascii="仿宋_GB2312" w:hAnsi="仿宋_GB2312" w:eastAsia="仿宋_GB2312" w:cs="仿宋_GB2312"/>
                <w:szCs w:val="21"/>
              </w:rPr>
            </w:pPr>
            <w:r>
              <w:rPr>
                <w:rFonts w:hint="eastAsia" w:ascii="仿宋_GB2312" w:hAnsi="仿宋_GB2312" w:eastAsia="仿宋_GB2312" w:cs="仿宋_GB2312"/>
                <w:spacing w:val="2"/>
                <w:szCs w:val="21"/>
              </w:rPr>
              <w:t>住宅与何种场</w:t>
            </w:r>
            <w:r>
              <w:rPr>
                <w:rFonts w:hint="eastAsia" w:ascii="仿宋_GB2312" w:hAnsi="仿宋_GB2312" w:eastAsia="仿宋_GB2312" w:cs="仿宋_GB2312"/>
                <w:spacing w:val="3"/>
                <w:szCs w:val="21"/>
              </w:rPr>
              <w:t>所类型合用</w:t>
            </w:r>
          </w:p>
        </w:tc>
        <w:tc>
          <w:tcPr>
            <w:tcW w:w="7180" w:type="dxa"/>
            <w:gridSpan w:val="5"/>
            <w:tcBorders>
              <w:top w:val="single" w:color="000000" w:sz="2" w:space="0"/>
              <w:bottom w:val="single" w:color="000000" w:sz="2" w:space="0"/>
            </w:tcBorders>
            <w:noWrap w:val="0"/>
            <w:vAlign w:val="top"/>
          </w:tcPr>
          <w:p>
            <w:pPr>
              <w:spacing w:line="320" w:lineRule="exact"/>
              <w:ind w:firstLine="122"/>
              <w:rPr>
                <w:rFonts w:hint="eastAsia" w:ascii="仿宋_GB2312" w:hAnsi="仿宋_GB2312" w:eastAsia="仿宋_GB2312" w:cs="仿宋_GB2312"/>
                <w:szCs w:val="21"/>
              </w:rPr>
            </w:pPr>
            <w:r>
              <w:rPr>
                <w:rFonts w:hint="eastAsia" w:ascii="仿宋_GB2312" w:hAnsi="仿宋_GB2312" w:eastAsia="仿宋_GB2312" w:cs="仿宋_GB2312"/>
                <w:szCs w:val="21"/>
              </w:rPr>
              <w:t>百货销售口餐饮□机电维修□仓库□生产加工□其他____________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94" w:type="dxa"/>
            <w:vMerge w:val="continue"/>
            <w:tcBorders>
              <w:top w:val="nil"/>
              <w:bottom w:val="nil"/>
            </w:tcBorders>
            <w:noWrap w:val="0"/>
            <w:textDirection w:val="tbRlV"/>
            <w:vAlign w:val="top"/>
          </w:tcPr>
          <w:p>
            <w:pPr>
              <w:spacing w:line="320" w:lineRule="exact"/>
              <w:rPr>
                <w:rFonts w:hint="eastAsia" w:ascii="仿宋_GB2312" w:hAnsi="仿宋_GB2312" w:eastAsia="仿宋_GB2312" w:cs="仿宋_GB2312"/>
                <w:szCs w:val="21"/>
              </w:rPr>
            </w:pPr>
          </w:p>
        </w:tc>
        <w:tc>
          <w:tcPr>
            <w:tcW w:w="1781" w:type="dxa"/>
            <w:tcBorders>
              <w:top w:val="single" w:color="000000" w:sz="2" w:space="0"/>
              <w:bottom w:val="single" w:color="000000" w:sz="2" w:space="0"/>
            </w:tcBorders>
            <w:noWrap w:val="0"/>
            <w:vAlign w:val="top"/>
          </w:tcPr>
          <w:p>
            <w:pPr>
              <w:spacing w:line="320" w:lineRule="exact"/>
              <w:ind w:firstLine="9"/>
              <w:rPr>
                <w:rFonts w:hint="eastAsia" w:ascii="仿宋_GB2312" w:hAnsi="仿宋_GB2312" w:eastAsia="仿宋_GB2312" w:cs="仿宋_GB2312"/>
                <w:szCs w:val="21"/>
              </w:rPr>
            </w:pPr>
            <w:r>
              <w:rPr>
                <w:rFonts w:hint="eastAsia" w:ascii="仿宋_GB2312" w:hAnsi="仿宋_GB2312" w:eastAsia="仿宋_GB2312" w:cs="仿宋_GB2312"/>
                <w:spacing w:val="1"/>
                <w:szCs w:val="21"/>
              </w:rPr>
              <w:t>是否在夹层违</w:t>
            </w:r>
            <w:r>
              <w:rPr>
                <w:rFonts w:hint="eastAsia" w:ascii="仿宋_GB2312" w:hAnsi="仿宋_GB2312" w:eastAsia="仿宋_GB2312" w:cs="仿宋_GB2312"/>
                <w:spacing w:val="3"/>
                <w:szCs w:val="21"/>
              </w:rPr>
              <w:t>规住人</w:t>
            </w:r>
          </w:p>
        </w:tc>
        <w:tc>
          <w:tcPr>
            <w:tcW w:w="2895" w:type="dxa"/>
            <w:gridSpan w:val="2"/>
            <w:tcBorders>
              <w:top w:val="single" w:color="000000" w:sz="2" w:space="0"/>
              <w:bottom w:val="single" w:color="000000" w:sz="2" w:space="0"/>
            </w:tcBorders>
            <w:noWrap w:val="0"/>
            <w:vAlign w:val="top"/>
          </w:tcPr>
          <w:p>
            <w:pPr>
              <w:spacing w:line="320" w:lineRule="exact"/>
              <w:ind w:firstLine="132"/>
              <w:rPr>
                <w:rFonts w:hint="eastAsia" w:ascii="仿宋_GB2312" w:hAnsi="仿宋_GB2312" w:eastAsia="仿宋_GB2312" w:cs="仿宋_GB2312"/>
                <w:szCs w:val="21"/>
              </w:rPr>
            </w:pPr>
            <w:r>
              <w:rPr>
                <w:rFonts w:hint="eastAsia" w:ascii="仿宋_GB2312" w:hAnsi="仿宋_GB2312" w:eastAsia="仿宋_GB2312" w:cs="仿宋_GB2312"/>
                <w:spacing w:val="8"/>
                <w:szCs w:val="21"/>
              </w:rPr>
              <w:t>是</w:t>
            </w:r>
            <w:r>
              <w:rPr>
                <w:rFonts w:hint="eastAsia" w:ascii="仿宋_GB2312" w:hAnsi="仿宋_GB2312" w:eastAsia="仿宋_GB2312" w:cs="仿宋_GB2312"/>
                <w:spacing w:val="1"/>
                <w:szCs w:val="21"/>
              </w:rPr>
              <w:t>□</w:t>
            </w:r>
            <w:r>
              <w:rPr>
                <w:rFonts w:hint="eastAsia" w:ascii="仿宋_GB2312" w:hAnsi="仿宋_GB2312" w:eastAsia="仿宋_GB2312" w:cs="仿宋_GB2312"/>
                <w:spacing w:val="8"/>
                <w:szCs w:val="21"/>
              </w:rPr>
              <w:t>否</w:t>
            </w:r>
            <w:r>
              <w:rPr>
                <w:rFonts w:hint="eastAsia" w:ascii="仿宋_GB2312" w:hAnsi="仿宋_GB2312" w:eastAsia="仿宋_GB2312" w:cs="仿宋_GB2312"/>
                <w:spacing w:val="1"/>
                <w:szCs w:val="21"/>
              </w:rPr>
              <w:t>□</w:t>
            </w:r>
          </w:p>
        </w:tc>
        <w:tc>
          <w:tcPr>
            <w:tcW w:w="2269" w:type="dxa"/>
            <w:gridSpan w:val="2"/>
            <w:tcBorders>
              <w:top w:val="single" w:color="000000" w:sz="2" w:space="0"/>
              <w:bottom w:val="single" w:color="000000" w:sz="2" w:space="0"/>
            </w:tcBorders>
            <w:noWrap w:val="0"/>
            <w:vAlign w:val="top"/>
          </w:tcPr>
          <w:p>
            <w:pPr>
              <w:spacing w:line="320" w:lineRule="exact"/>
              <w:ind w:firstLine="105"/>
              <w:rPr>
                <w:rFonts w:hint="eastAsia" w:ascii="仿宋_GB2312" w:hAnsi="仿宋_GB2312" w:eastAsia="仿宋_GB2312" w:cs="仿宋_GB2312"/>
                <w:szCs w:val="21"/>
              </w:rPr>
            </w:pPr>
            <w:r>
              <w:rPr>
                <w:rFonts w:hint="eastAsia" w:ascii="仿宋_GB2312" w:hAnsi="仿宋_GB2312" w:eastAsia="仿宋_GB2312" w:cs="仿宋_GB2312"/>
                <w:spacing w:val="-2"/>
                <w:szCs w:val="21"/>
              </w:rPr>
              <w:t>夹层居住人数（人）</w:t>
            </w:r>
          </w:p>
        </w:tc>
        <w:tc>
          <w:tcPr>
            <w:tcW w:w="2016" w:type="dxa"/>
            <w:tcBorders>
              <w:top w:val="single" w:color="000000" w:sz="2" w:space="0"/>
              <w:bottom w:val="single" w:color="000000" w:sz="2" w:space="0"/>
            </w:tcBorders>
            <w:noWrap w:val="0"/>
            <w:vAlign w:val="top"/>
          </w:tcPr>
          <w:p>
            <w:pPr>
              <w:spacing w:line="320" w:lineRule="exact"/>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94" w:type="dxa"/>
            <w:vMerge w:val="continue"/>
            <w:tcBorders>
              <w:top w:val="nil"/>
              <w:bottom w:val="single" w:color="000000" w:sz="2" w:space="0"/>
            </w:tcBorders>
            <w:noWrap w:val="0"/>
            <w:textDirection w:val="tbRlV"/>
            <w:vAlign w:val="top"/>
          </w:tcPr>
          <w:p>
            <w:pPr>
              <w:spacing w:line="320" w:lineRule="exact"/>
              <w:rPr>
                <w:rFonts w:hint="eastAsia" w:ascii="仿宋_GB2312" w:hAnsi="仿宋_GB2312" w:eastAsia="仿宋_GB2312" w:cs="仿宋_GB2312"/>
                <w:szCs w:val="21"/>
              </w:rPr>
            </w:pPr>
          </w:p>
        </w:tc>
        <w:tc>
          <w:tcPr>
            <w:tcW w:w="1781" w:type="dxa"/>
            <w:tcBorders>
              <w:top w:val="single" w:color="000000" w:sz="2" w:space="0"/>
              <w:bottom w:val="single" w:color="000000" w:sz="2" w:space="0"/>
            </w:tcBorders>
            <w:noWrap w:val="0"/>
            <w:vAlign w:val="top"/>
          </w:tcPr>
          <w:p>
            <w:pPr>
              <w:spacing w:line="320" w:lineRule="exact"/>
              <w:rPr>
                <w:rFonts w:hint="eastAsia" w:ascii="仿宋_GB2312" w:hAnsi="仿宋_GB2312" w:eastAsia="仿宋_GB2312" w:cs="仿宋_GB2312"/>
                <w:szCs w:val="21"/>
              </w:rPr>
            </w:pPr>
            <w:r>
              <w:rPr>
                <w:rFonts w:hint="eastAsia" w:ascii="仿宋_GB2312" w:hAnsi="仿宋_GB2312" w:eastAsia="仿宋_GB2312" w:cs="仿宋_GB2312"/>
                <w:spacing w:val="2"/>
                <w:szCs w:val="21"/>
              </w:rPr>
              <w:t>住宿与非住宿区域之间是否</w:t>
            </w:r>
            <w:r>
              <w:rPr>
                <w:rFonts w:hint="eastAsia" w:ascii="仿宋_GB2312" w:hAnsi="仿宋_GB2312" w:eastAsia="仿宋_GB2312" w:cs="仿宋_GB2312"/>
                <w:spacing w:val="20"/>
                <w:szCs w:val="21"/>
              </w:rPr>
              <w:t>采用实体墙、</w:t>
            </w:r>
            <w:r>
              <w:rPr>
                <w:rFonts w:hint="eastAsia" w:ascii="仿宋_GB2312" w:hAnsi="仿宋_GB2312" w:eastAsia="仿宋_GB2312" w:cs="仿宋_GB2312"/>
                <w:spacing w:val="1"/>
                <w:szCs w:val="21"/>
              </w:rPr>
              <w:t>防火门进行分</w:t>
            </w:r>
            <w:r>
              <w:rPr>
                <w:rFonts w:hint="eastAsia" w:ascii="仿宋_GB2312" w:hAnsi="仿宋_GB2312" w:eastAsia="仿宋_GB2312" w:cs="仿宋_GB2312"/>
                <w:szCs w:val="21"/>
              </w:rPr>
              <w:t>隔</w:t>
            </w:r>
          </w:p>
        </w:tc>
        <w:tc>
          <w:tcPr>
            <w:tcW w:w="2895" w:type="dxa"/>
            <w:gridSpan w:val="2"/>
            <w:tcBorders>
              <w:top w:val="single" w:color="000000" w:sz="2" w:space="0"/>
              <w:bottom w:val="single" w:color="000000" w:sz="2" w:space="0"/>
            </w:tcBorders>
            <w:noWrap w:val="0"/>
            <w:vAlign w:val="top"/>
          </w:tcPr>
          <w:p>
            <w:pPr>
              <w:spacing w:line="320" w:lineRule="exact"/>
              <w:rPr>
                <w:rFonts w:hint="eastAsia" w:ascii="仿宋_GB2312" w:hAnsi="仿宋_GB2312" w:eastAsia="仿宋_GB2312" w:cs="仿宋_GB2312"/>
                <w:szCs w:val="21"/>
              </w:rPr>
            </w:pPr>
          </w:p>
          <w:p>
            <w:pPr>
              <w:spacing w:line="320" w:lineRule="exact"/>
              <w:rPr>
                <w:rFonts w:hint="eastAsia" w:ascii="仿宋_GB2312" w:hAnsi="仿宋_GB2312" w:eastAsia="仿宋_GB2312" w:cs="仿宋_GB2312"/>
                <w:szCs w:val="21"/>
              </w:rPr>
            </w:pPr>
          </w:p>
          <w:p>
            <w:pPr>
              <w:spacing w:line="320" w:lineRule="exact"/>
              <w:ind w:firstLine="132"/>
              <w:rPr>
                <w:rFonts w:hint="eastAsia" w:ascii="仿宋_GB2312" w:hAnsi="仿宋_GB2312" w:eastAsia="仿宋_GB2312" w:cs="仿宋_GB2312"/>
                <w:szCs w:val="21"/>
              </w:rPr>
            </w:pPr>
            <w:r>
              <w:rPr>
                <w:rFonts w:hint="eastAsia" w:ascii="仿宋_GB2312" w:hAnsi="仿宋_GB2312" w:eastAsia="仿宋_GB2312" w:cs="仿宋_GB2312"/>
                <w:spacing w:val="8"/>
                <w:szCs w:val="21"/>
              </w:rPr>
              <w:t>是</w:t>
            </w:r>
            <w:r>
              <w:rPr>
                <w:rFonts w:hint="eastAsia" w:ascii="仿宋_GB2312" w:hAnsi="仿宋_GB2312" w:eastAsia="仿宋_GB2312" w:cs="仿宋_GB2312"/>
                <w:spacing w:val="1"/>
                <w:szCs w:val="21"/>
              </w:rPr>
              <w:t>□</w:t>
            </w:r>
            <w:r>
              <w:rPr>
                <w:rFonts w:hint="eastAsia" w:ascii="仿宋_GB2312" w:hAnsi="仿宋_GB2312" w:eastAsia="仿宋_GB2312" w:cs="仿宋_GB2312"/>
                <w:spacing w:val="8"/>
                <w:szCs w:val="21"/>
              </w:rPr>
              <w:t>否</w:t>
            </w:r>
            <w:r>
              <w:rPr>
                <w:rFonts w:hint="eastAsia" w:ascii="仿宋_GB2312" w:hAnsi="仿宋_GB2312" w:eastAsia="仿宋_GB2312" w:cs="仿宋_GB2312"/>
                <w:spacing w:val="1"/>
                <w:szCs w:val="21"/>
              </w:rPr>
              <w:t>□</w:t>
            </w:r>
          </w:p>
        </w:tc>
        <w:tc>
          <w:tcPr>
            <w:tcW w:w="2269" w:type="dxa"/>
            <w:gridSpan w:val="2"/>
            <w:tcBorders>
              <w:top w:val="single" w:color="000000" w:sz="2" w:space="0"/>
              <w:bottom w:val="single" w:color="000000" w:sz="2" w:space="0"/>
            </w:tcBorders>
            <w:noWrap w:val="0"/>
            <w:vAlign w:val="top"/>
          </w:tcPr>
          <w:p>
            <w:pPr>
              <w:spacing w:line="320" w:lineRule="exact"/>
              <w:ind w:firstLine="19"/>
              <w:rPr>
                <w:rFonts w:hint="eastAsia" w:ascii="仿宋_GB2312" w:hAnsi="仿宋_GB2312" w:eastAsia="仿宋_GB2312" w:cs="仿宋_GB2312"/>
                <w:szCs w:val="21"/>
              </w:rPr>
            </w:pPr>
            <w:r>
              <w:rPr>
                <w:rFonts w:hint="eastAsia" w:ascii="仿宋_GB2312" w:hAnsi="仿宋_GB2312" w:eastAsia="仿宋_GB2312" w:cs="仿宋_GB2312"/>
                <w:spacing w:val="2"/>
                <w:szCs w:val="21"/>
              </w:rPr>
              <w:t xml:space="preserve">楼上居住人员逃生   </w:t>
            </w:r>
            <w:r>
              <w:rPr>
                <w:rFonts w:hint="eastAsia" w:ascii="仿宋_GB2312" w:hAnsi="仿宋_GB2312" w:eastAsia="仿宋_GB2312" w:cs="仿宋_GB2312"/>
                <w:spacing w:val="9"/>
                <w:szCs w:val="21"/>
              </w:rPr>
              <w:t>是否必须经过生产、</w:t>
            </w:r>
            <w:r>
              <w:rPr>
                <w:rFonts w:hint="eastAsia" w:ascii="仿宋_GB2312" w:hAnsi="仿宋_GB2312" w:eastAsia="仿宋_GB2312" w:cs="仿宋_GB2312"/>
                <w:spacing w:val="2"/>
                <w:szCs w:val="21"/>
              </w:rPr>
              <w:t>经营、储存等非住宿</w:t>
            </w:r>
            <w:r>
              <w:rPr>
                <w:rFonts w:hint="eastAsia" w:ascii="仿宋_GB2312" w:hAnsi="仿宋_GB2312" w:eastAsia="仿宋_GB2312" w:cs="仿宋_GB2312"/>
                <w:spacing w:val="8"/>
                <w:szCs w:val="21"/>
              </w:rPr>
              <w:t>区域</w:t>
            </w:r>
          </w:p>
        </w:tc>
        <w:tc>
          <w:tcPr>
            <w:tcW w:w="2016" w:type="dxa"/>
            <w:tcBorders>
              <w:top w:val="single" w:color="000000" w:sz="2" w:space="0"/>
              <w:bottom w:val="single" w:color="000000" w:sz="2" w:space="0"/>
            </w:tcBorders>
            <w:noWrap w:val="0"/>
            <w:vAlign w:val="top"/>
          </w:tcPr>
          <w:p>
            <w:pPr>
              <w:spacing w:line="320" w:lineRule="exact"/>
              <w:rPr>
                <w:rFonts w:hint="eastAsia" w:ascii="仿宋_GB2312" w:hAnsi="仿宋_GB2312" w:eastAsia="仿宋_GB2312" w:cs="仿宋_GB2312"/>
                <w:szCs w:val="21"/>
              </w:rPr>
            </w:pPr>
          </w:p>
          <w:p>
            <w:pPr>
              <w:spacing w:line="320" w:lineRule="exact"/>
              <w:rPr>
                <w:rFonts w:hint="eastAsia" w:ascii="仿宋_GB2312" w:hAnsi="仿宋_GB2312" w:eastAsia="仿宋_GB2312" w:cs="仿宋_GB2312"/>
                <w:szCs w:val="21"/>
              </w:rPr>
            </w:pPr>
          </w:p>
          <w:p>
            <w:pPr>
              <w:spacing w:line="320" w:lineRule="exact"/>
              <w:ind w:firstLine="96"/>
              <w:rPr>
                <w:rFonts w:hint="eastAsia" w:ascii="仿宋_GB2312" w:hAnsi="仿宋_GB2312" w:eastAsia="仿宋_GB2312" w:cs="仿宋_GB2312"/>
                <w:szCs w:val="21"/>
              </w:rPr>
            </w:pPr>
            <w:r>
              <w:rPr>
                <w:rFonts w:hint="eastAsia" w:ascii="仿宋_GB2312" w:hAnsi="仿宋_GB2312" w:eastAsia="仿宋_GB2312" w:cs="仿宋_GB2312"/>
                <w:spacing w:val="8"/>
                <w:szCs w:val="21"/>
              </w:rPr>
              <w:t>是</w:t>
            </w:r>
            <w:r>
              <w:rPr>
                <w:rFonts w:hint="eastAsia" w:ascii="仿宋_GB2312" w:hAnsi="仿宋_GB2312" w:eastAsia="仿宋_GB2312" w:cs="仿宋_GB2312"/>
                <w:spacing w:val="1"/>
                <w:szCs w:val="21"/>
              </w:rPr>
              <w:t>□</w:t>
            </w:r>
            <w:r>
              <w:rPr>
                <w:rFonts w:hint="eastAsia" w:ascii="仿宋_GB2312" w:hAnsi="仿宋_GB2312" w:eastAsia="仿宋_GB2312" w:cs="仿宋_GB2312"/>
                <w:spacing w:val="8"/>
                <w:szCs w:val="21"/>
              </w:rPr>
              <w:t>否</w:t>
            </w:r>
            <w:r>
              <w:rPr>
                <w:rFonts w:hint="eastAsia" w:ascii="仿宋_GB2312" w:hAnsi="仿宋_GB2312" w:eastAsia="仿宋_GB2312" w:cs="仿宋_GB2312"/>
                <w:spacing w:val="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94" w:type="dxa"/>
            <w:vMerge w:val="restart"/>
            <w:tcBorders>
              <w:top w:val="single" w:color="000000" w:sz="2" w:space="0"/>
              <w:bottom w:val="nil"/>
            </w:tcBorders>
            <w:noWrap w:val="0"/>
            <w:vAlign w:val="top"/>
          </w:tcPr>
          <w:p>
            <w:pPr>
              <w:spacing w:line="32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经营储存危险品场所</w:t>
            </w:r>
          </w:p>
        </w:tc>
        <w:tc>
          <w:tcPr>
            <w:tcW w:w="1781" w:type="dxa"/>
            <w:vMerge w:val="restart"/>
            <w:tcBorders>
              <w:top w:val="single" w:color="000000" w:sz="2" w:space="0"/>
              <w:bottom w:val="nil"/>
            </w:tcBorders>
            <w:noWrap w:val="0"/>
            <w:vAlign w:val="top"/>
          </w:tcPr>
          <w:p>
            <w:pPr>
              <w:spacing w:line="320" w:lineRule="exact"/>
              <w:rPr>
                <w:rFonts w:hint="eastAsia" w:ascii="仿宋_GB2312" w:hAnsi="仿宋_GB2312" w:eastAsia="仿宋_GB2312" w:cs="仿宋_GB2312"/>
                <w:szCs w:val="21"/>
              </w:rPr>
            </w:pPr>
          </w:p>
          <w:p>
            <w:pPr>
              <w:spacing w:line="320" w:lineRule="exact"/>
              <w:ind w:firstLine="30"/>
              <w:rPr>
                <w:rFonts w:hint="eastAsia" w:ascii="仿宋_GB2312" w:hAnsi="仿宋_GB2312" w:eastAsia="仿宋_GB2312" w:cs="仿宋_GB2312"/>
                <w:szCs w:val="21"/>
              </w:rPr>
            </w:pPr>
            <w:r>
              <w:rPr>
                <w:rFonts w:hint="eastAsia" w:ascii="仿宋_GB2312" w:hAnsi="仿宋_GB2312" w:eastAsia="仿宋_GB2312" w:cs="仿宋_GB2312"/>
                <w:spacing w:val="2"/>
                <w:szCs w:val="21"/>
              </w:rPr>
              <w:t>经营储存何种</w:t>
            </w:r>
            <w:r>
              <w:rPr>
                <w:rFonts w:hint="eastAsia" w:ascii="仿宋_GB2312" w:hAnsi="仿宋_GB2312" w:eastAsia="仿宋_GB2312" w:cs="仿宋_GB2312"/>
                <w:spacing w:val="8"/>
                <w:szCs w:val="21"/>
              </w:rPr>
              <w:t>危险品</w:t>
            </w:r>
          </w:p>
        </w:tc>
        <w:tc>
          <w:tcPr>
            <w:tcW w:w="2895" w:type="dxa"/>
            <w:gridSpan w:val="2"/>
            <w:vMerge w:val="restart"/>
            <w:tcBorders>
              <w:top w:val="single" w:color="000000" w:sz="2" w:space="0"/>
              <w:bottom w:val="nil"/>
            </w:tcBorders>
            <w:noWrap w:val="0"/>
            <w:vAlign w:val="center"/>
          </w:tcPr>
          <w:p>
            <w:pPr>
              <w:spacing w:line="320" w:lineRule="exact"/>
              <w:ind w:firstLine="132"/>
              <w:rPr>
                <w:rFonts w:hint="eastAsia" w:ascii="仿宋_GB2312" w:hAnsi="仿宋_GB2312" w:eastAsia="仿宋_GB2312" w:cs="仿宋_GB2312"/>
                <w:szCs w:val="21"/>
              </w:rPr>
            </w:pPr>
            <w:r>
              <w:rPr>
                <w:rFonts w:hint="eastAsia" w:ascii="仿宋_GB2312" w:hAnsi="仿宋_GB2312" w:eastAsia="仿宋_GB2312" w:cs="仿宋_GB2312"/>
                <w:spacing w:val="4"/>
                <w:szCs w:val="21"/>
              </w:rPr>
              <w:t>烟花爆竹□酒精口</w:t>
            </w:r>
          </w:p>
          <w:p>
            <w:pPr>
              <w:spacing w:line="320" w:lineRule="exact"/>
              <w:ind w:firstLine="132"/>
              <w:rPr>
                <w:rFonts w:hint="eastAsia" w:ascii="仿宋_GB2312" w:hAnsi="仿宋_GB2312" w:eastAsia="仿宋_GB2312" w:cs="仿宋_GB2312"/>
                <w:szCs w:val="21"/>
              </w:rPr>
            </w:pPr>
            <w:r>
              <w:rPr>
                <w:rFonts w:hint="eastAsia" w:ascii="仿宋_GB2312" w:hAnsi="仿宋_GB2312" w:eastAsia="仿宋_GB2312" w:cs="仿宋_GB2312"/>
                <w:spacing w:val="8"/>
                <w:szCs w:val="21"/>
              </w:rPr>
              <w:t>液化气□</w:t>
            </w:r>
          </w:p>
          <w:p>
            <w:pPr>
              <w:spacing w:line="320" w:lineRule="exact"/>
              <w:ind w:firstLine="132"/>
              <w:rPr>
                <w:rFonts w:hint="eastAsia" w:ascii="仿宋_GB2312" w:hAnsi="仿宋_GB2312" w:eastAsia="仿宋_GB2312" w:cs="仿宋_GB2312"/>
                <w:szCs w:val="21"/>
              </w:rPr>
            </w:pPr>
            <w:r>
              <w:rPr>
                <w:rFonts w:hint="eastAsia" w:ascii="仿宋_GB2312" w:hAnsi="仿宋_GB2312" w:eastAsia="仿宋_GB2312" w:cs="仿宋_GB2312"/>
                <w:spacing w:val="-3"/>
                <w:szCs w:val="21"/>
              </w:rPr>
              <w:t>其他________________</w:t>
            </w:r>
          </w:p>
        </w:tc>
        <w:tc>
          <w:tcPr>
            <w:tcW w:w="4285" w:type="dxa"/>
            <w:gridSpan w:val="3"/>
            <w:tcBorders>
              <w:top w:val="single" w:color="000000" w:sz="2" w:space="0"/>
              <w:bottom w:val="single" w:color="000000" w:sz="2" w:space="0"/>
            </w:tcBorders>
            <w:noWrap w:val="0"/>
            <w:vAlign w:val="top"/>
          </w:tcPr>
          <w:p>
            <w:pPr>
              <w:spacing w:line="320" w:lineRule="exact"/>
              <w:ind w:firstLine="115"/>
              <w:rPr>
                <w:rFonts w:hint="eastAsia" w:ascii="仿宋_GB2312" w:hAnsi="仿宋_GB2312" w:eastAsia="仿宋_GB2312" w:cs="仿宋_GB2312"/>
                <w:szCs w:val="21"/>
              </w:rPr>
            </w:pPr>
            <w:r>
              <w:rPr>
                <w:rFonts w:hint="eastAsia" w:ascii="仿宋_GB2312" w:hAnsi="仿宋_GB2312" w:eastAsia="仿宋_GB2312" w:cs="仿宋_GB2312"/>
                <w:spacing w:val="-3"/>
                <w:szCs w:val="21"/>
              </w:rPr>
              <w:t>存在违规住人现象</w:t>
            </w:r>
            <w:r>
              <w:rPr>
                <w:rFonts w:hint="eastAsia" w:ascii="仿宋_GB2312" w:hAnsi="仿宋_GB2312" w:eastAsia="仿宋_GB2312" w:cs="仿宋_GB2312"/>
                <w:spacing w:val="8"/>
                <w:szCs w:val="21"/>
              </w:rPr>
              <w:t>是</w:t>
            </w:r>
            <w:r>
              <w:rPr>
                <w:rFonts w:hint="eastAsia" w:ascii="仿宋_GB2312" w:hAnsi="仿宋_GB2312" w:eastAsia="仿宋_GB2312" w:cs="仿宋_GB2312"/>
                <w:spacing w:val="1"/>
                <w:szCs w:val="21"/>
              </w:rPr>
              <w:t>□</w:t>
            </w:r>
            <w:r>
              <w:rPr>
                <w:rFonts w:hint="eastAsia" w:ascii="仿宋_GB2312" w:hAnsi="仿宋_GB2312" w:eastAsia="仿宋_GB2312" w:cs="仿宋_GB2312"/>
                <w:spacing w:val="8"/>
                <w:szCs w:val="21"/>
              </w:rPr>
              <w:t>否</w:t>
            </w:r>
            <w:r>
              <w:rPr>
                <w:rFonts w:hint="eastAsia" w:ascii="仿宋_GB2312" w:hAnsi="仿宋_GB2312" w:eastAsia="仿宋_GB2312" w:cs="仿宋_GB2312"/>
                <w:spacing w:val="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94" w:type="dxa"/>
            <w:vMerge w:val="continue"/>
            <w:tcBorders>
              <w:top w:val="nil"/>
              <w:bottom w:val="single" w:color="000000" w:sz="2" w:space="0"/>
            </w:tcBorders>
            <w:noWrap w:val="0"/>
            <w:vAlign w:val="top"/>
          </w:tcPr>
          <w:p>
            <w:pPr>
              <w:spacing w:line="320" w:lineRule="exact"/>
              <w:rPr>
                <w:rFonts w:hint="eastAsia" w:ascii="仿宋_GB2312" w:hAnsi="仿宋_GB2312" w:eastAsia="仿宋_GB2312" w:cs="仿宋_GB2312"/>
                <w:szCs w:val="21"/>
              </w:rPr>
            </w:pPr>
          </w:p>
        </w:tc>
        <w:tc>
          <w:tcPr>
            <w:tcW w:w="1781" w:type="dxa"/>
            <w:vMerge w:val="continue"/>
            <w:tcBorders>
              <w:top w:val="nil"/>
              <w:bottom w:val="single" w:color="000000" w:sz="2" w:space="0"/>
            </w:tcBorders>
            <w:noWrap w:val="0"/>
            <w:vAlign w:val="top"/>
          </w:tcPr>
          <w:p>
            <w:pPr>
              <w:spacing w:line="320" w:lineRule="exact"/>
              <w:rPr>
                <w:rFonts w:hint="eastAsia" w:ascii="仿宋_GB2312" w:hAnsi="仿宋_GB2312" w:eastAsia="仿宋_GB2312" w:cs="仿宋_GB2312"/>
                <w:szCs w:val="21"/>
              </w:rPr>
            </w:pPr>
          </w:p>
        </w:tc>
        <w:tc>
          <w:tcPr>
            <w:tcW w:w="2895" w:type="dxa"/>
            <w:gridSpan w:val="2"/>
            <w:vMerge w:val="continue"/>
            <w:tcBorders>
              <w:top w:val="nil"/>
              <w:bottom w:val="single" w:color="000000" w:sz="2" w:space="0"/>
            </w:tcBorders>
            <w:noWrap w:val="0"/>
            <w:vAlign w:val="top"/>
          </w:tcPr>
          <w:p>
            <w:pPr>
              <w:spacing w:line="320" w:lineRule="exact"/>
              <w:rPr>
                <w:rFonts w:hint="eastAsia" w:ascii="仿宋_GB2312" w:hAnsi="仿宋_GB2312" w:eastAsia="仿宋_GB2312" w:cs="仿宋_GB2312"/>
                <w:szCs w:val="21"/>
              </w:rPr>
            </w:pPr>
          </w:p>
        </w:tc>
        <w:tc>
          <w:tcPr>
            <w:tcW w:w="4285" w:type="dxa"/>
            <w:gridSpan w:val="3"/>
            <w:tcBorders>
              <w:top w:val="single" w:color="000000" w:sz="2" w:space="0"/>
              <w:bottom w:val="single" w:color="000000" w:sz="2" w:space="0"/>
            </w:tcBorders>
            <w:noWrap w:val="0"/>
            <w:vAlign w:val="top"/>
          </w:tcPr>
          <w:p>
            <w:pPr>
              <w:spacing w:line="320" w:lineRule="exact"/>
              <w:ind w:firstLine="115"/>
              <w:rPr>
                <w:rFonts w:hint="eastAsia" w:ascii="仿宋_GB2312" w:hAnsi="仿宋_GB2312" w:eastAsia="仿宋_GB2312" w:cs="仿宋_GB2312"/>
                <w:szCs w:val="21"/>
              </w:rPr>
            </w:pPr>
            <w:r>
              <w:rPr>
                <w:rFonts w:hint="eastAsia" w:ascii="仿宋_GB2312" w:hAnsi="仿宋_GB2312" w:eastAsia="仿宋_GB2312" w:cs="仿宋_GB2312"/>
                <w:spacing w:val="3"/>
                <w:szCs w:val="21"/>
              </w:rPr>
              <w:t>与居住场所设置在同一建筑物内</w:t>
            </w:r>
            <w:r>
              <w:rPr>
                <w:rFonts w:hint="eastAsia" w:ascii="仿宋_GB2312" w:hAnsi="仿宋_GB2312" w:eastAsia="仿宋_GB2312" w:cs="仿宋_GB2312"/>
                <w:spacing w:val="8"/>
                <w:szCs w:val="21"/>
              </w:rPr>
              <w:t>是</w:t>
            </w:r>
            <w:r>
              <w:rPr>
                <w:rFonts w:hint="eastAsia" w:ascii="仿宋_GB2312" w:hAnsi="仿宋_GB2312" w:eastAsia="仿宋_GB2312" w:cs="仿宋_GB2312"/>
                <w:spacing w:val="1"/>
                <w:szCs w:val="21"/>
              </w:rPr>
              <w:t>□</w:t>
            </w:r>
            <w:r>
              <w:rPr>
                <w:rFonts w:hint="eastAsia" w:ascii="仿宋_GB2312" w:hAnsi="仿宋_GB2312" w:eastAsia="仿宋_GB2312" w:cs="仿宋_GB2312"/>
                <w:spacing w:val="8"/>
                <w:szCs w:val="21"/>
              </w:rPr>
              <w:t>否</w:t>
            </w:r>
            <w:r>
              <w:rPr>
                <w:rFonts w:hint="eastAsia" w:ascii="仿宋_GB2312" w:hAnsi="仿宋_GB2312" w:eastAsia="仿宋_GB2312" w:cs="仿宋_GB2312"/>
                <w:spacing w:val="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94" w:type="dxa"/>
            <w:vMerge w:val="restart"/>
            <w:tcBorders>
              <w:top w:val="single" w:color="000000" w:sz="2" w:space="0"/>
              <w:bottom w:val="nil"/>
            </w:tcBorders>
            <w:noWrap w:val="0"/>
            <w:vAlign w:val="top"/>
          </w:tcPr>
          <w:p>
            <w:pPr>
              <w:spacing w:line="320" w:lineRule="exact"/>
              <w:rPr>
                <w:rFonts w:hint="eastAsia" w:ascii="仿宋_GB2312" w:hAnsi="仿宋_GB2312" w:eastAsia="仿宋_GB2312" w:cs="仿宋_GB2312"/>
                <w:szCs w:val="21"/>
              </w:rPr>
            </w:pPr>
          </w:p>
          <w:p>
            <w:pPr>
              <w:spacing w:line="320" w:lineRule="exact"/>
              <w:rPr>
                <w:rFonts w:hint="eastAsia" w:ascii="仿宋_GB2312" w:hAnsi="仿宋_GB2312" w:eastAsia="仿宋_GB2312" w:cs="仿宋_GB2312"/>
                <w:szCs w:val="21"/>
              </w:rPr>
            </w:pPr>
          </w:p>
          <w:p>
            <w:pPr>
              <w:spacing w:line="320" w:lineRule="exact"/>
              <w:ind w:firstLine="105"/>
              <w:rPr>
                <w:rFonts w:hint="eastAsia" w:ascii="仿宋_GB2312" w:hAnsi="仿宋_GB2312" w:eastAsia="仿宋_GB2312" w:cs="仿宋_GB2312"/>
                <w:szCs w:val="21"/>
              </w:rPr>
            </w:pPr>
            <w:r>
              <w:rPr>
                <w:rFonts w:hint="eastAsia" w:ascii="仿宋_GB2312" w:hAnsi="仿宋_GB2312" w:eastAsia="仿宋_GB2312" w:cs="仿宋_GB2312"/>
                <w:spacing w:val="-4"/>
                <w:szCs w:val="21"/>
              </w:rPr>
              <w:t>消防</w:t>
            </w:r>
          </w:p>
          <w:p>
            <w:pPr>
              <w:spacing w:line="320" w:lineRule="exact"/>
              <w:ind w:firstLine="85"/>
              <w:rPr>
                <w:rFonts w:hint="eastAsia" w:ascii="仿宋_GB2312" w:hAnsi="仿宋_GB2312" w:eastAsia="仿宋_GB2312" w:cs="仿宋_GB2312"/>
                <w:szCs w:val="21"/>
              </w:rPr>
            </w:pPr>
            <w:r>
              <w:rPr>
                <w:rFonts w:hint="eastAsia" w:ascii="仿宋_GB2312" w:hAnsi="仿宋_GB2312" w:eastAsia="仿宋_GB2312" w:cs="仿宋_GB2312"/>
                <w:spacing w:val="-4"/>
                <w:szCs w:val="21"/>
              </w:rPr>
              <w:t>设施</w:t>
            </w:r>
          </w:p>
        </w:tc>
        <w:tc>
          <w:tcPr>
            <w:tcW w:w="1781" w:type="dxa"/>
            <w:tcBorders>
              <w:top w:val="single" w:color="000000" w:sz="2" w:space="0"/>
              <w:bottom w:val="single" w:color="000000" w:sz="2" w:space="0"/>
            </w:tcBorders>
            <w:noWrap w:val="0"/>
            <w:vAlign w:val="top"/>
          </w:tcPr>
          <w:p>
            <w:pPr>
              <w:spacing w:line="320" w:lineRule="exact"/>
              <w:ind w:firstLine="121"/>
              <w:rPr>
                <w:rFonts w:hint="eastAsia" w:ascii="仿宋_GB2312" w:hAnsi="仿宋_GB2312" w:eastAsia="仿宋_GB2312" w:cs="仿宋_GB2312"/>
                <w:szCs w:val="21"/>
              </w:rPr>
            </w:pPr>
            <w:r>
              <w:rPr>
                <w:rFonts w:hint="eastAsia" w:ascii="仿宋_GB2312" w:hAnsi="仿宋_GB2312" w:eastAsia="仿宋_GB2312" w:cs="仿宋_GB2312"/>
                <w:spacing w:val="3"/>
                <w:szCs w:val="21"/>
              </w:rPr>
              <w:t>灭火器</w:t>
            </w:r>
          </w:p>
        </w:tc>
        <w:tc>
          <w:tcPr>
            <w:tcW w:w="2895" w:type="dxa"/>
            <w:gridSpan w:val="2"/>
            <w:tcBorders>
              <w:top w:val="single" w:color="000000" w:sz="2" w:space="0"/>
              <w:bottom w:val="single" w:color="000000" w:sz="2" w:space="0"/>
            </w:tcBorders>
            <w:noWrap w:val="0"/>
            <w:vAlign w:val="top"/>
          </w:tcPr>
          <w:p>
            <w:pPr>
              <w:spacing w:line="320" w:lineRule="exact"/>
              <w:ind w:firstLine="132"/>
              <w:rPr>
                <w:rFonts w:hint="eastAsia" w:ascii="仿宋_GB2312" w:hAnsi="仿宋_GB2312" w:eastAsia="仿宋_GB2312" w:cs="仿宋_GB2312"/>
                <w:szCs w:val="21"/>
              </w:rPr>
            </w:pPr>
            <w:r>
              <w:rPr>
                <w:rFonts w:hint="eastAsia" w:ascii="仿宋_GB2312" w:hAnsi="仿宋_GB2312" w:eastAsia="仿宋_GB2312" w:cs="仿宋_GB2312"/>
                <w:spacing w:val="11"/>
                <w:szCs w:val="21"/>
              </w:rPr>
              <w:t>有□无□</w:t>
            </w:r>
          </w:p>
        </w:tc>
        <w:tc>
          <w:tcPr>
            <w:tcW w:w="2269" w:type="dxa"/>
            <w:gridSpan w:val="2"/>
            <w:tcBorders>
              <w:top w:val="single" w:color="000000" w:sz="2" w:space="0"/>
              <w:bottom w:val="single" w:color="000000" w:sz="2" w:space="0"/>
            </w:tcBorders>
            <w:noWrap w:val="0"/>
            <w:vAlign w:val="top"/>
          </w:tcPr>
          <w:p>
            <w:pPr>
              <w:spacing w:line="320" w:lineRule="exact"/>
              <w:ind w:firstLine="105"/>
              <w:rPr>
                <w:rFonts w:hint="eastAsia" w:ascii="仿宋_GB2312" w:hAnsi="仿宋_GB2312" w:eastAsia="仿宋_GB2312" w:cs="仿宋_GB2312"/>
                <w:szCs w:val="21"/>
              </w:rPr>
            </w:pPr>
            <w:r>
              <w:rPr>
                <w:rFonts w:hint="eastAsia" w:ascii="仿宋_GB2312" w:hAnsi="仿宋_GB2312" w:eastAsia="仿宋_GB2312" w:cs="仿宋_GB2312"/>
                <w:spacing w:val="1"/>
                <w:szCs w:val="21"/>
              </w:rPr>
              <w:t>设置位置及数量</w:t>
            </w:r>
          </w:p>
        </w:tc>
        <w:tc>
          <w:tcPr>
            <w:tcW w:w="2016" w:type="dxa"/>
            <w:tcBorders>
              <w:top w:val="single" w:color="000000" w:sz="2" w:space="0"/>
              <w:bottom w:val="single" w:color="000000" w:sz="2" w:space="0"/>
            </w:tcBorders>
            <w:noWrap w:val="0"/>
            <w:vAlign w:val="top"/>
          </w:tcPr>
          <w:p>
            <w:pPr>
              <w:spacing w:line="320" w:lineRule="exact"/>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94" w:type="dxa"/>
            <w:vMerge w:val="continue"/>
            <w:tcBorders>
              <w:top w:val="nil"/>
              <w:bottom w:val="nil"/>
            </w:tcBorders>
            <w:noWrap w:val="0"/>
            <w:vAlign w:val="top"/>
          </w:tcPr>
          <w:p>
            <w:pPr>
              <w:spacing w:line="320" w:lineRule="exact"/>
              <w:rPr>
                <w:rFonts w:hint="eastAsia" w:ascii="仿宋_GB2312" w:hAnsi="仿宋_GB2312" w:eastAsia="仿宋_GB2312" w:cs="仿宋_GB2312"/>
                <w:szCs w:val="21"/>
              </w:rPr>
            </w:pPr>
          </w:p>
        </w:tc>
        <w:tc>
          <w:tcPr>
            <w:tcW w:w="1781" w:type="dxa"/>
            <w:tcBorders>
              <w:top w:val="single" w:color="000000" w:sz="2" w:space="0"/>
              <w:bottom w:val="single" w:color="000000" w:sz="2" w:space="0"/>
            </w:tcBorders>
            <w:noWrap w:val="0"/>
            <w:vAlign w:val="top"/>
          </w:tcPr>
          <w:p>
            <w:pPr>
              <w:spacing w:line="320" w:lineRule="exact"/>
              <w:ind w:firstLine="121"/>
              <w:rPr>
                <w:rFonts w:hint="eastAsia" w:ascii="仿宋_GB2312" w:hAnsi="仿宋_GB2312" w:eastAsia="仿宋_GB2312" w:cs="仿宋_GB2312"/>
                <w:szCs w:val="21"/>
              </w:rPr>
            </w:pPr>
            <w:r>
              <w:rPr>
                <w:rFonts w:hint="eastAsia" w:ascii="仿宋_GB2312" w:hAnsi="仿宋_GB2312" w:eastAsia="仿宋_GB2312" w:cs="仿宋_GB2312"/>
                <w:spacing w:val="2"/>
                <w:szCs w:val="21"/>
              </w:rPr>
              <w:t>简易喷淋</w:t>
            </w:r>
          </w:p>
        </w:tc>
        <w:tc>
          <w:tcPr>
            <w:tcW w:w="2895" w:type="dxa"/>
            <w:gridSpan w:val="2"/>
            <w:tcBorders>
              <w:top w:val="single" w:color="000000" w:sz="2" w:space="0"/>
              <w:bottom w:val="single" w:color="000000" w:sz="2" w:space="0"/>
            </w:tcBorders>
            <w:noWrap w:val="0"/>
            <w:vAlign w:val="top"/>
          </w:tcPr>
          <w:p>
            <w:pPr>
              <w:spacing w:line="320" w:lineRule="exact"/>
              <w:ind w:firstLine="132"/>
              <w:rPr>
                <w:rFonts w:hint="eastAsia" w:ascii="仿宋_GB2312" w:hAnsi="仿宋_GB2312" w:eastAsia="仿宋_GB2312" w:cs="仿宋_GB2312"/>
                <w:szCs w:val="21"/>
              </w:rPr>
            </w:pPr>
            <w:r>
              <w:rPr>
                <w:rFonts w:hint="eastAsia" w:ascii="仿宋_GB2312" w:hAnsi="仿宋_GB2312" w:eastAsia="仿宋_GB2312" w:cs="仿宋_GB2312"/>
                <w:spacing w:val="3"/>
                <w:szCs w:val="21"/>
              </w:rPr>
              <w:t>有</w:t>
            </w:r>
            <w:r>
              <w:rPr>
                <w:rFonts w:hint="eastAsia" w:ascii="仿宋_GB2312" w:hAnsi="仿宋_GB2312" w:eastAsia="仿宋_GB2312" w:cs="仿宋_GB2312"/>
                <w:spacing w:val="11"/>
                <w:szCs w:val="21"/>
              </w:rPr>
              <w:t>□</w:t>
            </w:r>
            <w:r>
              <w:rPr>
                <w:rFonts w:hint="eastAsia" w:ascii="仿宋_GB2312" w:hAnsi="仿宋_GB2312" w:eastAsia="仿宋_GB2312" w:cs="仿宋_GB2312"/>
                <w:spacing w:val="3"/>
                <w:szCs w:val="21"/>
              </w:rPr>
              <w:t>无</w:t>
            </w:r>
            <w:r>
              <w:rPr>
                <w:rFonts w:hint="eastAsia" w:ascii="仿宋_GB2312" w:hAnsi="仿宋_GB2312" w:eastAsia="仿宋_GB2312" w:cs="仿宋_GB2312"/>
                <w:spacing w:val="11"/>
                <w:szCs w:val="21"/>
              </w:rPr>
              <w:t>□</w:t>
            </w:r>
          </w:p>
        </w:tc>
        <w:tc>
          <w:tcPr>
            <w:tcW w:w="2269" w:type="dxa"/>
            <w:gridSpan w:val="2"/>
            <w:tcBorders>
              <w:top w:val="single" w:color="000000" w:sz="2" w:space="0"/>
              <w:bottom w:val="single" w:color="000000" w:sz="2" w:space="0"/>
            </w:tcBorders>
            <w:noWrap w:val="0"/>
            <w:vAlign w:val="top"/>
          </w:tcPr>
          <w:p>
            <w:pPr>
              <w:spacing w:line="320" w:lineRule="exact"/>
              <w:ind w:firstLine="105"/>
              <w:rPr>
                <w:rFonts w:hint="eastAsia" w:ascii="仿宋_GB2312" w:hAnsi="仿宋_GB2312" w:eastAsia="仿宋_GB2312" w:cs="仿宋_GB2312"/>
                <w:szCs w:val="21"/>
              </w:rPr>
            </w:pPr>
            <w:r>
              <w:rPr>
                <w:rFonts w:hint="eastAsia" w:ascii="仿宋_GB2312" w:hAnsi="仿宋_GB2312" w:eastAsia="仿宋_GB2312" w:cs="仿宋_GB2312"/>
                <w:spacing w:val="1"/>
                <w:szCs w:val="21"/>
              </w:rPr>
              <w:t>设置位置及数量</w:t>
            </w:r>
          </w:p>
        </w:tc>
        <w:tc>
          <w:tcPr>
            <w:tcW w:w="2016" w:type="dxa"/>
            <w:tcBorders>
              <w:top w:val="single" w:color="000000" w:sz="2" w:space="0"/>
              <w:bottom w:val="single" w:color="000000" w:sz="2" w:space="0"/>
            </w:tcBorders>
            <w:noWrap w:val="0"/>
            <w:vAlign w:val="top"/>
          </w:tcPr>
          <w:p>
            <w:pPr>
              <w:spacing w:line="320" w:lineRule="exact"/>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94" w:type="dxa"/>
            <w:vMerge w:val="continue"/>
            <w:tcBorders>
              <w:top w:val="nil"/>
              <w:bottom w:val="nil"/>
            </w:tcBorders>
            <w:noWrap w:val="0"/>
            <w:vAlign w:val="top"/>
          </w:tcPr>
          <w:p>
            <w:pPr>
              <w:spacing w:line="320" w:lineRule="exact"/>
              <w:rPr>
                <w:rFonts w:hint="eastAsia" w:ascii="仿宋_GB2312" w:hAnsi="仿宋_GB2312" w:eastAsia="仿宋_GB2312" w:cs="仿宋_GB2312"/>
                <w:szCs w:val="21"/>
              </w:rPr>
            </w:pPr>
          </w:p>
        </w:tc>
        <w:tc>
          <w:tcPr>
            <w:tcW w:w="1781" w:type="dxa"/>
            <w:tcBorders>
              <w:top w:val="single" w:color="000000" w:sz="2" w:space="0"/>
              <w:bottom w:val="single" w:color="000000" w:sz="2" w:space="0"/>
            </w:tcBorders>
            <w:noWrap w:val="0"/>
            <w:vAlign w:val="top"/>
          </w:tcPr>
          <w:p>
            <w:pPr>
              <w:spacing w:line="320" w:lineRule="exact"/>
              <w:ind w:firstLine="20"/>
              <w:rPr>
                <w:rFonts w:hint="eastAsia" w:ascii="仿宋_GB2312" w:hAnsi="仿宋_GB2312" w:eastAsia="仿宋_GB2312" w:cs="仿宋_GB2312"/>
                <w:szCs w:val="21"/>
              </w:rPr>
            </w:pPr>
            <w:r>
              <w:rPr>
                <w:rFonts w:hint="eastAsia" w:ascii="仿宋_GB2312" w:hAnsi="仿宋_GB2312" w:eastAsia="仿宋_GB2312" w:cs="仿宋_GB2312"/>
                <w:spacing w:val="1"/>
                <w:szCs w:val="21"/>
              </w:rPr>
              <w:t>独立式火灾报</w:t>
            </w:r>
            <w:r>
              <w:rPr>
                <w:rFonts w:hint="eastAsia" w:ascii="仿宋_GB2312" w:hAnsi="仿宋_GB2312" w:eastAsia="仿宋_GB2312" w:cs="仿宋_GB2312"/>
                <w:spacing w:val="2"/>
                <w:szCs w:val="21"/>
              </w:rPr>
              <w:t>警探测器</w:t>
            </w:r>
          </w:p>
        </w:tc>
        <w:tc>
          <w:tcPr>
            <w:tcW w:w="2895" w:type="dxa"/>
            <w:gridSpan w:val="2"/>
            <w:tcBorders>
              <w:top w:val="single" w:color="000000" w:sz="2" w:space="0"/>
              <w:bottom w:val="single" w:color="000000" w:sz="2" w:space="0"/>
            </w:tcBorders>
            <w:noWrap w:val="0"/>
            <w:vAlign w:val="top"/>
          </w:tcPr>
          <w:p>
            <w:pPr>
              <w:spacing w:line="320" w:lineRule="exact"/>
              <w:ind w:firstLine="132"/>
              <w:rPr>
                <w:rFonts w:hint="eastAsia" w:ascii="仿宋_GB2312" w:hAnsi="仿宋_GB2312" w:eastAsia="仿宋_GB2312" w:cs="仿宋_GB2312"/>
                <w:szCs w:val="21"/>
              </w:rPr>
            </w:pPr>
            <w:r>
              <w:rPr>
                <w:rFonts w:hint="eastAsia" w:ascii="仿宋_GB2312" w:hAnsi="仿宋_GB2312" w:eastAsia="仿宋_GB2312" w:cs="仿宋_GB2312"/>
                <w:spacing w:val="8"/>
                <w:szCs w:val="21"/>
              </w:rPr>
              <w:t>有</w:t>
            </w:r>
            <w:r>
              <w:rPr>
                <w:rFonts w:hint="eastAsia" w:ascii="仿宋_GB2312" w:hAnsi="仿宋_GB2312" w:eastAsia="仿宋_GB2312" w:cs="仿宋_GB2312"/>
                <w:spacing w:val="11"/>
                <w:szCs w:val="21"/>
              </w:rPr>
              <w:t>□</w:t>
            </w:r>
            <w:r>
              <w:rPr>
                <w:rFonts w:hint="eastAsia" w:ascii="仿宋_GB2312" w:hAnsi="仿宋_GB2312" w:eastAsia="仿宋_GB2312" w:cs="仿宋_GB2312"/>
                <w:spacing w:val="8"/>
                <w:szCs w:val="21"/>
              </w:rPr>
              <w:t>无</w:t>
            </w:r>
            <w:r>
              <w:rPr>
                <w:rFonts w:hint="eastAsia" w:ascii="仿宋_GB2312" w:hAnsi="仿宋_GB2312" w:eastAsia="仿宋_GB2312" w:cs="仿宋_GB2312"/>
                <w:spacing w:val="11"/>
                <w:szCs w:val="21"/>
              </w:rPr>
              <w:t>□</w:t>
            </w:r>
          </w:p>
        </w:tc>
        <w:tc>
          <w:tcPr>
            <w:tcW w:w="2269" w:type="dxa"/>
            <w:gridSpan w:val="2"/>
            <w:tcBorders>
              <w:top w:val="single" w:color="000000" w:sz="2" w:space="0"/>
              <w:bottom w:val="single" w:color="000000" w:sz="2" w:space="0"/>
            </w:tcBorders>
            <w:noWrap w:val="0"/>
            <w:vAlign w:val="top"/>
          </w:tcPr>
          <w:p>
            <w:pPr>
              <w:spacing w:line="320" w:lineRule="exact"/>
              <w:ind w:firstLine="105"/>
              <w:rPr>
                <w:rFonts w:hint="eastAsia" w:ascii="仿宋_GB2312" w:hAnsi="仿宋_GB2312" w:eastAsia="仿宋_GB2312" w:cs="仿宋_GB2312"/>
                <w:szCs w:val="21"/>
              </w:rPr>
            </w:pPr>
            <w:r>
              <w:rPr>
                <w:rFonts w:hint="eastAsia" w:ascii="仿宋_GB2312" w:hAnsi="仿宋_GB2312" w:eastAsia="仿宋_GB2312" w:cs="仿宋_GB2312"/>
                <w:spacing w:val="1"/>
                <w:szCs w:val="21"/>
              </w:rPr>
              <w:t>设置位置及数量</w:t>
            </w:r>
          </w:p>
        </w:tc>
        <w:tc>
          <w:tcPr>
            <w:tcW w:w="2016" w:type="dxa"/>
            <w:tcBorders>
              <w:top w:val="single" w:color="000000" w:sz="2" w:space="0"/>
              <w:bottom w:val="single" w:color="000000" w:sz="2" w:space="0"/>
            </w:tcBorders>
            <w:noWrap w:val="0"/>
            <w:vAlign w:val="top"/>
          </w:tcPr>
          <w:p>
            <w:pPr>
              <w:spacing w:line="320" w:lineRule="exact"/>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94" w:type="dxa"/>
            <w:vMerge w:val="continue"/>
            <w:tcBorders>
              <w:top w:val="nil"/>
              <w:bottom w:val="single" w:color="000000" w:sz="2" w:space="0"/>
            </w:tcBorders>
            <w:noWrap w:val="0"/>
            <w:vAlign w:val="top"/>
          </w:tcPr>
          <w:p>
            <w:pPr>
              <w:spacing w:line="320" w:lineRule="exact"/>
              <w:rPr>
                <w:rFonts w:hint="eastAsia" w:ascii="仿宋_GB2312" w:hAnsi="仿宋_GB2312" w:eastAsia="仿宋_GB2312" w:cs="仿宋_GB2312"/>
                <w:szCs w:val="21"/>
              </w:rPr>
            </w:pPr>
          </w:p>
        </w:tc>
        <w:tc>
          <w:tcPr>
            <w:tcW w:w="1781" w:type="dxa"/>
            <w:tcBorders>
              <w:top w:val="single" w:color="000000" w:sz="2" w:space="0"/>
              <w:bottom w:val="single" w:color="000000" w:sz="2" w:space="0"/>
            </w:tcBorders>
            <w:noWrap w:val="0"/>
            <w:vAlign w:val="top"/>
          </w:tcPr>
          <w:p>
            <w:pPr>
              <w:spacing w:line="320" w:lineRule="exact"/>
              <w:ind w:firstLine="131"/>
              <w:rPr>
                <w:rFonts w:hint="eastAsia" w:ascii="仿宋_GB2312" w:hAnsi="仿宋_GB2312" w:eastAsia="仿宋_GB2312" w:cs="仿宋_GB2312"/>
                <w:szCs w:val="21"/>
              </w:rPr>
            </w:pPr>
            <w:r>
              <w:rPr>
                <w:rFonts w:hint="eastAsia" w:ascii="仿宋_GB2312" w:hAnsi="仿宋_GB2312" w:eastAsia="仿宋_GB2312" w:cs="仿宋_GB2312"/>
                <w:spacing w:val="1"/>
                <w:szCs w:val="21"/>
              </w:rPr>
              <w:t>其他消防设施</w:t>
            </w:r>
          </w:p>
        </w:tc>
        <w:tc>
          <w:tcPr>
            <w:tcW w:w="2895" w:type="dxa"/>
            <w:gridSpan w:val="2"/>
            <w:tcBorders>
              <w:top w:val="single" w:color="000000" w:sz="2" w:space="0"/>
              <w:bottom w:val="single" w:color="000000" w:sz="2" w:space="0"/>
            </w:tcBorders>
            <w:noWrap w:val="0"/>
            <w:vAlign w:val="top"/>
          </w:tcPr>
          <w:p>
            <w:pPr>
              <w:spacing w:line="320" w:lineRule="exact"/>
              <w:rPr>
                <w:rFonts w:hint="eastAsia" w:ascii="仿宋_GB2312" w:hAnsi="仿宋_GB2312" w:eastAsia="仿宋_GB2312" w:cs="仿宋_GB2312"/>
                <w:szCs w:val="21"/>
              </w:rPr>
            </w:pPr>
          </w:p>
        </w:tc>
        <w:tc>
          <w:tcPr>
            <w:tcW w:w="2269" w:type="dxa"/>
            <w:gridSpan w:val="2"/>
            <w:tcBorders>
              <w:top w:val="single" w:color="000000" w:sz="2" w:space="0"/>
              <w:bottom w:val="single" w:color="000000" w:sz="2" w:space="0"/>
            </w:tcBorders>
            <w:noWrap w:val="0"/>
            <w:vAlign w:val="top"/>
          </w:tcPr>
          <w:p>
            <w:pPr>
              <w:spacing w:line="320" w:lineRule="exact"/>
              <w:ind w:firstLine="105"/>
              <w:rPr>
                <w:rFonts w:hint="eastAsia" w:ascii="仿宋_GB2312" w:hAnsi="仿宋_GB2312" w:eastAsia="仿宋_GB2312" w:cs="仿宋_GB2312"/>
                <w:szCs w:val="21"/>
              </w:rPr>
            </w:pPr>
            <w:r>
              <w:rPr>
                <w:rFonts w:hint="eastAsia" w:ascii="仿宋_GB2312" w:hAnsi="仿宋_GB2312" w:eastAsia="仿宋_GB2312" w:cs="仿宋_GB2312"/>
                <w:spacing w:val="1"/>
                <w:szCs w:val="21"/>
              </w:rPr>
              <w:t>设置位置及数量</w:t>
            </w:r>
          </w:p>
        </w:tc>
        <w:tc>
          <w:tcPr>
            <w:tcW w:w="2016" w:type="dxa"/>
            <w:tcBorders>
              <w:top w:val="single" w:color="000000" w:sz="2" w:space="0"/>
              <w:bottom w:val="single" w:color="000000" w:sz="2" w:space="0"/>
            </w:tcBorders>
            <w:noWrap w:val="0"/>
            <w:vAlign w:val="top"/>
          </w:tcPr>
          <w:p>
            <w:pPr>
              <w:spacing w:line="320" w:lineRule="exact"/>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94" w:type="dxa"/>
            <w:tcBorders>
              <w:top w:val="single" w:color="000000" w:sz="2" w:space="0"/>
              <w:bottom w:val="single" w:color="000000" w:sz="2" w:space="0"/>
            </w:tcBorders>
            <w:noWrap w:val="0"/>
            <w:vAlign w:val="top"/>
          </w:tcPr>
          <w:p>
            <w:pPr>
              <w:spacing w:line="320" w:lineRule="exact"/>
              <w:ind w:firstLine="105"/>
              <w:rPr>
                <w:rFonts w:hint="eastAsia" w:ascii="仿宋_GB2312" w:hAnsi="仿宋_GB2312" w:eastAsia="仿宋_GB2312" w:cs="仿宋_GB2312"/>
                <w:szCs w:val="21"/>
              </w:rPr>
            </w:pPr>
            <w:r>
              <w:rPr>
                <w:rFonts w:hint="eastAsia" w:ascii="仿宋_GB2312" w:hAnsi="仿宋_GB2312" w:eastAsia="仿宋_GB2312" w:cs="仿宋_GB2312"/>
                <w:spacing w:val="-3"/>
                <w:szCs w:val="21"/>
              </w:rPr>
              <w:t>其他</w:t>
            </w:r>
          </w:p>
          <w:p>
            <w:pPr>
              <w:spacing w:line="320" w:lineRule="exact"/>
              <w:ind w:firstLine="105"/>
              <w:rPr>
                <w:rFonts w:hint="eastAsia" w:ascii="仿宋_GB2312" w:hAnsi="仿宋_GB2312" w:eastAsia="仿宋_GB2312" w:cs="仿宋_GB2312"/>
                <w:szCs w:val="21"/>
              </w:rPr>
            </w:pPr>
            <w:r>
              <w:rPr>
                <w:rFonts w:hint="eastAsia" w:ascii="仿宋_GB2312" w:hAnsi="仿宋_GB2312" w:eastAsia="仿宋_GB2312" w:cs="仿宋_GB2312"/>
                <w:spacing w:val="-3"/>
                <w:szCs w:val="21"/>
              </w:rPr>
              <w:t>情况</w:t>
            </w:r>
          </w:p>
        </w:tc>
        <w:tc>
          <w:tcPr>
            <w:tcW w:w="8961" w:type="dxa"/>
            <w:gridSpan w:val="6"/>
            <w:tcBorders>
              <w:top w:val="single" w:color="000000" w:sz="2" w:space="0"/>
              <w:bottom w:val="single" w:color="000000" w:sz="2" w:space="0"/>
            </w:tcBorders>
            <w:noWrap w:val="0"/>
            <w:vAlign w:val="top"/>
          </w:tcPr>
          <w:p>
            <w:pPr>
              <w:spacing w:line="320" w:lineRule="exact"/>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94" w:type="dxa"/>
            <w:vMerge w:val="restart"/>
            <w:tcBorders>
              <w:top w:val="single" w:color="000000" w:sz="2" w:space="0"/>
              <w:bottom w:val="nil"/>
            </w:tcBorders>
            <w:noWrap w:val="0"/>
            <w:vAlign w:val="top"/>
          </w:tcPr>
          <w:p>
            <w:pPr>
              <w:spacing w:line="320" w:lineRule="exact"/>
              <w:ind w:firstLine="105"/>
              <w:rPr>
                <w:rFonts w:hint="eastAsia" w:ascii="仿宋_GB2312" w:hAnsi="仿宋_GB2312" w:eastAsia="仿宋_GB2312" w:cs="仿宋_GB2312"/>
                <w:szCs w:val="21"/>
              </w:rPr>
            </w:pPr>
            <w:r>
              <w:rPr>
                <w:rFonts w:hint="eastAsia" w:ascii="仿宋_GB2312" w:hAnsi="仿宋_GB2312" w:eastAsia="仿宋_GB2312" w:cs="仿宋_GB2312"/>
                <w:spacing w:val="6"/>
                <w:szCs w:val="21"/>
              </w:rPr>
              <w:t>排查</w:t>
            </w:r>
          </w:p>
          <w:p>
            <w:pPr>
              <w:spacing w:line="320" w:lineRule="exact"/>
              <w:ind w:firstLine="105"/>
              <w:rPr>
                <w:rFonts w:hint="eastAsia" w:ascii="仿宋_GB2312" w:hAnsi="仿宋_GB2312" w:eastAsia="仿宋_GB2312" w:cs="仿宋_GB2312"/>
                <w:szCs w:val="21"/>
              </w:rPr>
            </w:pPr>
            <w:r>
              <w:rPr>
                <w:rFonts w:hint="eastAsia" w:ascii="仿宋_GB2312" w:hAnsi="仿宋_GB2312" w:eastAsia="仿宋_GB2312" w:cs="仿宋_GB2312"/>
                <w:spacing w:val="16"/>
                <w:szCs w:val="21"/>
              </w:rPr>
              <w:t>人员</w:t>
            </w:r>
          </w:p>
          <w:p>
            <w:pPr>
              <w:spacing w:line="320" w:lineRule="exact"/>
              <w:ind w:firstLine="105"/>
              <w:rPr>
                <w:rFonts w:hint="eastAsia" w:ascii="仿宋_GB2312" w:hAnsi="仿宋_GB2312" w:eastAsia="仿宋_GB2312" w:cs="仿宋_GB2312"/>
                <w:szCs w:val="21"/>
              </w:rPr>
            </w:pPr>
            <w:r>
              <w:rPr>
                <w:rFonts w:hint="eastAsia" w:ascii="仿宋_GB2312" w:hAnsi="仿宋_GB2312" w:eastAsia="仿宋_GB2312" w:cs="仿宋_GB2312"/>
                <w:spacing w:val="5"/>
                <w:szCs w:val="21"/>
              </w:rPr>
              <w:t>情况</w:t>
            </w:r>
          </w:p>
        </w:tc>
        <w:tc>
          <w:tcPr>
            <w:tcW w:w="2598" w:type="dxa"/>
            <w:gridSpan w:val="2"/>
            <w:tcBorders>
              <w:top w:val="single" w:color="000000" w:sz="2" w:space="0"/>
              <w:bottom w:val="single" w:color="000000" w:sz="2" w:space="0"/>
            </w:tcBorders>
            <w:noWrap w:val="0"/>
            <w:vAlign w:val="top"/>
          </w:tcPr>
          <w:p>
            <w:pPr>
              <w:spacing w:line="320" w:lineRule="exact"/>
              <w:ind w:firstLine="331"/>
              <w:rPr>
                <w:rFonts w:hint="eastAsia" w:ascii="仿宋_GB2312" w:hAnsi="仿宋_GB2312" w:eastAsia="仿宋_GB2312" w:cs="仿宋_GB2312"/>
                <w:szCs w:val="21"/>
              </w:rPr>
            </w:pPr>
            <w:r>
              <w:rPr>
                <w:rFonts w:hint="eastAsia" w:ascii="仿宋_GB2312" w:hAnsi="仿宋_GB2312" w:eastAsia="仿宋_GB2312" w:cs="仿宋_GB2312"/>
                <w:spacing w:val="3"/>
                <w:szCs w:val="21"/>
              </w:rPr>
              <w:t>参与排查人员姓名</w:t>
            </w:r>
          </w:p>
        </w:tc>
        <w:tc>
          <w:tcPr>
            <w:tcW w:w="3956" w:type="dxa"/>
            <w:gridSpan w:val="2"/>
            <w:tcBorders>
              <w:top w:val="single" w:color="000000" w:sz="2" w:space="0"/>
              <w:bottom w:val="single" w:color="000000" w:sz="2" w:space="0"/>
            </w:tcBorders>
            <w:noWrap w:val="0"/>
            <w:vAlign w:val="top"/>
          </w:tcPr>
          <w:p>
            <w:pPr>
              <w:spacing w:line="320" w:lineRule="exact"/>
              <w:ind w:firstLine="1133"/>
              <w:rPr>
                <w:rFonts w:hint="eastAsia" w:ascii="仿宋_GB2312" w:hAnsi="仿宋_GB2312" w:eastAsia="仿宋_GB2312" w:cs="仿宋_GB2312"/>
                <w:szCs w:val="21"/>
              </w:rPr>
            </w:pPr>
            <w:r>
              <w:rPr>
                <w:rFonts w:hint="eastAsia" w:ascii="仿宋_GB2312" w:hAnsi="仿宋_GB2312" w:eastAsia="仿宋_GB2312" w:cs="仿宋_GB2312"/>
                <w:spacing w:val="1"/>
                <w:szCs w:val="21"/>
              </w:rPr>
              <w:t>所在单位及职务</w:t>
            </w:r>
          </w:p>
        </w:tc>
        <w:tc>
          <w:tcPr>
            <w:tcW w:w="2407" w:type="dxa"/>
            <w:gridSpan w:val="2"/>
            <w:tcBorders>
              <w:top w:val="single" w:color="000000" w:sz="2" w:space="0"/>
              <w:bottom w:val="single" w:color="000000" w:sz="2" w:space="0"/>
            </w:tcBorders>
            <w:noWrap w:val="0"/>
            <w:vAlign w:val="top"/>
          </w:tcPr>
          <w:p>
            <w:pPr>
              <w:spacing w:line="320" w:lineRule="exact"/>
              <w:ind w:firstLine="1267"/>
              <w:rPr>
                <w:rFonts w:hint="eastAsia" w:ascii="仿宋_GB2312" w:hAnsi="仿宋_GB2312" w:eastAsia="仿宋_GB2312" w:cs="仿宋_GB2312"/>
                <w:szCs w:val="21"/>
              </w:rPr>
            </w:pPr>
            <w:r>
              <w:rPr>
                <w:rFonts w:hint="eastAsia" w:ascii="仿宋_GB2312" w:hAnsi="仿宋_GB2312" w:eastAsia="仿宋_GB2312" w:cs="仿宋_GB2312"/>
                <w:spacing w:val="-2"/>
                <w:szCs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94" w:type="dxa"/>
            <w:vMerge w:val="continue"/>
            <w:tcBorders>
              <w:top w:val="nil"/>
              <w:bottom w:val="nil"/>
            </w:tcBorders>
            <w:noWrap w:val="0"/>
            <w:vAlign w:val="top"/>
          </w:tcPr>
          <w:p>
            <w:pPr>
              <w:spacing w:line="320" w:lineRule="exact"/>
              <w:rPr>
                <w:rFonts w:hint="eastAsia" w:ascii="仿宋_GB2312" w:hAnsi="仿宋_GB2312" w:eastAsia="仿宋_GB2312" w:cs="仿宋_GB2312"/>
                <w:szCs w:val="21"/>
              </w:rPr>
            </w:pPr>
          </w:p>
        </w:tc>
        <w:tc>
          <w:tcPr>
            <w:tcW w:w="2598" w:type="dxa"/>
            <w:gridSpan w:val="2"/>
            <w:tcBorders>
              <w:top w:val="single" w:color="000000" w:sz="2" w:space="0"/>
              <w:bottom w:val="single" w:color="000000" w:sz="2" w:space="0"/>
            </w:tcBorders>
            <w:noWrap w:val="0"/>
            <w:vAlign w:val="top"/>
          </w:tcPr>
          <w:p>
            <w:pPr>
              <w:spacing w:line="320" w:lineRule="exact"/>
              <w:rPr>
                <w:rFonts w:hint="eastAsia" w:ascii="仿宋_GB2312" w:hAnsi="仿宋_GB2312" w:eastAsia="仿宋_GB2312" w:cs="仿宋_GB2312"/>
                <w:szCs w:val="21"/>
              </w:rPr>
            </w:pPr>
          </w:p>
        </w:tc>
        <w:tc>
          <w:tcPr>
            <w:tcW w:w="3956" w:type="dxa"/>
            <w:gridSpan w:val="2"/>
            <w:tcBorders>
              <w:top w:val="single" w:color="000000" w:sz="2" w:space="0"/>
              <w:bottom w:val="single" w:color="000000" w:sz="2" w:space="0"/>
            </w:tcBorders>
            <w:noWrap w:val="0"/>
            <w:vAlign w:val="top"/>
          </w:tcPr>
          <w:p>
            <w:pPr>
              <w:spacing w:line="320" w:lineRule="exact"/>
              <w:rPr>
                <w:rFonts w:hint="eastAsia" w:ascii="仿宋_GB2312" w:hAnsi="仿宋_GB2312" w:eastAsia="仿宋_GB2312" w:cs="仿宋_GB2312"/>
                <w:szCs w:val="21"/>
              </w:rPr>
            </w:pPr>
          </w:p>
        </w:tc>
        <w:tc>
          <w:tcPr>
            <w:tcW w:w="2407" w:type="dxa"/>
            <w:gridSpan w:val="2"/>
            <w:tcBorders>
              <w:top w:val="single" w:color="000000" w:sz="2" w:space="0"/>
              <w:bottom w:val="single" w:color="000000" w:sz="2" w:space="0"/>
            </w:tcBorders>
            <w:noWrap w:val="0"/>
            <w:vAlign w:val="top"/>
          </w:tcPr>
          <w:p>
            <w:pPr>
              <w:spacing w:line="320" w:lineRule="exact"/>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94" w:type="dxa"/>
            <w:vMerge w:val="continue"/>
            <w:tcBorders>
              <w:top w:val="nil"/>
              <w:bottom w:val="nil"/>
            </w:tcBorders>
            <w:noWrap w:val="0"/>
            <w:vAlign w:val="top"/>
          </w:tcPr>
          <w:p>
            <w:pPr>
              <w:spacing w:line="320" w:lineRule="exact"/>
              <w:rPr>
                <w:rFonts w:hint="eastAsia" w:ascii="仿宋_GB2312" w:hAnsi="仿宋_GB2312" w:eastAsia="仿宋_GB2312" w:cs="仿宋_GB2312"/>
                <w:szCs w:val="21"/>
              </w:rPr>
            </w:pPr>
          </w:p>
        </w:tc>
        <w:tc>
          <w:tcPr>
            <w:tcW w:w="2598" w:type="dxa"/>
            <w:gridSpan w:val="2"/>
            <w:tcBorders>
              <w:top w:val="single" w:color="000000" w:sz="2" w:space="0"/>
              <w:bottom w:val="single" w:color="000000" w:sz="2" w:space="0"/>
            </w:tcBorders>
            <w:noWrap w:val="0"/>
            <w:vAlign w:val="top"/>
          </w:tcPr>
          <w:p>
            <w:pPr>
              <w:spacing w:line="320" w:lineRule="exact"/>
              <w:rPr>
                <w:rFonts w:hint="eastAsia" w:ascii="仿宋_GB2312" w:hAnsi="仿宋_GB2312" w:eastAsia="仿宋_GB2312" w:cs="仿宋_GB2312"/>
                <w:szCs w:val="21"/>
              </w:rPr>
            </w:pPr>
          </w:p>
        </w:tc>
        <w:tc>
          <w:tcPr>
            <w:tcW w:w="3956" w:type="dxa"/>
            <w:gridSpan w:val="2"/>
            <w:tcBorders>
              <w:top w:val="single" w:color="000000" w:sz="2" w:space="0"/>
              <w:bottom w:val="single" w:color="000000" w:sz="2" w:space="0"/>
            </w:tcBorders>
            <w:noWrap w:val="0"/>
            <w:vAlign w:val="top"/>
          </w:tcPr>
          <w:p>
            <w:pPr>
              <w:spacing w:line="320" w:lineRule="exact"/>
              <w:rPr>
                <w:rFonts w:hint="eastAsia" w:ascii="仿宋_GB2312" w:hAnsi="仿宋_GB2312" w:eastAsia="仿宋_GB2312" w:cs="仿宋_GB2312"/>
                <w:szCs w:val="21"/>
              </w:rPr>
            </w:pPr>
          </w:p>
        </w:tc>
        <w:tc>
          <w:tcPr>
            <w:tcW w:w="2407" w:type="dxa"/>
            <w:gridSpan w:val="2"/>
            <w:tcBorders>
              <w:top w:val="single" w:color="000000" w:sz="2" w:space="0"/>
              <w:bottom w:val="single" w:color="000000" w:sz="2" w:space="0"/>
            </w:tcBorders>
            <w:noWrap w:val="0"/>
            <w:vAlign w:val="top"/>
          </w:tcPr>
          <w:p>
            <w:pPr>
              <w:spacing w:line="320" w:lineRule="exact"/>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94" w:type="dxa"/>
            <w:vMerge w:val="continue"/>
            <w:tcBorders>
              <w:top w:val="nil"/>
              <w:bottom w:val="single" w:color="000000" w:sz="2" w:space="0"/>
            </w:tcBorders>
            <w:noWrap w:val="0"/>
            <w:vAlign w:val="top"/>
          </w:tcPr>
          <w:p>
            <w:pPr>
              <w:spacing w:line="320" w:lineRule="exact"/>
              <w:rPr>
                <w:rFonts w:hint="eastAsia" w:ascii="仿宋_GB2312" w:hAnsi="仿宋_GB2312" w:eastAsia="仿宋_GB2312" w:cs="仿宋_GB2312"/>
                <w:szCs w:val="21"/>
              </w:rPr>
            </w:pPr>
          </w:p>
        </w:tc>
        <w:tc>
          <w:tcPr>
            <w:tcW w:w="2598" w:type="dxa"/>
            <w:gridSpan w:val="2"/>
            <w:tcBorders>
              <w:top w:val="single" w:color="000000" w:sz="2" w:space="0"/>
              <w:bottom w:val="single" w:color="000000" w:sz="2" w:space="0"/>
            </w:tcBorders>
            <w:noWrap w:val="0"/>
            <w:vAlign w:val="top"/>
          </w:tcPr>
          <w:p>
            <w:pPr>
              <w:spacing w:line="320" w:lineRule="exact"/>
              <w:rPr>
                <w:rFonts w:hint="eastAsia" w:ascii="仿宋_GB2312" w:hAnsi="仿宋_GB2312" w:eastAsia="仿宋_GB2312" w:cs="仿宋_GB2312"/>
                <w:szCs w:val="21"/>
              </w:rPr>
            </w:pPr>
          </w:p>
        </w:tc>
        <w:tc>
          <w:tcPr>
            <w:tcW w:w="3956" w:type="dxa"/>
            <w:gridSpan w:val="2"/>
            <w:tcBorders>
              <w:top w:val="single" w:color="000000" w:sz="2" w:space="0"/>
              <w:bottom w:val="single" w:color="000000" w:sz="2" w:space="0"/>
            </w:tcBorders>
            <w:noWrap w:val="0"/>
            <w:vAlign w:val="top"/>
          </w:tcPr>
          <w:p>
            <w:pPr>
              <w:spacing w:line="320" w:lineRule="exact"/>
              <w:rPr>
                <w:rFonts w:hint="eastAsia" w:ascii="仿宋_GB2312" w:hAnsi="仿宋_GB2312" w:eastAsia="仿宋_GB2312" w:cs="仿宋_GB2312"/>
                <w:szCs w:val="21"/>
              </w:rPr>
            </w:pPr>
          </w:p>
        </w:tc>
        <w:tc>
          <w:tcPr>
            <w:tcW w:w="2407" w:type="dxa"/>
            <w:gridSpan w:val="2"/>
            <w:tcBorders>
              <w:top w:val="single" w:color="000000" w:sz="2" w:space="0"/>
              <w:bottom w:val="single" w:color="000000" w:sz="2" w:space="0"/>
            </w:tcBorders>
            <w:noWrap w:val="0"/>
            <w:vAlign w:val="top"/>
          </w:tcPr>
          <w:p>
            <w:pPr>
              <w:spacing w:line="320" w:lineRule="exact"/>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755" w:type="dxa"/>
            <w:gridSpan w:val="7"/>
            <w:tcBorders>
              <w:top w:val="single" w:color="000000" w:sz="2" w:space="0"/>
              <w:bottom w:val="single" w:color="000000" w:sz="2" w:space="0"/>
            </w:tcBorders>
            <w:noWrap w:val="0"/>
            <w:vAlign w:val="top"/>
          </w:tcPr>
          <w:p>
            <w:pPr>
              <w:spacing w:line="320" w:lineRule="exact"/>
              <w:ind w:firstLine="6420" w:firstLineChars="3000"/>
              <w:rPr>
                <w:rFonts w:hint="eastAsia" w:ascii="仿宋_GB2312" w:hAnsi="仿宋_GB2312" w:eastAsia="仿宋_GB2312" w:cs="仿宋_GB2312"/>
                <w:szCs w:val="21"/>
              </w:rPr>
            </w:pPr>
            <w:r>
              <w:rPr>
                <w:rFonts w:hint="eastAsia" w:ascii="仿宋_GB2312" w:hAnsi="仿宋_GB2312" w:eastAsia="仿宋_GB2312" w:cs="仿宋_GB2312"/>
                <w:spacing w:val="2"/>
                <w:szCs w:val="21"/>
              </w:rPr>
              <w:t xml:space="preserve">排查时间:     </w:t>
            </w:r>
            <w:r>
              <w:rPr>
                <w:rFonts w:hint="eastAsia" w:ascii="仿宋_GB2312" w:hAnsi="仿宋_GB2312" w:eastAsia="仿宋_GB2312" w:cs="仿宋_GB2312"/>
                <w:spacing w:val="2"/>
                <w:position w:val="2"/>
                <w:szCs w:val="21"/>
              </w:rPr>
              <w:t xml:space="preserve">年   月  </w:t>
            </w:r>
            <w:r>
              <w:rPr>
                <w:rFonts w:hint="eastAsia" w:ascii="仿宋_GB2312" w:hAnsi="仿宋_GB2312" w:eastAsia="仿宋_GB2312" w:cs="仿宋_GB2312"/>
                <w:spacing w:val="2"/>
                <w:szCs w:val="21"/>
              </w:rPr>
              <w:t>日</w:t>
            </w:r>
          </w:p>
        </w:tc>
      </w:tr>
    </w:tbl>
    <w:p>
      <w:pPr>
        <w:spacing w:line="400" w:lineRule="exact"/>
        <w:ind w:left="615" w:hanging="614" w:hangingChars="244"/>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备注:本表适用于乡镇（工作局）相关部门、公安派出所、综合执法队、居（村）民委员会</w:t>
      </w:r>
      <w:r>
        <w:rPr>
          <w:rFonts w:hint="eastAsia" w:ascii="仿宋_GB2312" w:hAnsi="仿宋_GB2312" w:eastAsia="仿宋_GB2312" w:cs="仿宋_GB2312"/>
          <w:spacing w:val="-1"/>
          <w:sz w:val="24"/>
          <w:szCs w:val="24"/>
        </w:rPr>
        <w:t>工作人员、网格员等基层力量开展居民自建房摸底排查时填写。对没有的项目可以留</w:t>
      </w:r>
      <w:r>
        <w:rPr>
          <w:rFonts w:hint="eastAsia" w:ascii="仿宋_GB2312" w:hAnsi="仿宋_GB2312" w:eastAsia="仿宋_GB2312" w:cs="仿宋_GB2312"/>
          <w:sz w:val="24"/>
          <w:szCs w:val="24"/>
        </w:rPr>
        <w:t>空,对发现存在的其他问题应在“其他情况”一栏中进行说明。</w:t>
      </w:r>
      <w:r>
        <w:rPr>
          <w:rFonts w:hint="eastAsia" w:ascii="仿宋_GB2312" w:hAnsi="仿宋_GB2312" w:eastAsia="仿宋_GB2312" w:cs="仿宋_GB2312"/>
          <w:szCs w:val="21"/>
        </w:rPr>
        <mc:AlternateContent>
          <mc:Choice Requires="wps">
            <w:drawing>
              <wp:anchor distT="0" distB="0" distL="114300" distR="114300" simplePos="0" relativeHeight="251659264" behindDoc="0" locked="0" layoutInCell="1" allowOverlap="1">
                <wp:simplePos x="0" y="0"/>
                <wp:positionH relativeFrom="page">
                  <wp:posOffset>2305050</wp:posOffset>
                </wp:positionH>
                <wp:positionV relativeFrom="page">
                  <wp:posOffset>3148965</wp:posOffset>
                </wp:positionV>
                <wp:extent cx="339725" cy="6203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39725" cy="620395"/>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181.5pt;margin-top:247.95pt;height:48.85pt;width:26.75pt;mso-position-horizontal-relative:page;mso-position-vertical-relative:page;z-index:251659264;mso-width-relative:page;mso-height-relative:page;" filled="f" stroked="f" coordsize="21600,21600" o:gfxdata="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M0FTbaAAAACwEAAA8AAAAAAAAAAQAgAAAAIgAAAGRycy9kb3ducmV2LnhtbFBL&#10;AQIUABQAAAAIAIdO4kD63LT9uwEAAHEDAAAOAAAAAAAAAAEAIAAAACkBAABkcnMvZTJvRG9jLnht&#10;bFBLBQYAAAAABgAGAFkBAABWBQAAAAA=&#10;">
                <v:path/>
                <v:fill on="f" focussize="0,0"/>
                <v:stroke on="f"/>
                <v:imagedata o:title=""/>
                <o:lock v:ext="edit" grouping="f" rotation="f" text="f" aspectratio="f"/>
                <v:textbox inset="0mm,0mm,0mm,0mm">
                  <w:txbxContent>
                    <w:p/>
                  </w:txbxContent>
                </v:textbox>
              </v:shape>
            </w:pict>
          </mc:Fallback>
        </mc:AlternateContent>
      </w:r>
    </w:p>
    <w:p>
      <w:pPr>
        <w:spacing w:before="66" w:line="254" w:lineRule="auto"/>
        <w:ind w:left="1055" w:right="930" w:firstLine="3"/>
        <w:rPr>
          <w:rFonts w:ascii="Times New Roman" w:hAnsi="Times New Roman" w:eastAsia="仿宋"/>
        </w:rPr>
        <w:sectPr>
          <w:footerReference r:id="rId3" w:type="default"/>
          <w:footerReference r:id="rId4" w:type="even"/>
          <w:pgSz w:w="11907" w:h="16840"/>
          <w:pgMar w:top="1985" w:right="1588" w:bottom="1814" w:left="1588" w:header="0" w:footer="1418" w:gutter="0"/>
          <w:cols w:space="720" w:num="1"/>
        </w:sectPr>
      </w:pPr>
    </w:p>
    <w:p>
      <w:pPr>
        <w:spacing w:before="104" w:line="224" w:lineRule="auto"/>
        <w:rPr>
          <w:rFonts w:ascii="Times New Roman" w:hAnsi="Times New Roman" w:eastAsia="黑体"/>
          <w:spacing w:val="17"/>
          <w:w w:val="102"/>
          <w:sz w:val="32"/>
          <w:szCs w:val="32"/>
        </w:rPr>
      </w:pPr>
      <w:r>
        <w:rPr>
          <w:rFonts w:ascii="Times New Roman" w:hAnsi="黑体" w:eastAsia="黑体"/>
          <w:spacing w:val="17"/>
          <w:w w:val="102"/>
          <w:sz w:val="32"/>
          <w:szCs w:val="32"/>
        </w:rPr>
        <w:t>附件</w:t>
      </w:r>
      <w:r>
        <w:rPr>
          <w:rFonts w:ascii="Times New Roman" w:hAnsi="Times New Roman" w:eastAsia="黑体"/>
          <w:spacing w:val="17"/>
          <w:w w:val="102"/>
          <w:sz w:val="32"/>
          <w:szCs w:val="32"/>
        </w:rPr>
        <w:t>4</w:t>
      </w:r>
    </w:p>
    <w:p>
      <w:pPr>
        <w:pStyle w:val="7"/>
      </w:pPr>
    </w:p>
    <w:p>
      <w:pPr>
        <w:spacing w:before="109" w:line="227" w:lineRule="auto"/>
        <w:jc w:val="center"/>
        <w:rPr>
          <w:rFonts w:ascii="Times New Roman" w:hAnsi="Times New Roman" w:eastAsia="方正小标宋简体"/>
          <w:sz w:val="44"/>
          <w:szCs w:val="44"/>
        </w:rPr>
      </w:pPr>
      <w:r>
        <w:rPr>
          <w:rFonts w:hint="eastAsia" w:ascii="Times New Roman" w:hAnsi="方正小标宋简体" w:eastAsia="方正小标宋简体"/>
          <w:sz w:val="44"/>
          <w:szCs w:val="44"/>
        </w:rPr>
        <w:t>高新区</w:t>
      </w:r>
      <w:r>
        <w:rPr>
          <w:rFonts w:ascii="Times New Roman" w:hAnsi="方正小标宋简体" w:eastAsia="方正小标宋简体"/>
          <w:sz w:val="44"/>
          <w:szCs w:val="44"/>
        </w:rPr>
        <w:t>自建房实名制隐患清单</w:t>
      </w:r>
    </w:p>
    <w:p>
      <w:pPr>
        <w:spacing w:before="109" w:line="227" w:lineRule="auto"/>
        <w:ind w:firstLine="138" w:firstLineChars="50"/>
        <w:rPr>
          <w:rFonts w:ascii="Times New Roman" w:hAnsi="Times New Roman" w:eastAsia="宋体"/>
          <w:spacing w:val="-2"/>
          <w:position w:val="-1"/>
          <w:sz w:val="28"/>
          <w:szCs w:val="28"/>
        </w:rPr>
      </w:pPr>
    </w:p>
    <w:p>
      <w:pPr>
        <w:spacing w:before="109" w:line="227" w:lineRule="auto"/>
        <w:ind w:firstLine="138" w:firstLineChars="50"/>
        <w:rPr>
          <w:rFonts w:hint="eastAsia" w:ascii="仿宋_GB2312" w:hAnsi="仿宋_GB2312" w:eastAsia="仿宋_GB2312" w:cs="仿宋_GB2312"/>
          <w:sz w:val="28"/>
          <w:szCs w:val="28"/>
        </w:rPr>
      </w:pPr>
      <w:r>
        <w:rPr>
          <w:rFonts w:hint="eastAsia" w:ascii="仿宋_GB2312" w:hAnsi="仿宋_GB2312" w:eastAsia="仿宋_GB2312" w:cs="仿宋_GB2312"/>
          <w:spacing w:val="-2"/>
          <w:position w:val="-1"/>
          <w:sz w:val="28"/>
          <w:szCs w:val="28"/>
        </w:rPr>
        <w:t xml:space="preserve">填报单位:                          </w:t>
      </w:r>
      <w:r>
        <w:rPr>
          <w:rFonts w:hint="eastAsia" w:ascii="仿宋_GB2312" w:hAnsi="仿宋_GB2312" w:eastAsia="仿宋_GB2312" w:cs="仿宋_GB2312"/>
          <w:spacing w:val="-2"/>
          <w:sz w:val="28"/>
          <w:szCs w:val="28"/>
        </w:rPr>
        <w:t>填表人:                    审核人:                   填报时间:</w:t>
      </w:r>
    </w:p>
    <w:p>
      <w:pPr>
        <w:spacing w:line="183" w:lineRule="exact"/>
        <w:rPr>
          <w:rFonts w:ascii="Times New Roman" w:hAnsi="Times New Roman" w:eastAsia="宋体"/>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800"/>
        <w:gridCol w:w="894"/>
        <w:gridCol w:w="759"/>
        <w:gridCol w:w="5047"/>
        <w:gridCol w:w="4479"/>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jc w:val="center"/>
        </w:trPr>
        <w:tc>
          <w:tcPr>
            <w:tcW w:w="750" w:type="dxa"/>
            <w:vMerge w:val="restart"/>
            <w:tcBorders>
              <w:top w:val="single" w:color="000000" w:sz="2" w:space="0"/>
              <w:bottom w:val="nil"/>
            </w:tcBorders>
            <w:noWrap w:val="0"/>
            <w:vAlign w:val="center"/>
          </w:tcPr>
          <w:p>
            <w:pPr>
              <w:spacing w:before="69" w:line="221" w:lineRule="auto"/>
              <w:jc w:val="center"/>
              <w:rPr>
                <w:rFonts w:hint="eastAsia" w:ascii="仿宋_GB2312" w:hAnsi="仿宋_GB2312" w:eastAsia="仿宋_GB2312" w:cs="仿宋_GB2312"/>
                <w:spacing w:val="-11"/>
                <w:szCs w:val="21"/>
              </w:rPr>
            </w:pPr>
            <w:r>
              <w:rPr>
                <w:rFonts w:hint="eastAsia" w:ascii="仿宋_GB2312" w:hAnsi="仿宋_GB2312" w:eastAsia="仿宋_GB2312" w:cs="仿宋_GB2312"/>
                <w:spacing w:val="-11"/>
                <w:szCs w:val="21"/>
              </w:rPr>
              <w:t>序号</w:t>
            </w:r>
          </w:p>
        </w:tc>
        <w:tc>
          <w:tcPr>
            <w:tcW w:w="800" w:type="dxa"/>
            <w:vMerge w:val="restart"/>
            <w:tcBorders>
              <w:top w:val="single" w:color="000000" w:sz="2" w:space="0"/>
              <w:bottom w:val="nil"/>
            </w:tcBorders>
            <w:noWrap w:val="0"/>
            <w:vAlign w:val="center"/>
          </w:tcPr>
          <w:p>
            <w:pPr>
              <w:spacing w:before="68" w:line="300" w:lineRule="exact"/>
              <w:jc w:val="center"/>
              <w:rPr>
                <w:rFonts w:hint="eastAsia" w:ascii="仿宋_GB2312" w:hAnsi="仿宋_GB2312" w:eastAsia="仿宋_GB2312" w:cs="仿宋_GB2312"/>
                <w:spacing w:val="-11"/>
                <w:szCs w:val="21"/>
              </w:rPr>
            </w:pPr>
            <w:r>
              <w:rPr>
                <w:rFonts w:hint="eastAsia" w:ascii="仿宋_GB2312" w:hAnsi="仿宋_GB2312" w:eastAsia="仿宋_GB2312" w:cs="仿宋_GB2312"/>
                <w:spacing w:val="-11"/>
                <w:szCs w:val="21"/>
              </w:rPr>
              <w:t>户主</w:t>
            </w:r>
          </w:p>
          <w:p>
            <w:pPr>
              <w:spacing w:line="219" w:lineRule="auto"/>
              <w:jc w:val="center"/>
              <w:rPr>
                <w:rFonts w:hint="eastAsia" w:ascii="仿宋_GB2312" w:hAnsi="仿宋_GB2312" w:eastAsia="仿宋_GB2312" w:cs="仿宋_GB2312"/>
                <w:spacing w:val="-11"/>
                <w:szCs w:val="21"/>
              </w:rPr>
            </w:pPr>
            <w:r>
              <w:rPr>
                <w:rFonts w:hint="eastAsia" w:ascii="仿宋_GB2312" w:hAnsi="仿宋_GB2312" w:eastAsia="仿宋_GB2312" w:cs="仿宋_GB2312"/>
                <w:spacing w:val="-11"/>
                <w:szCs w:val="21"/>
              </w:rPr>
              <w:t>姓名</w:t>
            </w:r>
          </w:p>
        </w:tc>
        <w:tc>
          <w:tcPr>
            <w:tcW w:w="894" w:type="dxa"/>
            <w:vMerge w:val="restart"/>
            <w:tcBorders>
              <w:top w:val="single" w:color="000000" w:sz="2" w:space="0"/>
              <w:bottom w:val="nil"/>
            </w:tcBorders>
            <w:noWrap w:val="0"/>
            <w:vAlign w:val="center"/>
          </w:tcPr>
          <w:p>
            <w:pPr>
              <w:spacing w:before="68" w:line="310" w:lineRule="exact"/>
              <w:jc w:val="center"/>
              <w:rPr>
                <w:rFonts w:hint="eastAsia" w:ascii="仿宋_GB2312" w:hAnsi="仿宋_GB2312" w:eastAsia="仿宋_GB2312" w:cs="仿宋_GB2312"/>
                <w:spacing w:val="-11"/>
                <w:szCs w:val="21"/>
              </w:rPr>
            </w:pPr>
            <w:r>
              <w:rPr>
                <w:rFonts w:hint="eastAsia" w:ascii="仿宋_GB2312" w:hAnsi="仿宋_GB2312" w:eastAsia="仿宋_GB2312" w:cs="仿宋_GB2312"/>
                <w:spacing w:val="-11"/>
                <w:szCs w:val="21"/>
              </w:rPr>
              <w:t>具体</w:t>
            </w:r>
          </w:p>
          <w:p>
            <w:pPr>
              <w:spacing w:line="228" w:lineRule="auto"/>
              <w:jc w:val="center"/>
              <w:rPr>
                <w:rFonts w:hint="eastAsia" w:ascii="仿宋_GB2312" w:hAnsi="仿宋_GB2312" w:eastAsia="仿宋_GB2312" w:cs="仿宋_GB2312"/>
                <w:spacing w:val="-11"/>
                <w:szCs w:val="21"/>
              </w:rPr>
            </w:pPr>
            <w:r>
              <w:rPr>
                <w:rFonts w:hint="eastAsia" w:ascii="仿宋_GB2312" w:hAnsi="仿宋_GB2312" w:eastAsia="仿宋_GB2312" w:cs="仿宋_GB2312"/>
                <w:spacing w:val="-11"/>
                <w:szCs w:val="21"/>
              </w:rPr>
              <w:t>地址</w:t>
            </w:r>
          </w:p>
        </w:tc>
        <w:tc>
          <w:tcPr>
            <w:tcW w:w="759" w:type="dxa"/>
            <w:vMerge w:val="restart"/>
            <w:tcBorders>
              <w:top w:val="single" w:color="000000" w:sz="2" w:space="0"/>
              <w:bottom w:val="nil"/>
            </w:tcBorders>
            <w:noWrap w:val="0"/>
            <w:vAlign w:val="center"/>
          </w:tcPr>
          <w:p>
            <w:pPr>
              <w:spacing w:before="68" w:line="300" w:lineRule="exact"/>
              <w:jc w:val="center"/>
              <w:rPr>
                <w:rFonts w:hint="eastAsia" w:ascii="仿宋_GB2312" w:hAnsi="仿宋_GB2312" w:eastAsia="仿宋_GB2312" w:cs="仿宋_GB2312"/>
                <w:spacing w:val="-11"/>
                <w:szCs w:val="21"/>
              </w:rPr>
            </w:pPr>
            <w:r>
              <w:rPr>
                <w:rFonts w:hint="eastAsia" w:ascii="仿宋_GB2312" w:hAnsi="仿宋_GB2312" w:eastAsia="仿宋_GB2312" w:cs="仿宋_GB2312"/>
                <w:spacing w:val="-11"/>
                <w:szCs w:val="21"/>
              </w:rPr>
              <w:t>房屋</w:t>
            </w:r>
          </w:p>
          <w:p>
            <w:pPr>
              <w:spacing w:line="219" w:lineRule="auto"/>
              <w:jc w:val="center"/>
              <w:rPr>
                <w:rFonts w:hint="eastAsia" w:ascii="仿宋_GB2312" w:hAnsi="仿宋_GB2312" w:eastAsia="仿宋_GB2312" w:cs="仿宋_GB2312"/>
                <w:spacing w:val="-11"/>
                <w:szCs w:val="21"/>
              </w:rPr>
            </w:pPr>
            <w:r>
              <w:rPr>
                <w:rFonts w:hint="eastAsia" w:ascii="仿宋_GB2312" w:hAnsi="仿宋_GB2312" w:eastAsia="仿宋_GB2312" w:cs="仿宋_GB2312"/>
                <w:spacing w:val="-11"/>
                <w:szCs w:val="21"/>
              </w:rPr>
              <w:t>层数</w:t>
            </w:r>
          </w:p>
        </w:tc>
        <w:tc>
          <w:tcPr>
            <w:tcW w:w="5047" w:type="dxa"/>
            <w:tcBorders>
              <w:top w:val="single" w:color="000000" w:sz="2" w:space="0"/>
              <w:bottom w:val="single" w:color="000000" w:sz="2" w:space="0"/>
            </w:tcBorders>
            <w:noWrap w:val="0"/>
            <w:vAlign w:val="top"/>
          </w:tcPr>
          <w:p>
            <w:pPr>
              <w:spacing w:before="110" w:line="340" w:lineRule="exact"/>
              <w:ind w:firstLine="2083"/>
              <w:rPr>
                <w:rFonts w:hint="eastAsia" w:ascii="仿宋_GB2312" w:hAnsi="仿宋_GB2312" w:eastAsia="仿宋_GB2312" w:cs="仿宋_GB2312"/>
                <w:spacing w:val="-11"/>
                <w:szCs w:val="21"/>
              </w:rPr>
            </w:pPr>
            <w:r>
              <w:rPr>
                <w:rFonts w:hint="eastAsia" w:ascii="仿宋_GB2312" w:hAnsi="仿宋_GB2312" w:eastAsia="仿宋_GB2312" w:cs="仿宋_GB2312"/>
                <w:spacing w:val="-11"/>
                <w:szCs w:val="21"/>
              </w:rPr>
              <w:t>是否属于</w:t>
            </w:r>
          </w:p>
          <w:p>
            <w:pPr>
              <w:spacing w:line="219" w:lineRule="auto"/>
              <w:ind w:firstLine="1983"/>
              <w:rPr>
                <w:rFonts w:hint="eastAsia" w:ascii="仿宋_GB2312" w:hAnsi="仿宋_GB2312" w:eastAsia="仿宋_GB2312" w:cs="仿宋_GB2312"/>
                <w:spacing w:val="-11"/>
                <w:szCs w:val="21"/>
              </w:rPr>
            </w:pPr>
            <w:r>
              <w:rPr>
                <w:rFonts w:hint="eastAsia" w:ascii="仿宋_GB2312" w:hAnsi="仿宋_GB2312" w:eastAsia="仿宋_GB2312" w:cs="仿宋_GB2312"/>
                <w:spacing w:val="-11"/>
                <w:szCs w:val="21"/>
              </w:rPr>
              <w:t>高风险场所</w:t>
            </w:r>
          </w:p>
        </w:tc>
        <w:tc>
          <w:tcPr>
            <w:tcW w:w="4479" w:type="dxa"/>
            <w:tcBorders>
              <w:top w:val="single" w:color="000000" w:sz="2" w:space="0"/>
              <w:bottom w:val="single" w:color="000000" w:sz="2" w:space="0"/>
            </w:tcBorders>
            <w:noWrap w:val="0"/>
            <w:vAlign w:val="top"/>
          </w:tcPr>
          <w:p>
            <w:pPr>
              <w:spacing w:before="90" w:line="370" w:lineRule="exact"/>
              <w:ind w:firstLine="1507"/>
              <w:rPr>
                <w:rFonts w:hint="eastAsia" w:ascii="仿宋_GB2312" w:hAnsi="仿宋_GB2312" w:eastAsia="仿宋_GB2312" w:cs="仿宋_GB2312"/>
                <w:spacing w:val="-11"/>
                <w:szCs w:val="21"/>
              </w:rPr>
            </w:pPr>
            <w:r>
              <w:rPr>
                <w:rFonts w:hint="eastAsia" w:ascii="仿宋_GB2312" w:hAnsi="仿宋_GB2312" w:eastAsia="仿宋_GB2312" w:cs="仿宋_GB2312"/>
                <w:spacing w:val="-11"/>
                <w:szCs w:val="21"/>
              </w:rPr>
              <w:t>是否属于</w:t>
            </w:r>
          </w:p>
          <w:p>
            <w:pPr>
              <w:spacing w:line="220" w:lineRule="auto"/>
              <w:ind w:firstLine="1417"/>
              <w:rPr>
                <w:rFonts w:hint="eastAsia" w:ascii="仿宋_GB2312" w:hAnsi="仿宋_GB2312" w:eastAsia="仿宋_GB2312" w:cs="仿宋_GB2312"/>
                <w:spacing w:val="-11"/>
                <w:szCs w:val="21"/>
              </w:rPr>
            </w:pPr>
            <w:r>
              <w:rPr>
                <w:rFonts w:hint="eastAsia" w:ascii="仿宋_GB2312" w:hAnsi="仿宋_GB2312" w:eastAsia="仿宋_GB2312" w:cs="仿宋_GB2312"/>
                <w:spacing w:val="-11"/>
                <w:szCs w:val="21"/>
              </w:rPr>
              <w:t>中风险场所</w:t>
            </w:r>
          </w:p>
        </w:tc>
        <w:tc>
          <w:tcPr>
            <w:tcW w:w="1185" w:type="dxa"/>
            <w:tcBorders>
              <w:top w:val="single" w:color="000000" w:sz="2" w:space="0"/>
              <w:bottom w:val="single" w:color="000000" w:sz="2" w:space="0"/>
            </w:tcBorders>
            <w:noWrap w:val="0"/>
            <w:vAlign w:val="top"/>
          </w:tcPr>
          <w:p>
            <w:pPr>
              <w:spacing w:before="140" w:line="300" w:lineRule="exact"/>
              <w:jc w:val="center"/>
              <w:rPr>
                <w:rFonts w:hint="eastAsia" w:ascii="仿宋_GB2312" w:hAnsi="仿宋_GB2312" w:eastAsia="仿宋_GB2312" w:cs="仿宋_GB2312"/>
                <w:spacing w:val="-11"/>
                <w:szCs w:val="21"/>
              </w:rPr>
            </w:pPr>
            <w:r>
              <w:rPr>
                <w:rFonts w:hint="eastAsia" w:ascii="仿宋_GB2312" w:hAnsi="仿宋_GB2312" w:eastAsia="仿宋_GB2312" w:cs="仿宋_GB2312"/>
                <w:spacing w:val="-11"/>
                <w:szCs w:val="21"/>
              </w:rPr>
              <w:t>是否属于</w:t>
            </w:r>
          </w:p>
          <w:p>
            <w:pPr>
              <w:spacing w:line="220" w:lineRule="auto"/>
              <w:jc w:val="center"/>
              <w:rPr>
                <w:rFonts w:hint="eastAsia" w:ascii="仿宋_GB2312" w:hAnsi="仿宋_GB2312" w:eastAsia="仿宋_GB2312" w:cs="仿宋_GB2312"/>
                <w:spacing w:val="-11"/>
                <w:szCs w:val="21"/>
              </w:rPr>
            </w:pPr>
            <w:r>
              <w:rPr>
                <w:rFonts w:hint="eastAsia" w:ascii="仿宋_GB2312" w:hAnsi="仿宋_GB2312" w:eastAsia="仿宋_GB2312" w:cs="仿宋_GB2312"/>
                <w:spacing w:val="-11"/>
                <w:szCs w:val="21"/>
              </w:rPr>
              <w:t>低风险场所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3" w:hRule="atLeast"/>
          <w:jc w:val="center"/>
        </w:trPr>
        <w:tc>
          <w:tcPr>
            <w:tcW w:w="750" w:type="dxa"/>
            <w:vMerge w:val="continue"/>
            <w:tcBorders>
              <w:top w:val="nil"/>
              <w:bottom w:val="single" w:color="000000" w:sz="2" w:space="0"/>
            </w:tcBorders>
            <w:noWrap w:val="0"/>
            <w:vAlign w:val="top"/>
          </w:tcPr>
          <w:p>
            <w:pPr>
              <w:rPr>
                <w:rFonts w:hint="eastAsia" w:ascii="仿宋_GB2312" w:hAnsi="仿宋_GB2312" w:eastAsia="仿宋_GB2312" w:cs="仿宋_GB2312"/>
                <w:spacing w:val="-11"/>
                <w:szCs w:val="21"/>
              </w:rPr>
            </w:pPr>
          </w:p>
        </w:tc>
        <w:tc>
          <w:tcPr>
            <w:tcW w:w="800" w:type="dxa"/>
            <w:vMerge w:val="continue"/>
            <w:tcBorders>
              <w:top w:val="nil"/>
              <w:bottom w:val="single" w:color="000000" w:sz="2" w:space="0"/>
            </w:tcBorders>
            <w:noWrap w:val="0"/>
            <w:vAlign w:val="top"/>
          </w:tcPr>
          <w:p>
            <w:pPr>
              <w:rPr>
                <w:rFonts w:hint="eastAsia" w:ascii="仿宋_GB2312" w:hAnsi="仿宋_GB2312" w:eastAsia="仿宋_GB2312" w:cs="仿宋_GB2312"/>
                <w:spacing w:val="-11"/>
                <w:szCs w:val="21"/>
              </w:rPr>
            </w:pPr>
          </w:p>
        </w:tc>
        <w:tc>
          <w:tcPr>
            <w:tcW w:w="894" w:type="dxa"/>
            <w:vMerge w:val="continue"/>
            <w:tcBorders>
              <w:top w:val="nil"/>
              <w:bottom w:val="single" w:color="000000" w:sz="2" w:space="0"/>
            </w:tcBorders>
            <w:noWrap w:val="0"/>
            <w:vAlign w:val="top"/>
          </w:tcPr>
          <w:p>
            <w:pPr>
              <w:rPr>
                <w:rFonts w:hint="eastAsia" w:ascii="仿宋_GB2312" w:hAnsi="仿宋_GB2312" w:eastAsia="仿宋_GB2312" w:cs="仿宋_GB2312"/>
                <w:spacing w:val="-11"/>
                <w:szCs w:val="21"/>
              </w:rPr>
            </w:pPr>
          </w:p>
        </w:tc>
        <w:tc>
          <w:tcPr>
            <w:tcW w:w="759" w:type="dxa"/>
            <w:vMerge w:val="continue"/>
            <w:tcBorders>
              <w:top w:val="nil"/>
              <w:bottom w:val="single" w:color="000000" w:sz="2" w:space="0"/>
            </w:tcBorders>
            <w:noWrap w:val="0"/>
            <w:vAlign w:val="top"/>
          </w:tcPr>
          <w:p>
            <w:pPr>
              <w:rPr>
                <w:rFonts w:hint="eastAsia" w:ascii="仿宋_GB2312" w:hAnsi="仿宋_GB2312" w:eastAsia="仿宋_GB2312" w:cs="仿宋_GB2312"/>
                <w:spacing w:val="-11"/>
                <w:szCs w:val="21"/>
              </w:rPr>
            </w:pPr>
          </w:p>
        </w:tc>
        <w:tc>
          <w:tcPr>
            <w:tcW w:w="5047" w:type="dxa"/>
            <w:tcBorders>
              <w:top w:val="single" w:color="000000" w:sz="2" w:space="0"/>
              <w:bottom w:val="single" w:color="000000" w:sz="2" w:space="0"/>
            </w:tcBorders>
            <w:noWrap w:val="0"/>
            <w:vAlign w:val="top"/>
          </w:tcPr>
          <w:p>
            <w:pPr>
              <w:spacing w:before="66" w:line="211" w:lineRule="auto"/>
              <w:ind w:left="382" w:right="154" w:hanging="269"/>
              <w:rPr>
                <w:rFonts w:hint="eastAsia" w:ascii="仿宋_GB2312" w:hAnsi="仿宋_GB2312" w:eastAsia="仿宋_GB2312" w:cs="仿宋_GB2312"/>
                <w:spacing w:val="-11"/>
                <w:szCs w:val="21"/>
              </w:rPr>
            </w:pPr>
            <w:r>
              <w:rPr>
                <w:rFonts w:hint="eastAsia" w:ascii="仿宋_GB2312" w:hAnsi="仿宋_GB2312" w:eastAsia="仿宋_GB2312" w:cs="仿宋_GB2312"/>
                <w:spacing w:val="-11"/>
                <w:szCs w:val="21"/>
              </w:rPr>
              <w:t>1、属于需要密集动火的场所（包括电焊、切割等火花飞溅场所）；</w:t>
            </w:r>
          </w:p>
          <w:p>
            <w:pPr>
              <w:spacing w:line="211" w:lineRule="auto"/>
              <w:ind w:firstLine="113"/>
              <w:rPr>
                <w:rFonts w:hint="eastAsia" w:ascii="仿宋_GB2312" w:hAnsi="仿宋_GB2312" w:eastAsia="仿宋_GB2312" w:cs="仿宋_GB2312"/>
                <w:spacing w:val="-11"/>
                <w:szCs w:val="21"/>
              </w:rPr>
            </w:pPr>
            <w:r>
              <w:rPr>
                <w:rFonts w:hint="eastAsia" w:ascii="仿宋_GB2312" w:hAnsi="仿宋_GB2312" w:eastAsia="仿宋_GB2312" w:cs="仿宋_GB2312"/>
                <w:spacing w:val="-11"/>
                <w:szCs w:val="21"/>
              </w:rPr>
              <w:t>2、属于经营电动自行车的场所；</w:t>
            </w:r>
          </w:p>
          <w:p>
            <w:pPr>
              <w:spacing w:before="2" w:line="210" w:lineRule="auto"/>
              <w:ind w:left="382" w:right="97" w:hanging="269"/>
              <w:rPr>
                <w:rFonts w:hint="eastAsia" w:ascii="仿宋_GB2312" w:hAnsi="仿宋_GB2312" w:eastAsia="仿宋_GB2312" w:cs="仿宋_GB2312"/>
                <w:spacing w:val="-11"/>
                <w:szCs w:val="21"/>
              </w:rPr>
            </w:pPr>
            <w:r>
              <w:rPr>
                <w:rFonts w:hint="eastAsia" w:ascii="仿宋_GB2312" w:hAnsi="仿宋_GB2312" w:eastAsia="仿宋_GB2312" w:cs="仿宋_GB2312"/>
                <w:spacing w:val="-11"/>
                <w:szCs w:val="21"/>
              </w:rPr>
              <w:t>3、属于生产、储存、经营烟花爆竹、液化石油气、氧气乙炔等易燃易爆危险品的场所；</w:t>
            </w:r>
          </w:p>
          <w:p>
            <w:pPr>
              <w:spacing w:line="202" w:lineRule="auto"/>
              <w:ind w:firstLine="113"/>
              <w:rPr>
                <w:rFonts w:hint="eastAsia" w:ascii="仿宋_GB2312" w:hAnsi="仿宋_GB2312" w:eastAsia="仿宋_GB2312" w:cs="仿宋_GB2312"/>
                <w:spacing w:val="-11"/>
                <w:szCs w:val="21"/>
              </w:rPr>
            </w:pPr>
            <w:r>
              <w:rPr>
                <w:rFonts w:hint="eastAsia" w:ascii="仿宋_GB2312" w:hAnsi="仿宋_GB2312" w:eastAsia="仿宋_GB2312" w:cs="仿宋_GB2312"/>
                <w:spacing w:val="-11"/>
                <w:szCs w:val="21"/>
              </w:rPr>
              <w:t>4、属于同时租住不少于10户或30人以上的群租房；</w:t>
            </w:r>
          </w:p>
          <w:p>
            <w:pPr>
              <w:spacing w:line="219" w:lineRule="auto"/>
              <w:ind w:firstLine="113"/>
              <w:rPr>
                <w:rFonts w:hint="eastAsia" w:ascii="仿宋_GB2312" w:hAnsi="仿宋_GB2312" w:eastAsia="仿宋_GB2312" w:cs="仿宋_GB2312"/>
                <w:spacing w:val="-11"/>
                <w:szCs w:val="21"/>
              </w:rPr>
            </w:pPr>
            <w:r>
              <w:rPr>
                <w:rFonts w:hint="eastAsia" w:ascii="仿宋_GB2312" w:hAnsi="仿宋_GB2312" w:eastAsia="仿宋_GB2312" w:cs="仿宋_GB2312"/>
                <w:spacing w:val="-11"/>
                <w:szCs w:val="21"/>
              </w:rPr>
              <w:t>5、属于生产、住宿等"三合一"、"多合一"场所；</w:t>
            </w:r>
          </w:p>
          <w:p>
            <w:pPr>
              <w:spacing w:line="219" w:lineRule="auto"/>
              <w:ind w:firstLine="113"/>
              <w:rPr>
                <w:rFonts w:hint="eastAsia" w:ascii="仿宋_GB2312" w:hAnsi="仿宋_GB2312" w:eastAsia="仿宋_GB2312" w:cs="仿宋_GB2312"/>
                <w:spacing w:val="-11"/>
                <w:szCs w:val="21"/>
              </w:rPr>
            </w:pPr>
            <w:r>
              <w:rPr>
                <w:rFonts w:hint="eastAsia" w:ascii="仿宋_GB2312" w:hAnsi="仿宋_GB2312" w:eastAsia="仿宋_GB2312" w:cs="仿宋_GB2312"/>
                <w:spacing w:val="-11"/>
                <w:szCs w:val="21"/>
              </w:rPr>
              <w:t>6、属于同时容纳50人以上的生产加工场所；</w:t>
            </w:r>
          </w:p>
          <w:p>
            <w:pPr>
              <w:spacing w:before="1" w:line="206" w:lineRule="auto"/>
              <w:ind w:left="382" w:right="114" w:hanging="269"/>
              <w:rPr>
                <w:rFonts w:hint="eastAsia" w:ascii="仿宋_GB2312" w:hAnsi="仿宋_GB2312" w:eastAsia="仿宋_GB2312" w:cs="仿宋_GB2312"/>
                <w:spacing w:val="-11"/>
                <w:szCs w:val="21"/>
              </w:rPr>
            </w:pPr>
            <w:r>
              <w:rPr>
                <w:rFonts w:hint="eastAsia" w:ascii="仿宋_GB2312" w:hAnsi="仿宋_GB2312" w:eastAsia="仿宋_GB2312" w:cs="仿宋_GB2312"/>
                <w:spacing w:val="-11"/>
                <w:szCs w:val="21"/>
              </w:rPr>
              <w:t>7、属于在首层安全出口、疏散通道设置电动自行车停放点且无防火分隔的场所；</w:t>
            </w:r>
          </w:p>
          <w:p>
            <w:pPr>
              <w:spacing w:before="1" w:line="219" w:lineRule="auto"/>
              <w:ind w:firstLine="113"/>
              <w:rPr>
                <w:rFonts w:hint="eastAsia" w:ascii="仿宋_GB2312" w:hAnsi="仿宋_GB2312" w:eastAsia="仿宋_GB2312" w:cs="仿宋_GB2312"/>
                <w:spacing w:val="-11"/>
                <w:szCs w:val="21"/>
              </w:rPr>
            </w:pPr>
            <w:r>
              <w:rPr>
                <w:rFonts w:hint="eastAsia" w:ascii="仿宋_GB2312" w:hAnsi="仿宋_GB2312" w:eastAsia="仿宋_GB2312" w:cs="仿宋_GB2312"/>
                <w:spacing w:val="-11"/>
                <w:szCs w:val="21"/>
              </w:rPr>
              <w:t>8、属于高风险的其他场所。</w:t>
            </w:r>
          </w:p>
        </w:tc>
        <w:tc>
          <w:tcPr>
            <w:tcW w:w="4479" w:type="dxa"/>
            <w:tcBorders>
              <w:top w:val="single" w:color="000000" w:sz="2" w:space="0"/>
              <w:bottom w:val="single" w:color="000000" w:sz="2" w:space="0"/>
            </w:tcBorders>
            <w:noWrap w:val="0"/>
            <w:vAlign w:val="top"/>
          </w:tcPr>
          <w:p>
            <w:pPr>
              <w:spacing w:before="185" w:line="207" w:lineRule="auto"/>
              <w:ind w:left="385" w:right="29" w:hanging="239"/>
              <w:rPr>
                <w:rFonts w:hint="eastAsia" w:ascii="仿宋_GB2312" w:hAnsi="仿宋_GB2312" w:eastAsia="仿宋_GB2312" w:cs="仿宋_GB2312"/>
                <w:spacing w:val="-11"/>
                <w:szCs w:val="21"/>
              </w:rPr>
            </w:pPr>
            <w:r>
              <w:rPr>
                <w:rFonts w:hint="eastAsia" w:ascii="仿宋_GB2312" w:hAnsi="仿宋_GB2312" w:eastAsia="仿宋_GB2312" w:cs="仿宋_GB2312"/>
                <w:spacing w:val="-11"/>
                <w:szCs w:val="21"/>
              </w:rPr>
              <w:t>1、属于生产、储存大量木材、泡沫、织物等可燃物的场所；</w:t>
            </w:r>
          </w:p>
          <w:p>
            <w:pPr>
              <w:spacing w:line="215" w:lineRule="auto"/>
              <w:ind w:left="346" w:right="71" w:hanging="209"/>
              <w:rPr>
                <w:rFonts w:hint="eastAsia" w:ascii="仿宋_GB2312" w:hAnsi="仿宋_GB2312" w:eastAsia="仿宋_GB2312" w:cs="仿宋_GB2312"/>
                <w:spacing w:val="-11"/>
                <w:szCs w:val="21"/>
              </w:rPr>
            </w:pPr>
            <w:r>
              <w:rPr>
                <w:rFonts w:hint="eastAsia" w:ascii="仿宋_GB2312" w:hAnsi="仿宋_GB2312" w:eastAsia="仿宋_GB2312" w:cs="仿宋_GB2312"/>
                <w:spacing w:val="-11"/>
                <w:szCs w:val="21"/>
              </w:rPr>
              <w:t>2、属于同时租住5-10户或10-30人的群租房；</w:t>
            </w:r>
          </w:p>
          <w:p>
            <w:pPr>
              <w:spacing w:before="1" w:line="206" w:lineRule="auto"/>
              <w:ind w:left="356" w:right="107" w:hanging="219"/>
              <w:rPr>
                <w:rFonts w:hint="eastAsia" w:ascii="仿宋_GB2312" w:hAnsi="仿宋_GB2312" w:eastAsia="仿宋_GB2312" w:cs="仿宋_GB2312"/>
                <w:spacing w:val="-11"/>
                <w:szCs w:val="21"/>
              </w:rPr>
            </w:pPr>
            <w:r>
              <w:rPr>
                <w:rFonts w:hint="eastAsia" w:ascii="仿宋_GB2312" w:hAnsi="仿宋_GB2312" w:eastAsia="仿宋_GB2312" w:cs="仿宋_GB2312"/>
                <w:spacing w:val="-11"/>
                <w:szCs w:val="21"/>
              </w:rPr>
              <w:t>3、属于同时容纳30-50人的生产加工场所；</w:t>
            </w:r>
          </w:p>
          <w:p>
            <w:pPr>
              <w:spacing w:line="219" w:lineRule="auto"/>
              <w:ind w:firstLine="137"/>
              <w:rPr>
                <w:rFonts w:hint="eastAsia" w:ascii="仿宋_GB2312" w:hAnsi="仿宋_GB2312" w:eastAsia="仿宋_GB2312" w:cs="仿宋_GB2312"/>
                <w:spacing w:val="-11"/>
                <w:szCs w:val="21"/>
              </w:rPr>
            </w:pPr>
            <w:r>
              <w:rPr>
                <w:rFonts w:hint="eastAsia" w:ascii="仿宋_GB2312" w:hAnsi="仿宋_GB2312" w:eastAsia="仿宋_GB2312" w:cs="仿宋_GB2312"/>
                <w:spacing w:val="-11"/>
                <w:szCs w:val="21"/>
              </w:rPr>
              <w:t>4、属于经营餐饮服务业的场所；</w:t>
            </w:r>
          </w:p>
          <w:p>
            <w:pPr>
              <w:spacing w:before="10" w:line="211" w:lineRule="auto"/>
              <w:ind w:firstLine="137"/>
              <w:rPr>
                <w:rFonts w:hint="eastAsia" w:ascii="仿宋_GB2312" w:hAnsi="仿宋_GB2312" w:eastAsia="仿宋_GB2312" w:cs="仿宋_GB2312"/>
                <w:spacing w:val="-11"/>
                <w:szCs w:val="21"/>
              </w:rPr>
            </w:pPr>
            <w:r>
              <w:rPr>
                <w:rFonts w:hint="eastAsia" w:ascii="仿宋_GB2312" w:hAnsi="仿宋_GB2312" w:eastAsia="仿宋_GB2312" w:cs="仿宋_GB2312"/>
                <w:spacing w:val="-11"/>
                <w:szCs w:val="21"/>
              </w:rPr>
              <w:t>5、属于木结构的场所；</w:t>
            </w:r>
          </w:p>
          <w:p>
            <w:pPr>
              <w:spacing w:line="212" w:lineRule="auto"/>
              <w:ind w:firstLine="137"/>
              <w:rPr>
                <w:rFonts w:hint="eastAsia" w:ascii="仿宋_GB2312" w:hAnsi="仿宋_GB2312" w:eastAsia="仿宋_GB2312" w:cs="仿宋_GB2312"/>
                <w:spacing w:val="-11"/>
                <w:szCs w:val="21"/>
              </w:rPr>
            </w:pPr>
            <w:r>
              <w:rPr>
                <w:rFonts w:hint="eastAsia" w:ascii="仿宋_GB2312" w:hAnsi="仿宋_GB2312" w:eastAsia="仿宋_GB2312" w:cs="仿宋_GB2312"/>
                <w:spacing w:val="-11"/>
                <w:szCs w:val="21"/>
              </w:rPr>
              <w:t>6、属于设置夹层用于仓储的商铺、超市；</w:t>
            </w:r>
          </w:p>
          <w:p>
            <w:pPr>
              <w:spacing w:line="220" w:lineRule="auto"/>
              <w:ind w:firstLine="137"/>
              <w:rPr>
                <w:rFonts w:hint="eastAsia" w:ascii="仿宋_GB2312" w:hAnsi="仿宋_GB2312" w:eastAsia="仿宋_GB2312" w:cs="仿宋_GB2312"/>
                <w:spacing w:val="-11"/>
                <w:szCs w:val="21"/>
              </w:rPr>
            </w:pPr>
            <w:r>
              <w:rPr>
                <w:rFonts w:hint="eastAsia" w:ascii="仿宋_GB2312" w:hAnsi="仿宋_GB2312" w:eastAsia="仿宋_GB2312" w:cs="仿宋_GB2312"/>
                <w:spacing w:val="-11"/>
                <w:szCs w:val="21"/>
              </w:rPr>
              <w:t>7、属于中风险的其他场所。</w:t>
            </w:r>
          </w:p>
        </w:tc>
        <w:tc>
          <w:tcPr>
            <w:tcW w:w="1185" w:type="dxa"/>
            <w:tcBorders>
              <w:top w:val="single" w:color="000000" w:sz="2" w:space="0"/>
              <w:bottom w:val="single" w:color="000000" w:sz="2" w:space="0"/>
            </w:tcBorders>
            <w:noWrap w:val="0"/>
            <w:vAlign w:val="top"/>
          </w:tcPr>
          <w:p>
            <w:pPr>
              <w:spacing w:line="295" w:lineRule="auto"/>
              <w:rPr>
                <w:rFonts w:hint="eastAsia" w:ascii="仿宋_GB2312" w:hAnsi="仿宋_GB2312" w:eastAsia="仿宋_GB2312" w:cs="仿宋_GB2312"/>
                <w:spacing w:val="-11"/>
                <w:szCs w:val="21"/>
              </w:rPr>
            </w:pPr>
          </w:p>
          <w:p>
            <w:pPr>
              <w:spacing w:line="295" w:lineRule="auto"/>
              <w:rPr>
                <w:rFonts w:hint="eastAsia" w:ascii="仿宋_GB2312" w:hAnsi="仿宋_GB2312" w:eastAsia="仿宋_GB2312" w:cs="仿宋_GB2312"/>
                <w:spacing w:val="-11"/>
                <w:szCs w:val="21"/>
              </w:rPr>
            </w:pPr>
          </w:p>
          <w:p>
            <w:pPr>
              <w:spacing w:line="295" w:lineRule="auto"/>
              <w:rPr>
                <w:rFonts w:hint="eastAsia" w:ascii="仿宋_GB2312" w:hAnsi="仿宋_GB2312" w:eastAsia="仿宋_GB2312" w:cs="仿宋_GB2312"/>
                <w:spacing w:val="-11"/>
                <w:szCs w:val="21"/>
              </w:rPr>
            </w:pPr>
          </w:p>
          <w:p>
            <w:pPr>
              <w:spacing w:line="295" w:lineRule="auto"/>
              <w:rPr>
                <w:rFonts w:hint="eastAsia" w:ascii="仿宋_GB2312" w:hAnsi="仿宋_GB2312" w:eastAsia="仿宋_GB2312" w:cs="仿宋_GB2312"/>
                <w:spacing w:val="-11"/>
                <w:szCs w:val="21"/>
              </w:rPr>
            </w:pPr>
          </w:p>
          <w:p>
            <w:pPr>
              <w:spacing w:before="68" w:line="220" w:lineRule="auto"/>
              <w:jc w:val="center"/>
              <w:rPr>
                <w:rFonts w:hint="eastAsia" w:ascii="仿宋_GB2312" w:hAnsi="仿宋_GB2312" w:eastAsia="仿宋_GB2312" w:cs="仿宋_GB2312"/>
                <w:spacing w:val="-11"/>
                <w:szCs w:val="21"/>
              </w:rPr>
            </w:pPr>
            <w:r>
              <w:rPr>
                <w:rFonts w:hint="eastAsia" w:ascii="仿宋_GB2312" w:hAnsi="仿宋_GB2312" w:eastAsia="仿宋_GB2312" w:cs="仿宋_GB2312"/>
                <w:spacing w:val="-11"/>
                <w:szCs w:val="21"/>
              </w:rPr>
              <w:t>属于低风险的场所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jc w:val="center"/>
        </w:trPr>
        <w:tc>
          <w:tcPr>
            <w:tcW w:w="750" w:type="dxa"/>
            <w:tcBorders>
              <w:top w:val="single" w:color="000000" w:sz="2" w:space="0"/>
              <w:bottom w:val="single" w:color="000000" w:sz="2" w:space="0"/>
            </w:tcBorders>
            <w:noWrap w:val="0"/>
            <w:vAlign w:val="top"/>
          </w:tcPr>
          <w:p>
            <w:pPr>
              <w:spacing w:line="305" w:lineRule="auto"/>
              <w:rPr>
                <w:rFonts w:hint="eastAsia" w:ascii="仿宋_GB2312" w:hAnsi="仿宋_GB2312" w:eastAsia="仿宋_GB2312" w:cs="仿宋_GB2312"/>
                <w:spacing w:val="-11"/>
                <w:szCs w:val="21"/>
              </w:rPr>
            </w:pPr>
          </w:p>
          <w:p>
            <w:pPr>
              <w:spacing w:before="34" w:line="224" w:lineRule="auto"/>
              <w:ind w:firstLine="312"/>
              <w:rPr>
                <w:rFonts w:hint="eastAsia" w:ascii="仿宋_GB2312" w:hAnsi="仿宋_GB2312" w:eastAsia="仿宋_GB2312" w:cs="仿宋_GB2312"/>
                <w:spacing w:val="-11"/>
                <w:szCs w:val="21"/>
              </w:rPr>
            </w:pPr>
            <w:r>
              <w:rPr>
                <w:rFonts w:hint="eastAsia" w:ascii="仿宋_GB2312" w:hAnsi="仿宋_GB2312" w:eastAsia="仿宋_GB2312" w:cs="仿宋_GB2312"/>
                <w:spacing w:val="-11"/>
                <w:szCs w:val="21"/>
              </w:rPr>
              <w:t>1</w:t>
            </w:r>
          </w:p>
        </w:tc>
        <w:tc>
          <w:tcPr>
            <w:tcW w:w="800" w:type="dxa"/>
            <w:tcBorders>
              <w:top w:val="single" w:color="000000" w:sz="2" w:space="0"/>
              <w:bottom w:val="single" w:color="000000" w:sz="2" w:space="0"/>
            </w:tcBorders>
            <w:noWrap w:val="0"/>
            <w:vAlign w:val="top"/>
          </w:tcPr>
          <w:p>
            <w:pPr>
              <w:rPr>
                <w:rFonts w:hint="eastAsia" w:ascii="仿宋_GB2312" w:hAnsi="仿宋_GB2312" w:eastAsia="仿宋_GB2312" w:cs="仿宋_GB2312"/>
                <w:spacing w:val="-11"/>
                <w:szCs w:val="21"/>
              </w:rPr>
            </w:pPr>
          </w:p>
        </w:tc>
        <w:tc>
          <w:tcPr>
            <w:tcW w:w="894" w:type="dxa"/>
            <w:tcBorders>
              <w:top w:val="single" w:color="000000" w:sz="2" w:space="0"/>
              <w:bottom w:val="single" w:color="000000" w:sz="2" w:space="0"/>
            </w:tcBorders>
            <w:noWrap w:val="0"/>
            <w:vAlign w:val="top"/>
          </w:tcPr>
          <w:p>
            <w:pPr>
              <w:rPr>
                <w:rFonts w:hint="eastAsia" w:ascii="仿宋_GB2312" w:hAnsi="仿宋_GB2312" w:eastAsia="仿宋_GB2312" w:cs="仿宋_GB2312"/>
                <w:spacing w:val="-11"/>
                <w:szCs w:val="21"/>
              </w:rPr>
            </w:pPr>
          </w:p>
        </w:tc>
        <w:tc>
          <w:tcPr>
            <w:tcW w:w="759" w:type="dxa"/>
            <w:tcBorders>
              <w:top w:val="single" w:color="000000" w:sz="2" w:space="0"/>
              <w:bottom w:val="single" w:color="000000" w:sz="2" w:space="0"/>
            </w:tcBorders>
            <w:noWrap w:val="0"/>
            <w:vAlign w:val="top"/>
          </w:tcPr>
          <w:p>
            <w:pPr>
              <w:rPr>
                <w:rFonts w:hint="eastAsia" w:ascii="仿宋_GB2312" w:hAnsi="仿宋_GB2312" w:eastAsia="仿宋_GB2312" w:cs="仿宋_GB2312"/>
                <w:spacing w:val="-11"/>
                <w:szCs w:val="21"/>
              </w:rPr>
            </w:pPr>
          </w:p>
        </w:tc>
        <w:tc>
          <w:tcPr>
            <w:tcW w:w="5047" w:type="dxa"/>
            <w:tcBorders>
              <w:top w:val="single" w:color="000000" w:sz="2" w:space="0"/>
              <w:bottom w:val="single" w:color="000000" w:sz="2" w:space="0"/>
            </w:tcBorders>
            <w:noWrap w:val="0"/>
            <w:vAlign w:val="top"/>
          </w:tcPr>
          <w:p>
            <w:pPr>
              <w:spacing w:before="87" w:line="213" w:lineRule="auto"/>
              <w:ind w:firstLine="113"/>
              <w:rPr>
                <w:rFonts w:hint="eastAsia" w:ascii="仿宋_GB2312" w:hAnsi="仿宋_GB2312" w:eastAsia="仿宋_GB2312" w:cs="仿宋_GB2312"/>
                <w:spacing w:val="-11"/>
                <w:szCs w:val="21"/>
              </w:rPr>
            </w:pPr>
            <w:r>
              <w:rPr>
                <w:rFonts w:hint="eastAsia" w:ascii="仿宋_GB2312" w:hAnsi="仿宋_GB2312" w:eastAsia="仿宋_GB2312" w:cs="仿宋_GB2312"/>
                <w:spacing w:val="-11"/>
                <w:szCs w:val="21"/>
              </w:rPr>
              <w:t>□是属于以上隐患的第__项</w:t>
            </w:r>
          </w:p>
          <w:p>
            <w:pPr>
              <w:spacing w:before="97" w:line="220" w:lineRule="auto"/>
              <w:ind w:firstLine="113"/>
              <w:rPr>
                <w:rFonts w:hint="eastAsia" w:ascii="仿宋_GB2312" w:hAnsi="仿宋_GB2312" w:eastAsia="仿宋_GB2312" w:cs="仿宋_GB2312"/>
                <w:spacing w:val="-11"/>
                <w:szCs w:val="21"/>
              </w:rPr>
            </w:pPr>
            <w:r>
              <w:rPr>
                <w:rFonts w:hint="eastAsia" w:ascii="仿宋_GB2312" w:hAnsi="仿宋_GB2312" w:eastAsia="仿宋_GB2312" w:cs="仿宋_GB2312"/>
                <w:spacing w:val="-11"/>
                <w:szCs w:val="21"/>
              </w:rPr>
              <w:t>□否</w:t>
            </w:r>
          </w:p>
        </w:tc>
        <w:tc>
          <w:tcPr>
            <w:tcW w:w="4479" w:type="dxa"/>
            <w:tcBorders>
              <w:top w:val="single" w:color="000000" w:sz="2" w:space="0"/>
              <w:bottom w:val="single" w:color="000000" w:sz="2" w:space="0"/>
            </w:tcBorders>
            <w:noWrap w:val="0"/>
            <w:vAlign w:val="top"/>
          </w:tcPr>
          <w:p>
            <w:pPr>
              <w:spacing w:before="128" w:line="310" w:lineRule="exact"/>
              <w:ind w:firstLine="137"/>
              <w:rPr>
                <w:rFonts w:hint="eastAsia" w:ascii="仿宋_GB2312" w:hAnsi="仿宋_GB2312" w:eastAsia="仿宋_GB2312" w:cs="仿宋_GB2312"/>
                <w:spacing w:val="-11"/>
                <w:szCs w:val="21"/>
              </w:rPr>
            </w:pPr>
            <w:r>
              <w:rPr>
                <w:rFonts w:hint="eastAsia" w:ascii="仿宋_GB2312" w:hAnsi="仿宋_GB2312" w:eastAsia="仿宋_GB2312" w:cs="仿宋_GB2312"/>
                <w:spacing w:val="-11"/>
                <w:szCs w:val="21"/>
              </w:rPr>
              <w:sym w:font="Wingdings 2" w:char="00A3"/>
            </w:r>
            <w:r>
              <w:rPr>
                <w:rFonts w:hint="eastAsia" w:ascii="仿宋_GB2312" w:hAnsi="仿宋_GB2312" w:eastAsia="仿宋_GB2312" w:cs="仿宋_GB2312"/>
                <w:spacing w:val="-11"/>
                <w:szCs w:val="21"/>
              </w:rPr>
              <w:t>是属于以上隐患的第__项</w:t>
            </w:r>
          </w:p>
          <w:p>
            <w:pPr>
              <w:spacing w:line="220" w:lineRule="auto"/>
              <w:ind w:firstLine="137"/>
              <w:rPr>
                <w:rFonts w:hint="eastAsia" w:ascii="仿宋_GB2312" w:hAnsi="仿宋_GB2312" w:eastAsia="仿宋_GB2312" w:cs="仿宋_GB2312"/>
                <w:spacing w:val="-11"/>
                <w:szCs w:val="21"/>
              </w:rPr>
            </w:pPr>
            <w:r>
              <w:rPr>
                <w:rFonts w:hint="eastAsia" w:ascii="仿宋_GB2312" w:hAnsi="仿宋_GB2312" w:eastAsia="仿宋_GB2312" w:cs="仿宋_GB2312"/>
                <w:spacing w:val="-11"/>
                <w:szCs w:val="21"/>
              </w:rPr>
              <w:sym w:font="Wingdings 2" w:char="00A3"/>
            </w:r>
            <w:r>
              <w:rPr>
                <w:rFonts w:hint="eastAsia" w:ascii="仿宋_GB2312" w:hAnsi="仿宋_GB2312" w:eastAsia="仿宋_GB2312" w:cs="仿宋_GB2312"/>
                <w:spacing w:val="-11"/>
                <w:szCs w:val="21"/>
              </w:rPr>
              <w:t>否</w:t>
            </w:r>
          </w:p>
        </w:tc>
        <w:tc>
          <w:tcPr>
            <w:tcW w:w="1185" w:type="dxa"/>
            <w:tcBorders>
              <w:top w:val="single" w:color="000000" w:sz="2" w:space="0"/>
              <w:bottom w:val="single" w:color="000000" w:sz="2" w:space="0"/>
            </w:tcBorders>
            <w:noWrap w:val="0"/>
            <w:vAlign w:val="top"/>
          </w:tcPr>
          <w:p>
            <w:pPr>
              <w:spacing w:before="129" w:line="223" w:lineRule="auto"/>
              <w:jc w:val="center"/>
              <w:rPr>
                <w:rFonts w:hint="eastAsia" w:ascii="仿宋_GB2312" w:hAnsi="仿宋_GB2312" w:eastAsia="仿宋_GB2312" w:cs="仿宋_GB2312"/>
                <w:spacing w:val="-11"/>
                <w:szCs w:val="21"/>
              </w:rPr>
            </w:pPr>
            <w:r>
              <w:rPr>
                <w:rFonts w:hint="eastAsia" w:ascii="仿宋_GB2312" w:hAnsi="仿宋_GB2312" w:eastAsia="仿宋_GB2312" w:cs="仿宋_GB2312"/>
                <w:spacing w:val="-11"/>
                <w:szCs w:val="21"/>
              </w:rPr>
              <w:t>□是</w:t>
            </w:r>
          </w:p>
          <w:p>
            <w:pPr>
              <w:spacing w:before="56" w:line="220" w:lineRule="auto"/>
              <w:jc w:val="center"/>
              <w:rPr>
                <w:rFonts w:hint="eastAsia" w:ascii="仿宋_GB2312" w:hAnsi="仿宋_GB2312" w:eastAsia="仿宋_GB2312" w:cs="仿宋_GB2312"/>
                <w:spacing w:val="-11"/>
                <w:szCs w:val="21"/>
              </w:rPr>
            </w:pPr>
            <w:r>
              <w:rPr>
                <w:rFonts w:hint="eastAsia" w:ascii="仿宋_GB2312" w:hAnsi="仿宋_GB2312" w:eastAsia="仿宋_GB2312" w:cs="仿宋_GB2312"/>
                <w:spacing w:val="-1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jc w:val="center"/>
        </w:trPr>
        <w:tc>
          <w:tcPr>
            <w:tcW w:w="750" w:type="dxa"/>
            <w:tcBorders>
              <w:top w:val="single" w:color="000000" w:sz="2" w:space="0"/>
              <w:bottom w:val="single" w:color="000000" w:sz="2" w:space="0"/>
            </w:tcBorders>
            <w:noWrap w:val="0"/>
            <w:vAlign w:val="top"/>
          </w:tcPr>
          <w:p>
            <w:pPr>
              <w:spacing w:before="304" w:line="184" w:lineRule="auto"/>
              <w:ind w:firstLine="334"/>
              <w:rPr>
                <w:rFonts w:hint="eastAsia" w:ascii="仿宋_GB2312" w:hAnsi="仿宋_GB2312" w:eastAsia="仿宋_GB2312" w:cs="仿宋_GB2312"/>
                <w:spacing w:val="-11"/>
                <w:szCs w:val="21"/>
              </w:rPr>
            </w:pPr>
            <w:r>
              <w:rPr>
                <w:rFonts w:hint="eastAsia" w:ascii="仿宋_GB2312" w:hAnsi="仿宋_GB2312" w:eastAsia="仿宋_GB2312" w:cs="仿宋_GB2312"/>
                <w:spacing w:val="-11"/>
                <w:szCs w:val="21"/>
              </w:rPr>
              <w:t>2</w:t>
            </w:r>
          </w:p>
        </w:tc>
        <w:tc>
          <w:tcPr>
            <w:tcW w:w="800" w:type="dxa"/>
            <w:tcBorders>
              <w:top w:val="single" w:color="000000" w:sz="2" w:space="0"/>
              <w:bottom w:val="single" w:color="000000" w:sz="2" w:space="0"/>
            </w:tcBorders>
            <w:noWrap w:val="0"/>
            <w:vAlign w:val="top"/>
          </w:tcPr>
          <w:p>
            <w:pPr>
              <w:rPr>
                <w:rFonts w:hint="eastAsia" w:ascii="仿宋_GB2312" w:hAnsi="仿宋_GB2312" w:eastAsia="仿宋_GB2312" w:cs="仿宋_GB2312"/>
                <w:spacing w:val="-11"/>
                <w:szCs w:val="21"/>
              </w:rPr>
            </w:pPr>
          </w:p>
        </w:tc>
        <w:tc>
          <w:tcPr>
            <w:tcW w:w="894" w:type="dxa"/>
            <w:tcBorders>
              <w:top w:val="single" w:color="000000" w:sz="2" w:space="0"/>
              <w:bottom w:val="single" w:color="000000" w:sz="2" w:space="0"/>
            </w:tcBorders>
            <w:noWrap w:val="0"/>
            <w:vAlign w:val="top"/>
          </w:tcPr>
          <w:p>
            <w:pPr>
              <w:rPr>
                <w:rFonts w:hint="eastAsia" w:ascii="仿宋_GB2312" w:hAnsi="仿宋_GB2312" w:eastAsia="仿宋_GB2312" w:cs="仿宋_GB2312"/>
                <w:spacing w:val="-11"/>
                <w:szCs w:val="21"/>
              </w:rPr>
            </w:pPr>
          </w:p>
        </w:tc>
        <w:tc>
          <w:tcPr>
            <w:tcW w:w="759" w:type="dxa"/>
            <w:tcBorders>
              <w:top w:val="single" w:color="000000" w:sz="2" w:space="0"/>
              <w:bottom w:val="single" w:color="000000" w:sz="2" w:space="0"/>
            </w:tcBorders>
            <w:noWrap w:val="0"/>
            <w:vAlign w:val="top"/>
          </w:tcPr>
          <w:p>
            <w:pPr>
              <w:rPr>
                <w:rFonts w:hint="eastAsia" w:ascii="仿宋_GB2312" w:hAnsi="仿宋_GB2312" w:eastAsia="仿宋_GB2312" w:cs="仿宋_GB2312"/>
                <w:spacing w:val="-11"/>
                <w:szCs w:val="21"/>
              </w:rPr>
            </w:pPr>
          </w:p>
        </w:tc>
        <w:tc>
          <w:tcPr>
            <w:tcW w:w="5047" w:type="dxa"/>
            <w:tcBorders>
              <w:top w:val="single" w:color="000000" w:sz="2" w:space="0"/>
              <w:bottom w:val="single" w:color="000000" w:sz="2" w:space="0"/>
            </w:tcBorders>
            <w:noWrap w:val="0"/>
            <w:vAlign w:val="top"/>
          </w:tcPr>
          <w:p>
            <w:pPr>
              <w:spacing w:before="98" w:line="213" w:lineRule="auto"/>
              <w:ind w:firstLine="113"/>
              <w:rPr>
                <w:rFonts w:hint="eastAsia" w:ascii="仿宋_GB2312" w:hAnsi="仿宋_GB2312" w:eastAsia="仿宋_GB2312" w:cs="仿宋_GB2312"/>
                <w:spacing w:val="-11"/>
                <w:szCs w:val="21"/>
              </w:rPr>
            </w:pPr>
            <w:r>
              <w:rPr>
                <w:rFonts w:hint="eastAsia" w:ascii="仿宋_GB2312" w:hAnsi="仿宋_GB2312" w:eastAsia="仿宋_GB2312" w:cs="仿宋_GB2312"/>
                <w:spacing w:val="-11"/>
                <w:szCs w:val="21"/>
              </w:rPr>
              <w:t>□是属于以上隐患的第__项</w:t>
            </w:r>
          </w:p>
          <w:p>
            <w:pPr>
              <w:spacing w:before="97" w:line="220" w:lineRule="auto"/>
              <w:ind w:firstLine="113"/>
              <w:rPr>
                <w:rFonts w:hint="eastAsia" w:ascii="仿宋_GB2312" w:hAnsi="仿宋_GB2312" w:eastAsia="仿宋_GB2312" w:cs="仿宋_GB2312"/>
                <w:spacing w:val="-11"/>
                <w:szCs w:val="21"/>
              </w:rPr>
            </w:pPr>
            <w:r>
              <w:rPr>
                <w:rFonts w:hint="eastAsia" w:ascii="仿宋_GB2312" w:hAnsi="仿宋_GB2312" w:eastAsia="仿宋_GB2312" w:cs="仿宋_GB2312"/>
                <w:spacing w:val="-11"/>
                <w:szCs w:val="21"/>
              </w:rPr>
              <w:t>□否</w:t>
            </w:r>
          </w:p>
        </w:tc>
        <w:tc>
          <w:tcPr>
            <w:tcW w:w="4479" w:type="dxa"/>
            <w:tcBorders>
              <w:top w:val="single" w:color="000000" w:sz="2" w:space="0"/>
              <w:bottom w:val="single" w:color="000000" w:sz="2" w:space="0"/>
            </w:tcBorders>
            <w:noWrap w:val="0"/>
            <w:vAlign w:val="top"/>
          </w:tcPr>
          <w:p>
            <w:pPr>
              <w:spacing w:before="98" w:line="213" w:lineRule="auto"/>
              <w:ind w:firstLine="137"/>
              <w:rPr>
                <w:rFonts w:hint="eastAsia" w:ascii="仿宋_GB2312" w:hAnsi="仿宋_GB2312" w:eastAsia="仿宋_GB2312" w:cs="仿宋_GB2312"/>
                <w:spacing w:val="-11"/>
                <w:szCs w:val="21"/>
              </w:rPr>
            </w:pPr>
            <w:r>
              <w:rPr>
                <w:rFonts w:hint="eastAsia" w:ascii="仿宋_GB2312" w:hAnsi="仿宋_GB2312" w:eastAsia="仿宋_GB2312" w:cs="仿宋_GB2312"/>
                <w:spacing w:val="-11"/>
                <w:szCs w:val="21"/>
              </w:rPr>
              <w:t>□是属于以上隐患的第__项</w:t>
            </w:r>
          </w:p>
          <w:p>
            <w:pPr>
              <w:spacing w:before="107" w:line="220" w:lineRule="auto"/>
              <w:ind w:firstLine="137"/>
              <w:rPr>
                <w:rFonts w:hint="eastAsia" w:ascii="仿宋_GB2312" w:hAnsi="仿宋_GB2312" w:eastAsia="仿宋_GB2312" w:cs="仿宋_GB2312"/>
                <w:spacing w:val="-11"/>
                <w:szCs w:val="21"/>
              </w:rPr>
            </w:pPr>
            <w:r>
              <w:rPr>
                <w:rFonts w:hint="eastAsia" w:ascii="仿宋_GB2312" w:hAnsi="仿宋_GB2312" w:eastAsia="仿宋_GB2312" w:cs="仿宋_GB2312"/>
                <w:spacing w:val="-11"/>
                <w:szCs w:val="21"/>
              </w:rPr>
              <w:t>□否</w:t>
            </w:r>
          </w:p>
        </w:tc>
        <w:tc>
          <w:tcPr>
            <w:tcW w:w="1185" w:type="dxa"/>
            <w:tcBorders>
              <w:top w:val="single" w:color="000000" w:sz="2" w:space="0"/>
              <w:bottom w:val="single" w:color="000000" w:sz="2" w:space="0"/>
            </w:tcBorders>
            <w:noWrap w:val="0"/>
            <w:vAlign w:val="top"/>
          </w:tcPr>
          <w:p>
            <w:pPr>
              <w:spacing w:before="129" w:line="223" w:lineRule="auto"/>
              <w:jc w:val="center"/>
              <w:rPr>
                <w:rFonts w:hint="eastAsia" w:ascii="仿宋_GB2312" w:hAnsi="仿宋_GB2312" w:eastAsia="仿宋_GB2312" w:cs="仿宋_GB2312"/>
                <w:spacing w:val="-11"/>
                <w:szCs w:val="21"/>
              </w:rPr>
            </w:pPr>
            <w:r>
              <w:rPr>
                <w:rFonts w:hint="eastAsia" w:ascii="仿宋_GB2312" w:hAnsi="仿宋_GB2312" w:eastAsia="仿宋_GB2312" w:cs="仿宋_GB2312"/>
                <w:spacing w:val="-11"/>
                <w:szCs w:val="21"/>
              </w:rPr>
              <w:sym w:font="Wingdings 2" w:char="00A3"/>
            </w:r>
            <w:r>
              <w:rPr>
                <w:rFonts w:hint="eastAsia" w:ascii="仿宋_GB2312" w:hAnsi="仿宋_GB2312" w:eastAsia="仿宋_GB2312" w:cs="仿宋_GB2312"/>
                <w:spacing w:val="-11"/>
                <w:szCs w:val="21"/>
              </w:rPr>
              <w:t>是</w:t>
            </w:r>
          </w:p>
          <w:p>
            <w:pPr>
              <w:spacing w:before="56" w:line="220" w:lineRule="auto"/>
              <w:jc w:val="center"/>
              <w:rPr>
                <w:rFonts w:hint="eastAsia" w:ascii="仿宋_GB2312" w:hAnsi="仿宋_GB2312" w:eastAsia="仿宋_GB2312" w:cs="仿宋_GB2312"/>
                <w:spacing w:val="-11"/>
                <w:szCs w:val="21"/>
              </w:rPr>
            </w:pPr>
            <w:r>
              <w:rPr>
                <w:rFonts w:hint="eastAsia" w:ascii="仿宋_GB2312" w:hAnsi="仿宋_GB2312" w:eastAsia="仿宋_GB2312" w:cs="仿宋_GB2312"/>
                <w:spacing w:val="-1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jc w:val="center"/>
        </w:trPr>
        <w:tc>
          <w:tcPr>
            <w:tcW w:w="750" w:type="dxa"/>
            <w:tcBorders>
              <w:top w:val="single" w:color="000000" w:sz="2" w:space="0"/>
              <w:bottom w:val="single" w:color="000000" w:sz="2" w:space="0"/>
            </w:tcBorders>
            <w:noWrap w:val="0"/>
            <w:vAlign w:val="top"/>
          </w:tcPr>
          <w:p>
            <w:pPr>
              <w:spacing w:before="304" w:line="183" w:lineRule="auto"/>
              <w:ind w:firstLine="334"/>
              <w:rPr>
                <w:rFonts w:hint="eastAsia" w:ascii="仿宋_GB2312" w:hAnsi="仿宋_GB2312" w:eastAsia="仿宋_GB2312" w:cs="仿宋_GB2312"/>
                <w:spacing w:val="-11"/>
                <w:szCs w:val="21"/>
              </w:rPr>
            </w:pPr>
            <w:r>
              <w:rPr>
                <w:rFonts w:hint="eastAsia" w:ascii="仿宋_GB2312" w:hAnsi="仿宋_GB2312" w:eastAsia="仿宋_GB2312" w:cs="仿宋_GB2312"/>
                <w:spacing w:val="-11"/>
                <w:szCs w:val="21"/>
              </w:rPr>
              <w:t>3</w:t>
            </w:r>
          </w:p>
        </w:tc>
        <w:tc>
          <w:tcPr>
            <w:tcW w:w="800" w:type="dxa"/>
            <w:tcBorders>
              <w:top w:val="single" w:color="000000" w:sz="2" w:space="0"/>
              <w:bottom w:val="single" w:color="000000" w:sz="2" w:space="0"/>
            </w:tcBorders>
            <w:noWrap w:val="0"/>
            <w:vAlign w:val="top"/>
          </w:tcPr>
          <w:p>
            <w:pPr>
              <w:rPr>
                <w:rFonts w:hint="eastAsia" w:ascii="仿宋_GB2312" w:hAnsi="仿宋_GB2312" w:eastAsia="仿宋_GB2312" w:cs="仿宋_GB2312"/>
                <w:spacing w:val="-11"/>
                <w:szCs w:val="21"/>
              </w:rPr>
            </w:pPr>
          </w:p>
        </w:tc>
        <w:tc>
          <w:tcPr>
            <w:tcW w:w="894" w:type="dxa"/>
            <w:tcBorders>
              <w:top w:val="single" w:color="000000" w:sz="2" w:space="0"/>
              <w:bottom w:val="single" w:color="000000" w:sz="2" w:space="0"/>
            </w:tcBorders>
            <w:noWrap w:val="0"/>
            <w:vAlign w:val="top"/>
          </w:tcPr>
          <w:p>
            <w:pPr>
              <w:rPr>
                <w:rFonts w:hint="eastAsia" w:ascii="仿宋_GB2312" w:hAnsi="仿宋_GB2312" w:eastAsia="仿宋_GB2312" w:cs="仿宋_GB2312"/>
                <w:spacing w:val="-11"/>
                <w:szCs w:val="21"/>
              </w:rPr>
            </w:pPr>
          </w:p>
        </w:tc>
        <w:tc>
          <w:tcPr>
            <w:tcW w:w="759" w:type="dxa"/>
            <w:tcBorders>
              <w:top w:val="single" w:color="000000" w:sz="2" w:space="0"/>
              <w:bottom w:val="single" w:color="000000" w:sz="2" w:space="0"/>
            </w:tcBorders>
            <w:noWrap w:val="0"/>
            <w:vAlign w:val="top"/>
          </w:tcPr>
          <w:p>
            <w:pPr>
              <w:rPr>
                <w:rFonts w:hint="eastAsia" w:ascii="仿宋_GB2312" w:hAnsi="仿宋_GB2312" w:eastAsia="仿宋_GB2312" w:cs="仿宋_GB2312"/>
                <w:spacing w:val="-11"/>
                <w:szCs w:val="21"/>
              </w:rPr>
            </w:pPr>
          </w:p>
        </w:tc>
        <w:tc>
          <w:tcPr>
            <w:tcW w:w="5047" w:type="dxa"/>
            <w:tcBorders>
              <w:top w:val="single" w:color="000000" w:sz="2" w:space="0"/>
              <w:bottom w:val="single" w:color="000000" w:sz="2" w:space="0"/>
            </w:tcBorders>
            <w:noWrap w:val="0"/>
            <w:vAlign w:val="top"/>
          </w:tcPr>
          <w:p>
            <w:pPr>
              <w:spacing w:before="119" w:line="219" w:lineRule="auto"/>
              <w:ind w:firstLine="113"/>
              <w:rPr>
                <w:rFonts w:hint="eastAsia" w:ascii="仿宋_GB2312" w:hAnsi="仿宋_GB2312" w:eastAsia="仿宋_GB2312" w:cs="仿宋_GB2312"/>
                <w:spacing w:val="-11"/>
                <w:szCs w:val="21"/>
              </w:rPr>
            </w:pPr>
            <w:r>
              <w:rPr>
                <w:rFonts w:hint="eastAsia" w:ascii="仿宋_GB2312" w:hAnsi="仿宋_GB2312" w:eastAsia="仿宋_GB2312" w:cs="仿宋_GB2312"/>
                <w:spacing w:val="-11"/>
                <w:szCs w:val="21"/>
              </w:rPr>
              <w:t>□是属于以上隐患的第项</w:t>
            </w:r>
          </w:p>
          <w:p>
            <w:pPr>
              <w:spacing w:before="60" w:line="220" w:lineRule="auto"/>
              <w:ind w:firstLine="113"/>
              <w:rPr>
                <w:rFonts w:hint="eastAsia" w:ascii="仿宋_GB2312" w:hAnsi="仿宋_GB2312" w:eastAsia="仿宋_GB2312" w:cs="仿宋_GB2312"/>
                <w:spacing w:val="-11"/>
                <w:szCs w:val="21"/>
              </w:rPr>
            </w:pPr>
            <w:r>
              <w:rPr>
                <w:rFonts w:hint="eastAsia" w:ascii="仿宋_GB2312" w:hAnsi="仿宋_GB2312" w:eastAsia="仿宋_GB2312" w:cs="仿宋_GB2312"/>
                <w:spacing w:val="-11"/>
                <w:szCs w:val="21"/>
              </w:rPr>
              <w:t>□否</w:t>
            </w:r>
          </w:p>
        </w:tc>
        <w:tc>
          <w:tcPr>
            <w:tcW w:w="4479" w:type="dxa"/>
            <w:tcBorders>
              <w:top w:val="single" w:color="000000" w:sz="2" w:space="0"/>
              <w:bottom w:val="single" w:color="000000" w:sz="2" w:space="0"/>
            </w:tcBorders>
            <w:noWrap w:val="0"/>
            <w:vAlign w:val="top"/>
          </w:tcPr>
          <w:p>
            <w:pPr>
              <w:spacing w:before="109" w:line="320" w:lineRule="exact"/>
              <w:ind w:firstLine="137"/>
              <w:rPr>
                <w:rFonts w:hint="eastAsia" w:ascii="仿宋_GB2312" w:hAnsi="仿宋_GB2312" w:eastAsia="仿宋_GB2312" w:cs="仿宋_GB2312"/>
                <w:spacing w:val="-11"/>
                <w:szCs w:val="21"/>
              </w:rPr>
            </w:pPr>
            <w:r>
              <w:rPr>
                <w:rFonts w:hint="eastAsia" w:ascii="仿宋_GB2312" w:hAnsi="仿宋_GB2312" w:eastAsia="仿宋_GB2312" w:cs="仿宋_GB2312"/>
                <w:spacing w:val="-11"/>
                <w:szCs w:val="21"/>
              </w:rPr>
              <w:t>□是属于以上隐患的第__项</w:t>
            </w:r>
          </w:p>
          <w:p>
            <w:pPr>
              <w:spacing w:line="220" w:lineRule="auto"/>
              <w:ind w:firstLine="137"/>
              <w:rPr>
                <w:rFonts w:hint="eastAsia" w:ascii="仿宋_GB2312" w:hAnsi="仿宋_GB2312" w:eastAsia="仿宋_GB2312" w:cs="仿宋_GB2312"/>
                <w:spacing w:val="-11"/>
                <w:szCs w:val="21"/>
              </w:rPr>
            </w:pPr>
            <w:r>
              <w:rPr>
                <w:rFonts w:hint="eastAsia" w:ascii="仿宋_GB2312" w:hAnsi="仿宋_GB2312" w:eastAsia="仿宋_GB2312" w:cs="仿宋_GB2312"/>
                <w:spacing w:val="-11"/>
                <w:szCs w:val="21"/>
              </w:rPr>
              <w:sym w:font="Wingdings 2" w:char="00A3"/>
            </w:r>
            <w:r>
              <w:rPr>
                <w:rFonts w:hint="eastAsia" w:ascii="仿宋_GB2312" w:hAnsi="仿宋_GB2312" w:eastAsia="仿宋_GB2312" w:cs="仿宋_GB2312"/>
                <w:spacing w:val="-11"/>
                <w:szCs w:val="21"/>
              </w:rPr>
              <w:t>否</w:t>
            </w:r>
          </w:p>
        </w:tc>
        <w:tc>
          <w:tcPr>
            <w:tcW w:w="1185" w:type="dxa"/>
            <w:tcBorders>
              <w:top w:val="single" w:color="000000" w:sz="2" w:space="0"/>
              <w:bottom w:val="single" w:color="000000" w:sz="2" w:space="0"/>
            </w:tcBorders>
            <w:noWrap w:val="0"/>
            <w:vAlign w:val="top"/>
          </w:tcPr>
          <w:p>
            <w:pPr>
              <w:spacing w:before="129" w:line="223" w:lineRule="auto"/>
              <w:jc w:val="center"/>
              <w:rPr>
                <w:rFonts w:hint="eastAsia" w:ascii="仿宋_GB2312" w:hAnsi="仿宋_GB2312" w:eastAsia="仿宋_GB2312" w:cs="仿宋_GB2312"/>
                <w:spacing w:val="-11"/>
                <w:szCs w:val="21"/>
              </w:rPr>
            </w:pPr>
            <w:r>
              <w:rPr>
                <w:rFonts w:hint="eastAsia" w:ascii="仿宋_GB2312" w:hAnsi="仿宋_GB2312" w:eastAsia="仿宋_GB2312" w:cs="仿宋_GB2312"/>
                <w:spacing w:val="-11"/>
                <w:szCs w:val="21"/>
              </w:rPr>
              <w:t>□是</w:t>
            </w:r>
          </w:p>
          <w:p>
            <w:pPr>
              <w:spacing w:before="46" w:line="220" w:lineRule="auto"/>
              <w:jc w:val="center"/>
              <w:rPr>
                <w:rFonts w:hint="eastAsia" w:ascii="仿宋_GB2312" w:hAnsi="仿宋_GB2312" w:eastAsia="仿宋_GB2312" w:cs="仿宋_GB2312"/>
                <w:spacing w:val="-11"/>
                <w:szCs w:val="21"/>
              </w:rPr>
            </w:pPr>
            <w:r>
              <w:rPr>
                <w:rFonts w:hint="eastAsia" w:ascii="仿宋_GB2312" w:hAnsi="仿宋_GB2312" w:eastAsia="仿宋_GB2312" w:cs="仿宋_GB2312"/>
                <w:spacing w:val="-11"/>
                <w:szCs w:val="21"/>
              </w:rPr>
              <w:t>□否</w:t>
            </w:r>
          </w:p>
        </w:tc>
      </w:tr>
    </w:tbl>
    <w:p>
      <w:pPr>
        <w:rPr>
          <w:rFonts w:ascii="Times New Roman" w:hAnsi="Times New Roman"/>
        </w:rPr>
      </w:pPr>
    </w:p>
    <w:p>
      <w:pPr>
        <w:rPr>
          <w:rFonts w:ascii="Times New Roman" w:hAnsi="Times New Roman"/>
        </w:rPr>
        <w:sectPr>
          <w:footerReference r:id="rId5" w:type="default"/>
          <w:pgSz w:w="16840" w:h="11907" w:orient="landscape"/>
          <w:pgMar w:top="1134" w:right="1417" w:bottom="1134" w:left="1417" w:header="0" w:footer="1418" w:gutter="0"/>
          <w:cols w:space="720" w:num="1"/>
        </w:sectPr>
      </w:pPr>
    </w:p>
    <w:p>
      <w:pPr>
        <w:spacing w:before="104" w:line="223" w:lineRule="auto"/>
        <w:rPr>
          <w:rFonts w:hint="eastAsia" w:ascii="黑体" w:hAnsi="黑体" w:eastAsia="黑体" w:cs="黑体"/>
          <w:sz w:val="32"/>
          <w:szCs w:val="32"/>
        </w:rPr>
      </w:pPr>
      <w:r>
        <w:rPr>
          <w:rFonts w:hint="eastAsia" w:ascii="黑体" w:hAnsi="黑体" w:eastAsia="黑体" w:cs="黑体"/>
          <w:spacing w:val="-1"/>
          <w:sz w:val="32"/>
          <w:szCs w:val="32"/>
        </w:rPr>
        <w:t>附件5</w:t>
      </w:r>
    </w:p>
    <w:p>
      <w:pPr>
        <w:spacing w:before="119" w:line="219" w:lineRule="auto"/>
        <w:ind w:firstLine="3711"/>
        <w:rPr>
          <w:rFonts w:ascii="Times New Roman" w:hAnsi="Times New Roman" w:eastAsia="方正小标宋简体"/>
          <w:sz w:val="40"/>
          <w:szCs w:val="40"/>
        </w:rPr>
      </w:pPr>
      <w:r>
        <w:rPr>
          <w:rFonts w:ascii="Times New Roman" w:hAnsi="方正小标宋简体" w:eastAsia="方正小标宋简体"/>
          <w:sz w:val="40"/>
          <w:szCs w:val="40"/>
        </w:rPr>
        <w:t>全</w:t>
      </w:r>
      <w:r>
        <w:rPr>
          <w:rFonts w:hint="eastAsia" w:ascii="Times New Roman" w:hAnsi="方正小标宋简体" w:eastAsia="方正小标宋简体"/>
          <w:sz w:val="40"/>
          <w:szCs w:val="40"/>
        </w:rPr>
        <w:t>区</w:t>
      </w:r>
      <w:r>
        <w:rPr>
          <w:rFonts w:ascii="Times New Roman" w:hAnsi="方正小标宋简体" w:eastAsia="方正小标宋简体"/>
          <w:sz w:val="40"/>
          <w:szCs w:val="40"/>
        </w:rPr>
        <w:t>自建房摸底排查数量统计表</w:t>
      </w:r>
    </w:p>
    <w:p>
      <w:pPr>
        <w:pStyle w:val="7"/>
      </w:pPr>
    </w:p>
    <w:p>
      <w:pPr>
        <w:spacing w:line="170" w:lineRule="exact"/>
        <w:rPr>
          <w:rFonts w:ascii="Times New Roman" w:hAnsi="Times New Roman"/>
        </w:rPr>
      </w:pPr>
    </w:p>
    <w:tbl>
      <w:tblPr>
        <w:tblStyle w:val="4"/>
        <w:tblW w:w="0" w:type="auto"/>
        <w:tblInd w:w="-4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1"/>
        <w:gridCol w:w="579"/>
        <w:gridCol w:w="567"/>
        <w:gridCol w:w="851"/>
        <w:gridCol w:w="749"/>
        <w:gridCol w:w="527"/>
        <w:gridCol w:w="890"/>
        <w:gridCol w:w="851"/>
        <w:gridCol w:w="567"/>
        <w:gridCol w:w="1134"/>
        <w:gridCol w:w="1134"/>
        <w:gridCol w:w="1134"/>
        <w:gridCol w:w="992"/>
        <w:gridCol w:w="2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981" w:type="dxa"/>
            <w:vMerge w:val="restart"/>
            <w:tcBorders>
              <w:top w:val="single" w:color="000000" w:sz="2" w:space="0"/>
              <w:bottom w:val="nil"/>
            </w:tcBorders>
            <w:noWrap w:val="0"/>
            <w:vAlign w:val="center"/>
          </w:tcPr>
          <w:p>
            <w:pPr>
              <w:spacing w:line="320" w:lineRule="exact"/>
              <w:jc w:val="center"/>
              <w:rPr>
                <w:rFonts w:hint="eastAsia" w:ascii="黑体" w:hAnsi="黑体" w:eastAsia="黑体" w:cs="黑体"/>
                <w:sz w:val="24"/>
                <w:szCs w:val="24"/>
              </w:rPr>
            </w:pPr>
          </w:p>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乡镇（工作局）</w:t>
            </w:r>
          </w:p>
        </w:tc>
        <w:tc>
          <w:tcPr>
            <w:tcW w:w="579" w:type="dxa"/>
            <w:vMerge w:val="restart"/>
            <w:tcBorders>
              <w:top w:val="single" w:color="000000" w:sz="2" w:space="0"/>
              <w:bottom w:val="nil"/>
            </w:tcBorders>
            <w:noWrap w:val="0"/>
            <w:vAlign w:val="center"/>
          </w:tcPr>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居民自建房总</w:t>
            </w:r>
          </w:p>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数 （个）</w:t>
            </w:r>
          </w:p>
        </w:tc>
        <w:tc>
          <w:tcPr>
            <w:tcW w:w="2167" w:type="dxa"/>
            <w:gridSpan w:val="3"/>
            <w:tcBorders>
              <w:top w:val="single" w:color="000000" w:sz="2" w:space="0"/>
              <w:bottom w:val="single" w:color="000000" w:sz="2" w:space="0"/>
            </w:tcBorders>
            <w:noWrap w:val="0"/>
            <w:vAlign w:val="center"/>
          </w:tcPr>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纯居住场所</w:t>
            </w:r>
          </w:p>
        </w:tc>
        <w:tc>
          <w:tcPr>
            <w:tcW w:w="2268" w:type="dxa"/>
            <w:gridSpan w:val="3"/>
            <w:tcBorders>
              <w:top w:val="single" w:color="000000" w:sz="2" w:space="0"/>
              <w:bottom w:val="single" w:color="000000" w:sz="2" w:space="0"/>
            </w:tcBorders>
            <w:noWrap w:val="0"/>
            <w:vAlign w:val="center"/>
          </w:tcPr>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群租房</w:t>
            </w:r>
          </w:p>
        </w:tc>
        <w:tc>
          <w:tcPr>
            <w:tcW w:w="2835" w:type="dxa"/>
            <w:gridSpan w:val="3"/>
            <w:tcBorders>
              <w:top w:val="single" w:color="000000" w:sz="2" w:space="0"/>
              <w:bottom w:val="single" w:color="000000" w:sz="2" w:space="0"/>
            </w:tcBorders>
            <w:noWrap w:val="0"/>
            <w:vAlign w:val="center"/>
          </w:tcPr>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经营性场所</w:t>
            </w:r>
          </w:p>
        </w:tc>
        <w:tc>
          <w:tcPr>
            <w:tcW w:w="4417" w:type="dxa"/>
            <w:gridSpan w:val="3"/>
            <w:tcBorders>
              <w:top w:val="single" w:color="000000" w:sz="2" w:space="0"/>
              <w:bottom w:val="single" w:color="000000" w:sz="2" w:space="0"/>
            </w:tcBorders>
            <w:noWrap w:val="0"/>
            <w:vAlign w:val="center"/>
          </w:tcPr>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其中经营性场所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81" w:type="dxa"/>
            <w:vMerge w:val="continue"/>
            <w:tcBorders>
              <w:top w:val="nil"/>
              <w:bottom w:val="single" w:color="000000" w:sz="2" w:space="0"/>
            </w:tcBorders>
            <w:noWrap w:val="0"/>
            <w:vAlign w:val="center"/>
          </w:tcPr>
          <w:p>
            <w:pPr>
              <w:spacing w:line="320" w:lineRule="exact"/>
              <w:jc w:val="center"/>
              <w:rPr>
                <w:rFonts w:hint="eastAsia" w:ascii="黑体" w:hAnsi="黑体" w:eastAsia="黑体" w:cs="黑体"/>
                <w:sz w:val="24"/>
                <w:szCs w:val="24"/>
              </w:rPr>
            </w:pPr>
          </w:p>
        </w:tc>
        <w:tc>
          <w:tcPr>
            <w:tcW w:w="579" w:type="dxa"/>
            <w:vMerge w:val="continue"/>
            <w:tcBorders>
              <w:top w:val="nil"/>
              <w:bottom w:val="single" w:color="000000" w:sz="2" w:space="0"/>
            </w:tcBorders>
            <w:noWrap w:val="0"/>
            <w:vAlign w:val="center"/>
          </w:tcPr>
          <w:p>
            <w:pPr>
              <w:spacing w:line="320" w:lineRule="exact"/>
              <w:jc w:val="center"/>
              <w:rPr>
                <w:rFonts w:hint="eastAsia" w:ascii="黑体" w:hAnsi="黑体" w:eastAsia="黑体" w:cs="黑体"/>
                <w:sz w:val="24"/>
                <w:szCs w:val="24"/>
              </w:rPr>
            </w:pPr>
          </w:p>
        </w:tc>
        <w:tc>
          <w:tcPr>
            <w:tcW w:w="567" w:type="dxa"/>
            <w:tcBorders>
              <w:top w:val="single" w:color="000000" w:sz="2" w:space="0"/>
              <w:bottom w:val="single" w:color="000000" w:sz="2" w:space="0"/>
            </w:tcBorders>
            <w:noWrap w:val="0"/>
            <w:vAlign w:val="center"/>
          </w:tcPr>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合计</w:t>
            </w:r>
          </w:p>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（个）</w:t>
            </w:r>
          </w:p>
        </w:tc>
        <w:tc>
          <w:tcPr>
            <w:tcW w:w="851" w:type="dxa"/>
            <w:tcBorders>
              <w:top w:val="single" w:color="000000" w:sz="2" w:space="0"/>
              <w:bottom w:val="single" w:color="000000" w:sz="2" w:space="0"/>
            </w:tcBorders>
            <w:noWrap w:val="0"/>
            <w:vAlign w:val="center"/>
          </w:tcPr>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室内设</w:t>
            </w:r>
          </w:p>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置电动</w:t>
            </w:r>
          </w:p>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自行车</w:t>
            </w:r>
          </w:p>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停放充</w:t>
            </w:r>
          </w:p>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电场所</w:t>
            </w:r>
          </w:p>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（个）</w:t>
            </w:r>
          </w:p>
        </w:tc>
        <w:tc>
          <w:tcPr>
            <w:tcW w:w="749" w:type="dxa"/>
            <w:tcBorders>
              <w:top w:val="single" w:color="000000" w:sz="2" w:space="0"/>
              <w:bottom w:val="single" w:color="000000" w:sz="2" w:space="0"/>
            </w:tcBorders>
            <w:noWrap w:val="0"/>
            <w:vAlign w:val="center"/>
          </w:tcPr>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室内未</w:t>
            </w:r>
          </w:p>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设置电</w:t>
            </w:r>
          </w:p>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动自行</w:t>
            </w:r>
          </w:p>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车停放</w:t>
            </w:r>
          </w:p>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充电场</w:t>
            </w:r>
          </w:p>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所</w:t>
            </w:r>
          </w:p>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（个）</w:t>
            </w:r>
          </w:p>
        </w:tc>
        <w:tc>
          <w:tcPr>
            <w:tcW w:w="527" w:type="dxa"/>
            <w:tcBorders>
              <w:top w:val="single" w:color="000000" w:sz="2" w:space="0"/>
              <w:bottom w:val="single" w:color="000000" w:sz="2" w:space="0"/>
            </w:tcBorders>
            <w:noWrap w:val="0"/>
            <w:vAlign w:val="center"/>
          </w:tcPr>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合计</w:t>
            </w:r>
          </w:p>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（个）</w:t>
            </w:r>
          </w:p>
        </w:tc>
        <w:tc>
          <w:tcPr>
            <w:tcW w:w="890" w:type="dxa"/>
            <w:tcBorders>
              <w:top w:val="single" w:color="000000" w:sz="2" w:space="0"/>
              <w:bottom w:val="single" w:color="000000" w:sz="2" w:space="0"/>
            </w:tcBorders>
            <w:noWrap w:val="0"/>
            <w:vAlign w:val="center"/>
          </w:tcPr>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室内设</w:t>
            </w:r>
          </w:p>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置电动</w:t>
            </w:r>
          </w:p>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自行车</w:t>
            </w:r>
          </w:p>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停放充</w:t>
            </w:r>
          </w:p>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电场所</w:t>
            </w:r>
          </w:p>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（个</w:t>
            </w:r>
          </w:p>
        </w:tc>
        <w:tc>
          <w:tcPr>
            <w:tcW w:w="851" w:type="dxa"/>
            <w:tcBorders>
              <w:top w:val="single" w:color="000000" w:sz="2" w:space="0"/>
              <w:bottom w:val="single" w:color="000000" w:sz="2" w:space="0"/>
            </w:tcBorders>
            <w:noWrap w:val="0"/>
            <w:vAlign w:val="center"/>
          </w:tcPr>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室内未</w:t>
            </w:r>
          </w:p>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设置电</w:t>
            </w:r>
          </w:p>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动自行</w:t>
            </w:r>
          </w:p>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车停放</w:t>
            </w:r>
          </w:p>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充电场</w:t>
            </w:r>
          </w:p>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所</w:t>
            </w:r>
          </w:p>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（个）</w:t>
            </w:r>
          </w:p>
        </w:tc>
        <w:tc>
          <w:tcPr>
            <w:tcW w:w="567" w:type="dxa"/>
            <w:tcBorders>
              <w:top w:val="single" w:color="000000" w:sz="2" w:space="0"/>
              <w:bottom w:val="single" w:color="000000" w:sz="2" w:space="0"/>
            </w:tcBorders>
            <w:noWrap w:val="0"/>
            <w:vAlign w:val="center"/>
          </w:tcPr>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合计</w:t>
            </w:r>
          </w:p>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（个）</w:t>
            </w:r>
          </w:p>
        </w:tc>
        <w:tc>
          <w:tcPr>
            <w:tcW w:w="1134" w:type="dxa"/>
            <w:tcBorders>
              <w:top w:val="single" w:color="000000" w:sz="2" w:space="0"/>
              <w:bottom w:val="single" w:color="000000" w:sz="2" w:space="0"/>
            </w:tcBorders>
            <w:noWrap w:val="0"/>
            <w:vAlign w:val="center"/>
          </w:tcPr>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室内设</w:t>
            </w:r>
          </w:p>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置电动</w:t>
            </w:r>
          </w:p>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自行车</w:t>
            </w:r>
          </w:p>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停放充</w:t>
            </w:r>
          </w:p>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电场所</w:t>
            </w:r>
          </w:p>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（个）</w:t>
            </w:r>
          </w:p>
        </w:tc>
        <w:tc>
          <w:tcPr>
            <w:tcW w:w="1134" w:type="dxa"/>
            <w:tcBorders>
              <w:top w:val="single" w:color="000000" w:sz="2" w:space="0"/>
              <w:bottom w:val="single" w:color="000000" w:sz="2" w:space="0"/>
            </w:tcBorders>
            <w:noWrap w:val="0"/>
            <w:vAlign w:val="center"/>
          </w:tcPr>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室内未设 置电动自</w:t>
            </w:r>
          </w:p>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行车停放</w:t>
            </w:r>
          </w:p>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充电场所</w:t>
            </w:r>
          </w:p>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（个）</w:t>
            </w:r>
          </w:p>
        </w:tc>
        <w:tc>
          <w:tcPr>
            <w:tcW w:w="1134" w:type="dxa"/>
            <w:tcBorders>
              <w:top w:val="single" w:color="000000" w:sz="2" w:space="0"/>
              <w:bottom w:val="single" w:color="000000" w:sz="2" w:space="0"/>
            </w:tcBorders>
            <w:noWrap w:val="0"/>
            <w:vAlign w:val="center"/>
          </w:tcPr>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住宿与非住宿区域 之间未按要求设置防火分隔</w:t>
            </w:r>
          </w:p>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（个）</w:t>
            </w:r>
          </w:p>
        </w:tc>
        <w:tc>
          <w:tcPr>
            <w:tcW w:w="992" w:type="dxa"/>
            <w:tcBorders>
              <w:top w:val="single" w:color="000000" w:sz="2" w:space="0"/>
              <w:bottom w:val="single" w:color="000000" w:sz="2" w:space="0"/>
            </w:tcBorders>
            <w:noWrap w:val="0"/>
            <w:vAlign w:val="center"/>
          </w:tcPr>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加设夹</w:t>
            </w:r>
          </w:p>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层违规</w:t>
            </w:r>
          </w:p>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住人</w:t>
            </w:r>
          </w:p>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（个）</w:t>
            </w:r>
          </w:p>
        </w:tc>
        <w:tc>
          <w:tcPr>
            <w:tcW w:w="2291" w:type="dxa"/>
            <w:tcBorders>
              <w:top w:val="single" w:color="000000" w:sz="2" w:space="0"/>
              <w:bottom w:val="single" w:color="000000" w:sz="2" w:space="0"/>
            </w:tcBorders>
            <w:noWrap w:val="0"/>
            <w:vAlign w:val="center"/>
          </w:tcPr>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储存、经营易燃易爆危险品的自建房违规设 置居住场所</w:t>
            </w:r>
          </w:p>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981"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c>
          <w:tcPr>
            <w:tcW w:w="579"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c>
          <w:tcPr>
            <w:tcW w:w="567"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c>
          <w:tcPr>
            <w:tcW w:w="851"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c>
          <w:tcPr>
            <w:tcW w:w="749"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c>
          <w:tcPr>
            <w:tcW w:w="527"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c>
          <w:tcPr>
            <w:tcW w:w="890"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c>
          <w:tcPr>
            <w:tcW w:w="851"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c>
          <w:tcPr>
            <w:tcW w:w="567"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c>
          <w:tcPr>
            <w:tcW w:w="1134"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c>
          <w:tcPr>
            <w:tcW w:w="1134"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c>
          <w:tcPr>
            <w:tcW w:w="1134"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c>
          <w:tcPr>
            <w:tcW w:w="992"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c>
          <w:tcPr>
            <w:tcW w:w="2291"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981"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c>
          <w:tcPr>
            <w:tcW w:w="579"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c>
          <w:tcPr>
            <w:tcW w:w="567"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c>
          <w:tcPr>
            <w:tcW w:w="851"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c>
          <w:tcPr>
            <w:tcW w:w="749"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c>
          <w:tcPr>
            <w:tcW w:w="527"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c>
          <w:tcPr>
            <w:tcW w:w="890"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c>
          <w:tcPr>
            <w:tcW w:w="851"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c>
          <w:tcPr>
            <w:tcW w:w="567"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c>
          <w:tcPr>
            <w:tcW w:w="1134"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c>
          <w:tcPr>
            <w:tcW w:w="1134"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c>
          <w:tcPr>
            <w:tcW w:w="1134"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c>
          <w:tcPr>
            <w:tcW w:w="992"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c>
          <w:tcPr>
            <w:tcW w:w="2291"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981"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c>
          <w:tcPr>
            <w:tcW w:w="579"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c>
          <w:tcPr>
            <w:tcW w:w="567"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c>
          <w:tcPr>
            <w:tcW w:w="851"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c>
          <w:tcPr>
            <w:tcW w:w="749"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c>
          <w:tcPr>
            <w:tcW w:w="527"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c>
          <w:tcPr>
            <w:tcW w:w="890"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c>
          <w:tcPr>
            <w:tcW w:w="851"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c>
          <w:tcPr>
            <w:tcW w:w="567"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c>
          <w:tcPr>
            <w:tcW w:w="1134"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c>
          <w:tcPr>
            <w:tcW w:w="1134"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c>
          <w:tcPr>
            <w:tcW w:w="1134"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c>
          <w:tcPr>
            <w:tcW w:w="992"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c>
          <w:tcPr>
            <w:tcW w:w="2291"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1" w:type="dxa"/>
            <w:tcBorders>
              <w:top w:val="single" w:color="000000" w:sz="2" w:space="0"/>
              <w:bottom w:val="single" w:color="000000" w:sz="2" w:space="0"/>
            </w:tcBorders>
            <w:noWrap w:val="0"/>
            <w:vAlign w:val="center"/>
          </w:tcPr>
          <w:p>
            <w:pPr>
              <w:spacing w:line="320" w:lineRule="exact"/>
              <w:jc w:val="center"/>
              <w:rPr>
                <w:rFonts w:hint="eastAsia" w:ascii="黑体" w:hAnsi="黑体" w:eastAsia="黑体" w:cs="黑体"/>
                <w:sz w:val="24"/>
                <w:szCs w:val="24"/>
              </w:rPr>
            </w:pPr>
            <w:r>
              <w:rPr>
                <w:rFonts w:hint="eastAsia" w:ascii="黑体" w:hAnsi="黑体" w:eastAsia="黑体" w:cs="黑体"/>
                <w:sz w:val="24"/>
                <w:szCs w:val="24"/>
              </w:rPr>
              <w:t>合 计</w:t>
            </w:r>
          </w:p>
        </w:tc>
        <w:tc>
          <w:tcPr>
            <w:tcW w:w="579"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c>
          <w:tcPr>
            <w:tcW w:w="567"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c>
          <w:tcPr>
            <w:tcW w:w="851"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c>
          <w:tcPr>
            <w:tcW w:w="749"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c>
          <w:tcPr>
            <w:tcW w:w="527"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c>
          <w:tcPr>
            <w:tcW w:w="890"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c>
          <w:tcPr>
            <w:tcW w:w="851"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c>
          <w:tcPr>
            <w:tcW w:w="567"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c>
          <w:tcPr>
            <w:tcW w:w="1134"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c>
          <w:tcPr>
            <w:tcW w:w="1134"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c>
          <w:tcPr>
            <w:tcW w:w="1134"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c>
          <w:tcPr>
            <w:tcW w:w="992"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c>
          <w:tcPr>
            <w:tcW w:w="2291" w:type="dxa"/>
            <w:tcBorders>
              <w:top w:val="single" w:color="000000" w:sz="2" w:space="0"/>
              <w:bottom w:val="single" w:color="000000" w:sz="2" w:space="0"/>
            </w:tcBorders>
            <w:noWrap w:val="0"/>
            <w:vAlign w:val="center"/>
          </w:tcPr>
          <w:p>
            <w:pPr>
              <w:spacing w:line="320" w:lineRule="exact"/>
              <w:rPr>
                <w:rFonts w:hint="eastAsia" w:ascii="黑体" w:hAnsi="黑体" w:eastAsia="黑体" w:cs="黑体"/>
                <w:sz w:val="24"/>
                <w:szCs w:val="24"/>
              </w:rPr>
            </w:pPr>
          </w:p>
        </w:tc>
      </w:tr>
    </w:tbl>
    <w:p>
      <w:pPr>
        <w:spacing w:line="161" w:lineRule="exact"/>
        <w:rPr>
          <w:rFonts w:ascii="Times New Roman" w:hAnsi="Times New Roman" w:eastAsia="宋体"/>
          <w:sz w:val="14"/>
        </w:rPr>
      </w:pPr>
    </w:p>
    <w:p>
      <w:pPr>
        <w:spacing w:line="14" w:lineRule="auto"/>
        <w:ind w:firstLine="284" w:firstLineChars="100"/>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2"/>
          <w:sz w:val="28"/>
          <w:szCs w:val="28"/>
        </w:rPr>
        <w:t xml:space="preserve">填表人:                      </w:t>
      </w:r>
      <w:r>
        <w:rPr>
          <w:rFonts w:hint="eastAsia" w:ascii="仿宋_GB2312" w:hAnsi="仿宋_GB2312" w:eastAsia="仿宋_GB2312" w:cs="仿宋_GB2312"/>
          <w:spacing w:val="-1"/>
          <w:sz w:val="28"/>
          <w:szCs w:val="28"/>
        </w:rPr>
        <w:t>填表时间:                              审核人:</w:t>
      </w:r>
    </w:p>
    <w:p>
      <w:bookmarkStart w:id="0" w:name="_GoBack"/>
      <w:bookmarkEnd w:id="0"/>
    </w:p>
    <w:sectPr>
      <w:footerReference r:id="rId6" w:type="default"/>
      <w:pgSz w:w="16838" w:h="11906" w:orient="landscape"/>
      <w:pgMar w:top="1588" w:right="2098" w:bottom="1474" w:left="1985" w:header="851" w:footer="1418"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ascii="Times New Roman" w:hAnsi="Times New Roman" w:eastAsia="宋体"/>
        <w:sz w:val="24"/>
        <w:szCs w:val="24"/>
      </w:rPr>
    </w:pPr>
    <w:r>
      <w:rPr>
        <w:rStyle w:val="6"/>
        <w:rFonts w:ascii="Times New Roman" w:hAnsi="Times New Roman" w:eastAsia="宋体"/>
        <w:sz w:val="24"/>
        <w:szCs w:val="24"/>
      </w:rPr>
      <w:t xml:space="preserve">— </w:t>
    </w:r>
    <w:r>
      <w:rPr>
        <w:rFonts w:ascii="Times New Roman" w:hAnsi="Times New Roman" w:eastAsia="宋体"/>
        <w:sz w:val="24"/>
        <w:szCs w:val="24"/>
      </w:rPr>
      <w:fldChar w:fldCharType="begin"/>
    </w:r>
    <w:r>
      <w:rPr>
        <w:rStyle w:val="6"/>
        <w:rFonts w:ascii="Times New Roman" w:hAnsi="Times New Roman" w:eastAsia="宋体"/>
        <w:sz w:val="24"/>
        <w:szCs w:val="24"/>
      </w:rPr>
      <w:instrText xml:space="preserve">PAGE  </w:instrText>
    </w:r>
    <w:r>
      <w:rPr>
        <w:rFonts w:ascii="Times New Roman" w:hAnsi="Times New Roman" w:eastAsia="宋体"/>
        <w:sz w:val="24"/>
        <w:szCs w:val="24"/>
      </w:rPr>
      <w:fldChar w:fldCharType="separate"/>
    </w:r>
    <w:r>
      <w:rPr>
        <w:rStyle w:val="6"/>
        <w:rFonts w:ascii="Times New Roman" w:hAnsi="Times New Roman" w:eastAsia="宋体"/>
        <w:sz w:val="24"/>
        <w:szCs w:val="24"/>
      </w:rPr>
      <w:t>1</w:t>
    </w:r>
    <w:r>
      <w:rPr>
        <w:rFonts w:ascii="Times New Roman" w:hAnsi="Times New Roman" w:eastAsia="宋体"/>
        <w:sz w:val="24"/>
        <w:szCs w:val="24"/>
      </w:rPr>
      <w:fldChar w:fldCharType="end"/>
    </w:r>
    <w:r>
      <w:rPr>
        <w:rStyle w:val="6"/>
        <w:rFonts w:ascii="Times New Roman" w:hAnsi="Times New Roman" w:eastAsia="宋体"/>
        <w:sz w:val="24"/>
        <w:szCs w:val="24"/>
      </w:rPr>
      <w:t xml:space="preserve"> —</w:t>
    </w:r>
  </w:p>
  <w:p>
    <w:pPr>
      <w:pStyle w:val="3"/>
      <w:ind w:right="360" w:firstLine="360"/>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separate"/>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ascii="Times New Roman" w:hAnsi="Times New Roman" w:eastAsia="宋体"/>
        <w:sz w:val="24"/>
        <w:szCs w:val="24"/>
      </w:rPr>
    </w:pPr>
    <w:r>
      <w:rPr>
        <w:rStyle w:val="6"/>
        <w:rFonts w:ascii="Times New Roman" w:hAnsi="Times New Roman" w:eastAsia="宋体"/>
        <w:sz w:val="24"/>
        <w:szCs w:val="24"/>
      </w:rPr>
      <w:t xml:space="preserve">— </w:t>
    </w:r>
    <w:r>
      <w:rPr>
        <w:rFonts w:ascii="Times New Roman" w:hAnsi="Times New Roman" w:eastAsia="宋体"/>
        <w:sz w:val="24"/>
        <w:szCs w:val="24"/>
      </w:rPr>
      <w:fldChar w:fldCharType="begin"/>
    </w:r>
    <w:r>
      <w:rPr>
        <w:rStyle w:val="6"/>
        <w:rFonts w:ascii="Times New Roman" w:hAnsi="Times New Roman" w:eastAsia="宋体"/>
        <w:sz w:val="24"/>
        <w:szCs w:val="24"/>
      </w:rPr>
      <w:instrText xml:space="preserve">PAGE  </w:instrText>
    </w:r>
    <w:r>
      <w:rPr>
        <w:rFonts w:ascii="Times New Roman" w:hAnsi="Times New Roman" w:eastAsia="宋体"/>
        <w:sz w:val="24"/>
        <w:szCs w:val="24"/>
      </w:rPr>
      <w:fldChar w:fldCharType="separate"/>
    </w:r>
    <w:r>
      <w:rPr>
        <w:rStyle w:val="6"/>
        <w:rFonts w:ascii="Times New Roman" w:hAnsi="Times New Roman" w:eastAsia="宋体"/>
        <w:sz w:val="24"/>
        <w:szCs w:val="24"/>
      </w:rPr>
      <w:t>26</w:t>
    </w:r>
    <w:r>
      <w:rPr>
        <w:rFonts w:ascii="Times New Roman" w:hAnsi="Times New Roman" w:eastAsia="宋体"/>
        <w:sz w:val="24"/>
        <w:szCs w:val="24"/>
      </w:rPr>
      <w:fldChar w:fldCharType="end"/>
    </w:r>
    <w:r>
      <w:rPr>
        <w:rStyle w:val="6"/>
        <w:rFonts w:ascii="Times New Roman" w:hAnsi="Times New Roman" w:eastAsia="宋体"/>
        <w:sz w:val="24"/>
        <w:szCs w:val="24"/>
      </w:rPr>
      <w:t xml:space="preserve"> —</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ascii="Times New Roman" w:hAnsi="Times New Roman" w:eastAsia="宋体"/>
        <w:sz w:val="24"/>
        <w:szCs w:val="24"/>
      </w:rPr>
    </w:pPr>
    <w:r>
      <w:rPr>
        <w:rStyle w:val="6"/>
        <w:rFonts w:ascii="Times New Roman" w:hAnsi="Times New Roman" w:eastAsia="宋体"/>
        <w:sz w:val="24"/>
        <w:szCs w:val="24"/>
      </w:rPr>
      <w:t xml:space="preserve">— </w:t>
    </w:r>
    <w:r>
      <w:rPr>
        <w:rFonts w:ascii="Times New Roman" w:hAnsi="Times New Roman" w:eastAsia="宋体"/>
        <w:sz w:val="24"/>
        <w:szCs w:val="24"/>
      </w:rPr>
      <w:fldChar w:fldCharType="begin"/>
    </w:r>
    <w:r>
      <w:rPr>
        <w:rStyle w:val="6"/>
        <w:rFonts w:ascii="Times New Roman" w:hAnsi="Times New Roman" w:eastAsia="宋体"/>
        <w:sz w:val="24"/>
        <w:szCs w:val="24"/>
      </w:rPr>
      <w:instrText xml:space="preserve">PAGE  </w:instrText>
    </w:r>
    <w:r>
      <w:rPr>
        <w:rFonts w:ascii="Times New Roman" w:hAnsi="Times New Roman" w:eastAsia="宋体"/>
        <w:sz w:val="24"/>
        <w:szCs w:val="24"/>
      </w:rPr>
      <w:fldChar w:fldCharType="separate"/>
    </w:r>
    <w:r>
      <w:rPr>
        <w:rStyle w:val="6"/>
        <w:rFonts w:ascii="Times New Roman" w:hAnsi="Times New Roman" w:eastAsia="宋体"/>
        <w:sz w:val="24"/>
        <w:szCs w:val="24"/>
      </w:rPr>
      <w:t>27</w:t>
    </w:r>
    <w:r>
      <w:rPr>
        <w:rFonts w:ascii="Times New Roman" w:hAnsi="Times New Roman" w:eastAsia="宋体"/>
        <w:sz w:val="24"/>
        <w:szCs w:val="24"/>
      </w:rPr>
      <w:fldChar w:fldCharType="end"/>
    </w:r>
    <w:r>
      <w:rPr>
        <w:rStyle w:val="6"/>
        <w:rFonts w:ascii="Times New Roman" w:hAnsi="Times New Roman" w:eastAsia="宋体"/>
        <w:sz w:val="24"/>
        <w:szCs w:val="24"/>
      </w:rPr>
      <w:t xml:space="preserve">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hNDdjM2Q5YTA3Zjg2ZjgzM2UwZDI4NWE3ZTQxOGEifQ=="/>
  </w:docVars>
  <w:rsids>
    <w:rsidRoot w:val="00000000"/>
    <w:rsid w:val="32E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spacing w:line="0" w:lineRule="atLeast"/>
    </w:pPr>
    <w:rPr>
      <w:szCs w:val="20"/>
    </w:rPr>
  </w:style>
  <w:style w:type="paragraph" w:styleId="3">
    <w:name w:val="footer"/>
    <w:basedOn w:val="1"/>
    <w:uiPriority w:val="0"/>
    <w:pPr>
      <w:tabs>
        <w:tab w:val="center" w:pos="4153"/>
        <w:tab w:val="right" w:pos="8306"/>
      </w:tabs>
      <w:snapToGrid w:val="0"/>
      <w:jc w:val="left"/>
    </w:pPr>
    <w:rPr>
      <w:sz w:val="18"/>
    </w:rPr>
  </w:style>
  <w:style w:type="character" w:styleId="6">
    <w:name w:val="page number"/>
    <w:basedOn w:val="5"/>
    <w:uiPriority w:val="0"/>
  </w:style>
  <w:style w:type="paragraph" w:customStyle="1" w:styleId="7">
    <w:name w:val="Default"/>
    <w:uiPriority w:val="0"/>
    <w:pPr>
      <w:widowControl w:val="0"/>
      <w:autoSpaceDE w:val="0"/>
      <w:autoSpaceDN w:val="0"/>
      <w:adjustRightInd w:val="0"/>
    </w:pPr>
    <w:rPr>
      <w:rFonts w:ascii="Times New Roman" w:hAnsi="Times New Roman" w:eastAsia="仿宋_GB2312" w:cs="Times New Roman"/>
      <w:color w:val="000000"/>
      <w:sz w:val="24"/>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2022-12-08T08:35:50Z</dcterms:created>
  <dc:creator>Administrator</dc:creator>
  <cp:lastModifiedBy>Administrator</cp:lastModifiedBy>
  <dcterms:modified xsi:type="dcterms:W3CDTF">2022-12-08T08:37:11Z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252E905F91F846F0B65798793D949199</vt:lpwstr>
  </property>
</Properties>
</file>