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F2894E">
      <w:pPr>
        <w:pStyle w:val="2"/>
        <w:ind w:left="0"/>
        <w:rPr>
          <w:rFonts w:ascii="Times New Roman"/>
          <w:sz w:val="20"/>
        </w:rPr>
      </w:pPr>
    </w:p>
    <w:p w14:paraId="675E6E26">
      <w:pPr>
        <w:pStyle w:val="2"/>
        <w:ind w:left="0"/>
        <w:rPr>
          <w:rFonts w:ascii="Times New Roman"/>
          <w:sz w:val="20"/>
        </w:rPr>
      </w:pPr>
    </w:p>
    <w:p w14:paraId="3414FD70">
      <w:pPr>
        <w:pStyle w:val="2"/>
        <w:ind w:left="0"/>
        <w:rPr>
          <w:rFonts w:ascii="Times New Roman"/>
          <w:sz w:val="29"/>
        </w:rPr>
      </w:pPr>
    </w:p>
    <w:p w14:paraId="14E0D4D2">
      <w:pPr>
        <w:spacing w:before="64"/>
        <w:ind w:left="106" w:right="0" w:firstLine="0"/>
        <w:jc w:val="left"/>
        <w:rPr>
          <w:rFonts w:ascii="Times New Roman" w:eastAsia="Times New Roman"/>
          <w:sz w:val="32"/>
        </w:rPr>
      </w:pPr>
      <w:r>
        <w:rPr>
          <w:spacing w:val="-29"/>
          <w:sz w:val="32"/>
        </w:rPr>
        <w:t xml:space="preserve">附件 </w:t>
      </w:r>
      <w:r>
        <w:rPr>
          <w:rFonts w:ascii="Times New Roman" w:eastAsia="Times New Roman"/>
          <w:spacing w:val="-10"/>
          <w:sz w:val="32"/>
        </w:rPr>
        <w:t>1</w:t>
      </w:r>
    </w:p>
    <w:p w14:paraId="30747B09">
      <w:pPr>
        <w:pStyle w:val="2"/>
        <w:ind w:left="0"/>
        <w:rPr>
          <w:rFonts w:ascii="Times New Roman"/>
          <w:sz w:val="34"/>
        </w:rPr>
      </w:pPr>
    </w:p>
    <w:p w14:paraId="09E68F64">
      <w:pPr>
        <w:pStyle w:val="3"/>
        <w:spacing w:before="232"/>
      </w:pPr>
      <w:r>
        <w:rPr>
          <w:spacing w:val="-3"/>
        </w:rPr>
        <w:t xml:space="preserve">随州高新区管委会机关 </w:t>
      </w:r>
      <w:r>
        <w:rPr>
          <w:rFonts w:ascii="Times New Roman" w:eastAsia="Times New Roman"/>
        </w:rPr>
        <w:t>2025</w:t>
      </w:r>
      <w:r>
        <w:rPr>
          <w:rFonts w:ascii="Times New Roman" w:eastAsia="Times New Roman"/>
          <w:spacing w:val="-16"/>
        </w:rPr>
        <w:t xml:space="preserve"> </w:t>
      </w:r>
      <w:r>
        <w:rPr>
          <w:spacing w:val="-2"/>
        </w:rPr>
        <w:t>年部门预算</w:t>
      </w:r>
    </w:p>
    <w:p w14:paraId="7AF5053F">
      <w:pPr>
        <w:pStyle w:val="2"/>
        <w:spacing w:before="15"/>
        <w:ind w:left="0"/>
        <w:rPr>
          <w:rFonts w:ascii="微软雅黑"/>
          <w:sz w:val="60"/>
        </w:rPr>
      </w:pPr>
    </w:p>
    <w:p w14:paraId="301C3478">
      <w:pPr>
        <w:pStyle w:val="3"/>
        <w:tabs>
          <w:tab w:val="left" w:pos="998"/>
        </w:tabs>
      </w:pPr>
      <w:r>
        <w:rPr>
          <w:spacing w:val="-10"/>
        </w:rPr>
        <w:t>目</w:t>
      </w:r>
      <w:r>
        <w:tab/>
      </w:r>
      <w:r>
        <w:rPr>
          <w:spacing w:val="-10"/>
        </w:rPr>
        <w:t>录</w:t>
      </w:r>
    </w:p>
    <w:p w14:paraId="62248984">
      <w:pPr>
        <w:pStyle w:val="2"/>
        <w:spacing w:before="13"/>
        <w:ind w:left="0"/>
        <w:rPr>
          <w:rFonts w:ascii="微软雅黑"/>
          <w:sz w:val="38"/>
        </w:rPr>
      </w:pPr>
    </w:p>
    <w:p w14:paraId="77886D29">
      <w:pPr>
        <w:spacing w:before="0" w:line="362" w:lineRule="auto"/>
        <w:ind w:left="2083" w:right="1639" w:hanging="1337"/>
        <w:jc w:val="left"/>
        <w:rPr>
          <w:sz w:val="32"/>
        </w:rPr>
      </w:pPr>
      <w:r>
        <w:rPr>
          <w:sz w:val="32"/>
        </w:rPr>
        <w:t>第一部分 随州高新区管委会预算公开情况说明</w:t>
      </w:r>
      <w:r>
        <w:rPr>
          <w:spacing w:val="-2"/>
          <w:sz w:val="32"/>
        </w:rPr>
        <w:t>一、部门（单位）主要职责</w:t>
      </w:r>
    </w:p>
    <w:p w14:paraId="5077A509">
      <w:pPr>
        <w:spacing w:before="0"/>
        <w:ind w:left="2083" w:right="0" w:firstLine="0"/>
        <w:jc w:val="left"/>
        <w:rPr>
          <w:sz w:val="32"/>
        </w:rPr>
      </w:pPr>
      <w:r>
        <w:rPr>
          <w:spacing w:val="-5"/>
          <w:sz w:val="32"/>
        </w:rPr>
        <w:t>二、机构设置情况</w:t>
      </w:r>
    </w:p>
    <w:p w14:paraId="54660363">
      <w:pPr>
        <w:spacing w:before="212" w:line="362" w:lineRule="auto"/>
        <w:ind w:left="2083" w:right="2861" w:firstLine="0"/>
        <w:jc w:val="left"/>
        <w:rPr>
          <w:sz w:val="32"/>
        </w:rPr>
      </w:pPr>
      <w:r>
        <w:rPr>
          <w:spacing w:val="-2"/>
          <w:sz w:val="32"/>
        </w:rPr>
        <w:t>三、预算收支及增减变化情况四、机关运行经费安排情况</w:t>
      </w:r>
    </w:p>
    <w:p w14:paraId="79CE4DDE">
      <w:pPr>
        <w:spacing w:before="0" w:line="364" w:lineRule="auto"/>
        <w:ind w:left="2083" w:right="655" w:firstLine="0"/>
        <w:jc w:val="left"/>
        <w:rPr>
          <w:sz w:val="32"/>
        </w:rPr>
      </w:pPr>
      <w:r>
        <w:rPr>
          <w:spacing w:val="-2"/>
          <w:sz w:val="32"/>
        </w:rPr>
        <w:t>五、一般公共预算</w:t>
      </w:r>
      <w:r>
        <w:rPr>
          <w:rFonts w:ascii="Times New Roman" w:hAnsi="Times New Roman" w:eastAsia="Times New Roman"/>
          <w:spacing w:val="-2"/>
          <w:sz w:val="32"/>
        </w:rPr>
        <w:t>“</w:t>
      </w:r>
      <w:r>
        <w:rPr>
          <w:spacing w:val="-2"/>
          <w:sz w:val="32"/>
        </w:rPr>
        <w:t>三公</w:t>
      </w:r>
      <w:r>
        <w:rPr>
          <w:rFonts w:ascii="Times New Roman" w:hAnsi="Times New Roman" w:eastAsia="Times New Roman"/>
          <w:spacing w:val="-2"/>
          <w:sz w:val="32"/>
        </w:rPr>
        <w:t>”</w:t>
      </w:r>
      <w:r>
        <w:rPr>
          <w:spacing w:val="-2"/>
          <w:sz w:val="32"/>
        </w:rPr>
        <w:t>经费及增减变化情况六、政府采购预算安排情况</w:t>
      </w:r>
    </w:p>
    <w:p w14:paraId="7ADB4654">
      <w:pPr>
        <w:spacing w:before="0" w:line="404" w:lineRule="exact"/>
        <w:ind w:left="2083" w:right="0" w:firstLine="0"/>
        <w:jc w:val="left"/>
        <w:rPr>
          <w:sz w:val="32"/>
        </w:rPr>
      </w:pPr>
      <w:r>
        <w:rPr>
          <w:spacing w:val="-5"/>
          <w:sz w:val="32"/>
        </w:rPr>
        <w:t>七、国有资产占用情况</w:t>
      </w:r>
    </w:p>
    <w:p w14:paraId="40A8D201">
      <w:pPr>
        <w:spacing w:before="209" w:line="364" w:lineRule="auto"/>
        <w:ind w:left="2083" w:right="3180" w:firstLine="0"/>
        <w:jc w:val="left"/>
        <w:rPr>
          <w:sz w:val="32"/>
        </w:rPr>
      </w:pPr>
      <w:r>
        <w:rPr>
          <w:spacing w:val="-2"/>
          <w:sz w:val="32"/>
        </w:rPr>
        <w:t>八、重点项目预算绩效情况九、其他情况说明</w:t>
      </w:r>
    </w:p>
    <w:p w14:paraId="54401C8B">
      <w:pPr>
        <w:spacing w:before="0" w:line="404" w:lineRule="exact"/>
        <w:ind w:left="2083" w:right="0" w:firstLine="0"/>
        <w:jc w:val="left"/>
        <w:rPr>
          <w:sz w:val="32"/>
        </w:rPr>
      </w:pPr>
      <w:r>
        <w:rPr>
          <w:spacing w:val="-5"/>
          <w:sz w:val="32"/>
        </w:rPr>
        <w:t>十、专业名词解释</w:t>
      </w:r>
    </w:p>
    <w:p w14:paraId="31F68E35">
      <w:pPr>
        <w:spacing w:before="32" w:line="622" w:lineRule="exact"/>
        <w:ind w:left="2062" w:right="837" w:hanging="1316"/>
        <w:jc w:val="left"/>
        <w:rPr>
          <w:sz w:val="32"/>
        </w:rPr>
      </w:pPr>
      <w:r>
        <w:rPr>
          <w:spacing w:val="-2"/>
          <w:sz w:val="32"/>
        </w:rPr>
        <w:t xml:space="preserve">第二部分 随州高新区管委会 </w:t>
      </w:r>
      <w:r>
        <w:rPr>
          <w:rFonts w:ascii="Times New Roman" w:eastAsia="Times New Roman"/>
          <w:sz w:val="32"/>
        </w:rPr>
        <w:t>2025</w:t>
      </w:r>
      <w:r>
        <w:rPr>
          <w:rFonts w:ascii="Times New Roman" w:eastAsia="Times New Roman"/>
          <w:spacing w:val="-6"/>
          <w:sz w:val="32"/>
        </w:rPr>
        <w:t xml:space="preserve"> </w:t>
      </w:r>
      <w:r>
        <w:rPr>
          <w:sz w:val="32"/>
        </w:rPr>
        <w:t>年部门预算公开表</w:t>
      </w:r>
      <w:r>
        <w:rPr>
          <w:spacing w:val="-2"/>
          <w:sz w:val="32"/>
        </w:rPr>
        <w:t>一、部门收支预算总表</w:t>
      </w:r>
    </w:p>
    <w:p w14:paraId="0C0E857F">
      <w:pPr>
        <w:spacing w:after="0" w:line="622" w:lineRule="exact"/>
        <w:jc w:val="left"/>
        <w:rPr>
          <w:sz w:val="32"/>
        </w:rPr>
        <w:sectPr>
          <w:footerReference r:id="rId5" w:type="default"/>
          <w:footerReference r:id="rId6" w:type="even"/>
          <w:type w:val="continuous"/>
          <w:pgSz w:w="11910" w:h="16840"/>
          <w:pgMar w:top="1920" w:right="1320" w:bottom="1720" w:left="1480" w:header="0" w:footer="1532" w:gutter="0"/>
          <w:pgNumType w:start="1"/>
          <w:cols w:space="720" w:num="1"/>
        </w:sectPr>
      </w:pPr>
    </w:p>
    <w:p w14:paraId="5CCC5373">
      <w:pPr>
        <w:pStyle w:val="2"/>
        <w:spacing w:before="1"/>
        <w:ind w:left="0"/>
        <w:rPr>
          <w:sz w:val="13"/>
        </w:rPr>
      </w:pPr>
    </w:p>
    <w:p w14:paraId="1A3A8738">
      <w:pPr>
        <w:spacing w:before="54" w:line="364" w:lineRule="auto"/>
        <w:ind w:left="2062" w:right="4483" w:firstLine="0"/>
        <w:jc w:val="left"/>
        <w:rPr>
          <w:sz w:val="32"/>
        </w:rPr>
      </w:pPr>
      <w:r>
        <w:rPr>
          <w:spacing w:val="-2"/>
          <w:sz w:val="32"/>
        </w:rPr>
        <w:t>二、部门收入总表</w:t>
      </w:r>
      <w:r>
        <w:rPr>
          <w:spacing w:val="-5"/>
          <w:sz w:val="32"/>
        </w:rPr>
        <w:t>三、部门支出总表</w:t>
      </w:r>
    </w:p>
    <w:p w14:paraId="50540263">
      <w:pPr>
        <w:spacing w:before="0" w:line="362" w:lineRule="auto"/>
        <w:ind w:left="2062" w:right="3523" w:firstLine="0"/>
        <w:jc w:val="left"/>
        <w:rPr>
          <w:sz w:val="32"/>
        </w:rPr>
      </w:pPr>
      <w:r>
        <w:rPr>
          <w:spacing w:val="-2"/>
          <w:sz w:val="32"/>
        </w:rPr>
        <w:t>四、财政拨款收支总表 五、一般公共预算支出表</w:t>
      </w:r>
    </w:p>
    <w:p w14:paraId="4B24522F">
      <w:pPr>
        <w:spacing w:before="0"/>
        <w:ind w:left="2062" w:right="0" w:firstLine="0"/>
        <w:jc w:val="left"/>
        <w:rPr>
          <w:sz w:val="32"/>
        </w:rPr>
      </w:pPr>
      <w:r>
        <w:rPr>
          <w:spacing w:val="-5"/>
          <w:sz w:val="32"/>
        </w:rPr>
        <w:t>六、一般公共预算基本支出表</w:t>
      </w:r>
    </w:p>
    <w:p w14:paraId="2C7240D9">
      <w:pPr>
        <w:spacing w:before="207" w:line="362" w:lineRule="auto"/>
        <w:ind w:left="2062" w:right="1961" w:firstLine="0"/>
        <w:jc w:val="left"/>
        <w:rPr>
          <w:sz w:val="32"/>
        </w:rPr>
      </w:pPr>
      <w:r>
        <w:rPr>
          <w:spacing w:val="-2"/>
          <w:sz w:val="32"/>
        </w:rPr>
        <w:t>七、一般公共预算</w:t>
      </w:r>
      <w:r>
        <w:rPr>
          <w:rFonts w:ascii="Times New Roman" w:hAnsi="Times New Roman" w:eastAsia="Times New Roman"/>
          <w:spacing w:val="-2"/>
          <w:sz w:val="32"/>
        </w:rPr>
        <w:t>“</w:t>
      </w:r>
      <w:r>
        <w:rPr>
          <w:spacing w:val="-2"/>
          <w:sz w:val="32"/>
        </w:rPr>
        <w:t>三公</w:t>
      </w:r>
      <w:r>
        <w:rPr>
          <w:rFonts w:ascii="Times New Roman" w:hAnsi="Times New Roman" w:eastAsia="Times New Roman"/>
          <w:spacing w:val="-2"/>
          <w:sz w:val="32"/>
        </w:rPr>
        <w:t>”</w:t>
      </w:r>
      <w:r>
        <w:rPr>
          <w:spacing w:val="-2"/>
          <w:sz w:val="32"/>
        </w:rPr>
        <w:t>经费支出表八、政府性基金预算支出表</w:t>
      </w:r>
    </w:p>
    <w:p w14:paraId="20DB27D9">
      <w:pPr>
        <w:spacing w:before="2"/>
        <w:ind w:left="2062" w:right="0" w:firstLine="0"/>
        <w:jc w:val="left"/>
        <w:rPr>
          <w:sz w:val="32"/>
        </w:rPr>
      </w:pPr>
      <w:r>
        <w:rPr>
          <w:spacing w:val="-5"/>
          <w:sz w:val="32"/>
        </w:rPr>
        <w:t>九、项目支出表</w:t>
      </w:r>
    </w:p>
    <w:p w14:paraId="60F70FFC">
      <w:pPr>
        <w:spacing w:before="209"/>
        <w:ind w:left="2062" w:right="0" w:firstLine="0"/>
        <w:jc w:val="left"/>
        <w:rPr>
          <w:sz w:val="32"/>
        </w:rPr>
      </w:pPr>
      <w:r>
        <w:rPr>
          <w:spacing w:val="-5"/>
          <w:sz w:val="32"/>
        </w:rPr>
        <w:t>十、政府采购预算表</w:t>
      </w:r>
    </w:p>
    <w:p w14:paraId="13DA67CF">
      <w:pPr>
        <w:spacing w:after="0"/>
        <w:jc w:val="left"/>
        <w:rPr>
          <w:sz w:val="32"/>
        </w:rPr>
        <w:sectPr>
          <w:pgSz w:w="11910" w:h="16840"/>
          <w:pgMar w:top="1920" w:right="1320" w:bottom="1720" w:left="1480" w:header="0" w:footer="1532" w:gutter="0"/>
          <w:cols w:space="720" w:num="1"/>
        </w:sectPr>
      </w:pPr>
    </w:p>
    <w:p w14:paraId="720BD511">
      <w:pPr>
        <w:pStyle w:val="2"/>
        <w:ind w:left="0"/>
        <w:rPr>
          <w:sz w:val="20"/>
        </w:rPr>
      </w:pPr>
    </w:p>
    <w:p w14:paraId="4B4C5D4F">
      <w:pPr>
        <w:pStyle w:val="2"/>
        <w:ind w:left="0"/>
        <w:rPr>
          <w:sz w:val="20"/>
        </w:rPr>
      </w:pPr>
    </w:p>
    <w:p w14:paraId="5BF2BF90">
      <w:pPr>
        <w:pStyle w:val="2"/>
        <w:ind w:left="0"/>
        <w:rPr>
          <w:sz w:val="20"/>
        </w:rPr>
      </w:pPr>
    </w:p>
    <w:p w14:paraId="59B94F12">
      <w:pPr>
        <w:pStyle w:val="2"/>
        <w:ind w:left="0"/>
        <w:rPr>
          <w:sz w:val="20"/>
        </w:rPr>
      </w:pPr>
    </w:p>
    <w:p w14:paraId="6CC85F10">
      <w:pPr>
        <w:pStyle w:val="2"/>
        <w:spacing w:before="12"/>
        <w:ind w:left="0"/>
        <w:rPr>
          <w:sz w:val="29"/>
        </w:rPr>
      </w:pPr>
    </w:p>
    <w:p w14:paraId="2D7C060A">
      <w:pPr>
        <w:spacing w:before="54" w:line="549" w:lineRule="auto"/>
        <w:ind w:left="747" w:right="1272" w:firstLine="364"/>
        <w:jc w:val="left"/>
        <w:rPr>
          <w:sz w:val="32"/>
        </w:rPr>
      </w:pPr>
      <w:r>
        <w:rPr>
          <w:sz w:val="32"/>
        </w:rPr>
        <w:t>第一部分 随州高新区管委会预算公开情况说明</w:t>
      </w:r>
      <w:r>
        <w:rPr>
          <w:spacing w:val="-2"/>
          <w:sz w:val="32"/>
        </w:rPr>
        <w:t>一、部门（单位）主要职责</w:t>
      </w:r>
    </w:p>
    <w:p w14:paraId="4C9487BB">
      <w:pPr>
        <w:pStyle w:val="2"/>
        <w:spacing w:before="72" w:line="384" w:lineRule="auto"/>
        <w:ind w:right="266" w:firstLine="645"/>
      </w:pPr>
      <w:r>
        <w:rPr>
          <w:color w:val="333333"/>
          <w:spacing w:val="-13"/>
        </w:rPr>
        <w:t>随州高新区党工委、管委会是市委、市政府的派出机构(合署</w:t>
      </w:r>
      <w:r>
        <w:rPr>
          <w:color w:val="333333"/>
          <w:spacing w:val="-2"/>
        </w:rPr>
        <w:t>办公)，代表市委、市政府对高新区实行统一管理。</w:t>
      </w:r>
    </w:p>
    <w:p w14:paraId="066E93C6">
      <w:pPr>
        <w:pStyle w:val="2"/>
        <w:spacing w:before="226"/>
        <w:ind w:left="728"/>
      </w:pPr>
      <w:r>
        <w:rPr>
          <w:color w:val="333333"/>
          <w:spacing w:val="-3"/>
        </w:rPr>
        <w:t>随州高新区党工委主要职责是：</w:t>
      </w:r>
    </w:p>
    <w:p w14:paraId="6EB29AD7">
      <w:pPr>
        <w:pStyle w:val="2"/>
        <w:spacing w:before="239" w:line="384" w:lineRule="auto"/>
        <w:ind w:right="266" w:firstLine="621"/>
      </w:pPr>
      <w:r>
        <w:rPr>
          <w:color w:val="333333"/>
        </w:rPr>
        <w:t>(一)贯彻执行党的路线、方针、政策和上级党委、政府的指</w:t>
      </w:r>
      <w:r>
        <w:rPr>
          <w:color w:val="333333"/>
          <w:spacing w:val="-2"/>
        </w:rPr>
        <w:t>示精神，对高新区的重大问题进行决策。</w:t>
      </w:r>
    </w:p>
    <w:p w14:paraId="6BA3ECF6">
      <w:pPr>
        <w:pStyle w:val="2"/>
        <w:spacing w:before="1" w:line="384" w:lineRule="auto"/>
        <w:ind w:left="728" w:right="266"/>
      </w:pPr>
      <w:r>
        <w:rPr>
          <w:color w:val="333333"/>
        </w:rPr>
        <w:t xml:space="preserve">(二)按照民主集中制原则，讨论、决定高新区的重大事项。 </w:t>
      </w:r>
      <w:r>
        <w:rPr>
          <w:color w:val="333333"/>
          <w:spacing w:val="-1"/>
        </w:rPr>
        <w:t>(三)负责高新区党建、宣传思想文化工作;按照干部管理权</w:t>
      </w:r>
    </w:p>
    <w:p w14:paraId="3B46587F">
      <w:pPr>
        <w:pStyle w:val="2"/>
        <w:spacing w:before="1" w:line="384" w:lineRule="auto"/>
        <w:ind w:right="266"/>
      </w:pPr>
      <w:r>
        <w:rPr>
          <w:color w:val="333333"/>
          <w:spacing w:val="-12"/>
        </w:rPr>
        <w:t>限，做好干部人事管理;按市委及有关部门规定的权限，与委派部</w:t>
      </w:r>
      <w:r>
        <w:rPr>
          <w:color w:val="333333"/>
          <w:spacing w:val="-2"/>
        </w:rPr>
        <w:t>门共同考核、任免市直有关部门派驻高新区机构的领导干部。</w:t>
      </w:r>
    </w:p>
    <w:p w14:paraId="161105D0">
      <w:pPr>
        <w:pStyle w:val="2"/>
        <w:spacing w:before="1" w:line="384" w:lineRule="auto"/>
        <w:ind w:left="747" w:right="1228"/>
      </w:pPr>
      <w:r>
        <w:rPr>
          <w:color w:val="333333"/>
          <w:spacing w:val="-2"/>
        </w:rPr>
        <w:t xml:space="preserve">(四)负责高新区纪检监察工作，加强党风廉政建设。 </w:t>
      </w:r>
      <w:r>
        <w:rPr>
          <w:color w:val="333333"/>
          <w:spacing w:val="-3"/>
        </w:rPr>
        <w:t>(五)负责高新区思想政治工作和精神文明建设工作。</w:t>
      </w:r>
    </w:p>
    <w:p w14:paraId="100470B9">
      <w:pPr>
        <w:pStyle w:val="2"/>
        <w:spacing w:before="1" w:line="384" w:lineRule="auto"/>
        <w:ind w:right="267" w:firstLine="621"/>
        <w:jc w:val="both"/>
      </w:pPr>
      <w:r>
        <w:rPr>
          <w:color w:val="333333"/>
          <w:spacing w:val="-2"/>
        </w:rPr>
        <w:t>(六)负责高新区所属单位和市直有关部门派驻高新区机构平安建设及政治、思想、组织、作风、纪律建设，并将制度建设贯</w:t>
      </w:r>
      <w:r>
        <w:rPr>
          <w:color w:val="333333"/>
          <w:spacing w:val="-4"/>
        </w:rPr>
        <w:t>穿其中。</w:t>
      </w:r>
    </w:p>
    <w:p w14:paraId="0FA7F0EC">
      <w:pPr>
        <w:spacing w:after="0" w:line="384" w:lineRule="auto"/>
        <w:jc w:val="both"/>
        <w:sectPr>
          <w:pgSz w:w="11910" w:h="16840"/>
          <w:pgMar w:top="1920" w:right="1320" w:bottom="1720" w:left="1480" w:header="0" w:footer="1532" w:gutter="0"/>
          <w:cols w:space="720" w:num="1"/>
        </w:sectPr>
      </w:pPr>
    </w:p>
    <w:p w14:paraId="75042037">
      <w:pPr>
        <w:pStyle w:val="2"/>
        <w:spacing w:before="6"/>
        <w:ind w:left="0"/>
        <w:rPr>
          <w:sz w:val="8"/>
        </w:rPr>
      </w:pPr>
    </w:p>
    <w:p w14:paraId="60E397EE">
      <w:pPr>
        <w:pStyle w:val="2"/>
        <w:spacing w:before="56" w:line="384" w:lineRule="auto"/>
        <w:ind w:right="267" w:firstLine="621"/>
        <w:jc w:val="right"/>
      </w:pPr>
      <w:r>
        <w:rPr>
          <w:color w:val="333333"/>
          <w:spacing w:val="-2"/>
        </w:rPr>
        <w:t>(七)负责高新区信访维稳工作，并根据事件性质和级别，及时研究和处理高新区内突发性事件，并按有关规定向上级报告。 (八)负责高新区人大、政协和统战、政法、维稳、信访、人</w:t>
      </w:r>
    </w:p>
    <w:p w14:paraId="4DE74FE6">
      <w:pPr>
        <w:pStyle w:val="2"/>
        <w:spacing w:before="2"/>
      </w:pPr>
      <w:r>
        <w:rPr>
          <w:color w:val="333333"/>
          <w:spacing w:val="-3"/>
        </w:rPr>
        <w:t>民武装、工青妇等有关工作。</w:t>
      </w:r>
    </w:p>
    <w:p w14:paraId="69B79F22">
      <w:pPr>
        <w:spacing w:before="239" w:line="324" w:lineRule="auto"/>
        <w:ind w:left="728" w:right="4036" w:firstLine="0"/>
        <w:jc w:val="left"/>
        <w:rPr>
          <w:rFonts w:ascii="微软雅黑" w:eastAsia="微软雅黑"/>
          <w:b/>
          <w:sz w:val="31"/>
        </w:rPr>
      </w:pPr>
      <w:r>
        <w:rPr>
          <w:color w:val="333333"/>
          <w:spacing w:val="-2"/>
          <w:sz w:val="31"/>
        </w:rPr>
        <w:t>(九)完成市委交办的其他工作。</w:t>
      </w:r>
      <w:r>
        <w:rPr>
          <w:rFonts w:ascii="微软雅黑" w:eastAsia="微软雅黑"/>
          <w:b/>
          <w:color w:val="333333"/>
          <w:spacing w:val="-2"/>
          <w:sz w:val="31"/>
        </w:rPr>
        <w:t>随州高新区管委会主要职责是</w:t>
      </w:r>
      <w:r>
        <w:rPr>
          <w:rFonts w:ascii="微软雅黑" w:eastAsia="微软雅黑"/>
          <w:b/>
          <w:color w:val="333333"/>
          <w:spacing w:val="-2"/>
          <w:w w:val="155"/>
          <w:sz w:val="31"/>
        </w:rPr>
        <w:t>:</w:t>
      </w:r>
    </w:p>
    <w:p w14:paraId="257487CB">
      <w:pPr>
        <w:pStyle w:val="2"/>
        <w:spacing w:line="362" w:lineRule="exact"/>
        <w:ind w:left="728"/>
      </w:pPr>
      <w:r>
        <w:rPr>
          <w:color w:val="333333"/>
          <w:spacing w:val="-1"/>
        </w:rPr>
        <w:t>(一)贯彻执行国家有关法律、法规和政策，执行市政府有关</w:t>
      </w:r>
    </w:p>
    <w:p w14:paraId="20CCEEBF">
      <w:pPr>
        <w:pStyle w:val="2"/>
        <w:spacing w:before="238" w:line="384" w:lineRule="auto"/>
        <w:ind w:right="162"/>
      </w:pPr>
      <w:r>
        <w:rPr>
          <w:color w:val="333333"/>
          <w:spacing w:val="-2"/>
        </w:rPr>
        <w:t>决定、命令和指示;研究制定高新区科技、经济、社会发展规划、规章制度和重大政策。</w:t>
      </w:r>
    </w:p>
    <w:p w14:paraId="6BF08E75">
      <w:pPr>
        <w:pStyle w:val="2"/>
        <w:spacing w:before="1"/>
        <w:ind w:left="728"/>
      </w:pPr>
      <w:r>
        <w:rPr>
          <w:color w:val="333333"/>
          <w:spacing w:val="12"/>
        </w:rPr>
        <w:t>(二)根据市政府授权履行市级经济管理权限和行政管理职</w:t>
      </w:r>
    </w:p>
    <w:p w14:paraId="77A88EDD">
      <w:pPr>
        <w:pStyle w:val="2"/>
        <w:spacing w:before="239"/>
      </w:pPr>
      <w:r>
        <w:rPr>
          <w:color w:val="333333"/>
          <w:spacing w:val="-6"/>
        </w:rPr>
        <w:t>能。</w:t>
      </w:r>
    </w:p>
    <w:p w14:paraId="13475C9B">
      <w:pPr>
        <w:pStyle w:val="2"/>
        <w:spacing w:before="239" w:line="384" w:lineRule="auto"/>
        <w:ind w:right="267" w:firstLine="621"/>
        <w:jc w:val="both"/>
      </w:pPr>
      <w:r>
        <w:rPr>
          <w:color w:val="333333"/>
          <w:spacing w:val="-2"/>
        </w:rPr>
        <w:t>(三)制定高新区招商引资政策，编制招商规划，发布对外招</w:t>
      </w:r>
      <w:r>
        <w:rPr>
          <w:color w:val="333333"/>
          <w:spacing w:val="-13"/>
        </w:rPr>
        <w:t>商项目，组织对外招商活动和对外经济技术合作;履行市政府授予</w:t>
      </w:r>
      <w:r>
        <w:rPr>
          <w:color w:val="333333"/>
          <w:spacing w:val="-7"/>
        </w:rPr>
        <w:t>的行政审批职能;编制高新区产业规划，负责企业的管理、服务工</w:t>
      </w:r>
      <w:r>
        <w:rPr>
          <w:color w:val="333333"/>
          <w:spacing w:val="-6"/>
        </w:rPr>
        <w:t>作。</w:t>
      </w:r>
    </w:p>
    <w:p w14:paraId="36955DC9">
      <w:pPr>
        <w:pStyle w:val="2"/>
        <w:spacing w:before="2" w:line="384" w:lineRule="auto"/>
        <w:ind w:right="267" w:firstLine="621"/>
      </w:pPr>
      <w:r>
        <w:rPr>
          <w:color w:val="333333"/>
          <w:spacing w:val="-2"/>
        </w:rPr>
        <w:t>(四)依法管理高新区的财政、税收、国有资产、市场监督、城乡规划建设管理、生态环境保护和社会治安等工作。</w:t>
      </w:r>
    </w:p>
    <w:p w14:paraId="16CD5E7D">
      <w:pPr>
        <w:pStyle w:val="2"/>
        <w:spacing w:before="1" w:line="384" w:lineRule="auto"/>
        <w:ind w:right="263" w:firstLine="621"/>
        <w:jc w:val="both"/>
      </w:pPr>
      <w:r>
        <w:rPr>
          <w:color w:val="333333"/>
          <w:spacing w:val="-2"/>
        </w:rPr>
        <w:t>(五)负责制定高新区开发建设中长期规划和年度实施计划以</w:t>
      </w:r>
      <w:r>
        <w:rPr>
          <w:color w:val="333333"/>
          <w:spacing w:val="-12"/>
        </w:rPr>
        <w:t>及重大投资计划，经批准后组织实施;参与编制高新区城乡规划和</w:t>
      </w:r>
      <w:r>
        <w:rPr>
          <w:color w:val="333333"/>
          <w:spacing w:val="-2"/>
        </w:rPr>
        <w:t>土地利用规划，协调落实各项专项规划。</w:t>
      </w:r>
    </w:p>
    <w:p w14:paraId="6B215A0D">
      <w:pPr>
        <w:spacing w:after="0" w:line="384" w:lineRule="auto"/>
        <w:jc w:val="both"/>
        <w:sectPr>
          <w:pgSz w:w="11910" w:h="16840"/>
          <w:pgMar w:top="1920" w:right="1320" w:bottom="1720" w:left="1480" w:header="0" w:footer="1532" w:gutter="0"/>
          <w:cols w:space="720" w:num="1"/>
        </w:sectPr>
      </w:pPr>
    </w:p>
    <w:p w14:paraId="4F214E0A">
      <w:pPr>
        <w:pStyle w:val="2"/>
        <w:spacing w:before="6"/>
        <w:ind w:left="0"/>
        <w:rPr>
          <w:sz w:val="8"/>
        </w:rPr>
      </w:pPr>
    </w:p>
    <w:p w14:paraId="5D8DD271">
      <w:pPr>
        <w:pStyle w:val="2"/>
        <w:spacing w:before="56" w:line="384" w:lineRule="auto"/>
        <w:ind w:right="111" w:firstLine="621"/>
      </w:pPr>
      <w:r>
        <w:rPr>
          <w:color w:val="333333"/>
          <w:spacing w:val="-2"/>
        </w:rPr>
        <w:t>(六)负责管理高新区有关社会公益事业，依法管理高新区科技、农业、住建、林业、水利、民政、残疾人、退役军人、安全生产、统计、商务、燃气、征地拆迁及补偿安置等事务，负责信</w:t>
      </w:r>
      <w:r>
        <w:rPr>
          <w:color w:val="333333"/>
          <w:spacing w:val="-4"/>
        </w:rPr>
        <w:t>访工作，协助市直相关部门做好教育、文化、旅游、文物、体育、</w:t>
      </w:r>
      <w:r>
        <w:rPr>
          <w:color w:val="333333"/>
          <w:spacing w:val="-2"/>
        </w:rPr>
        <w:t>广电、卫健、住建、物价、人力资源、民族宗教等事务。</w:t>
      </w:r>
    </w:p>
    <w:p w14:paraId="0047E6E9">
      <w:pPr>
        <w:pStyle w:val="2"/>
        <w:spacing w:before="3" w:line="384" w:lineRule="auto"/>
        <w:ind w:right="267" w:firstLine="621"/>
      </w:pPr>
      <w:r>
        <w:rPr>
          <w:color w:val="333333"/>
          <w:spacing w:val="-2"/>
        </w:rPr>
        <w:t>(七)维护社会秩序，保障企业自主权和职工的合法权益，保障农村(社区)集体经济组织应有的自主权。</w:t>
      </w:r>
    </w:p>
    <w:p w14:paraId="71FD64C2">
      <w:pPr>
        <w:pStyle w:val="2"/>
        <w:spacing w:before="1"/>
        <w:ind w:left="728"/>
      </w:pPr>
      <w:r>
        <w:rPr>
          <w:color w:val="333333"/>
          <w:spacing w:val="-3"/>
        </w:rPr>
        <w:t>(八)指导、协调市直有关部门派驻高新区机构的工作。</w:t>
      </w:r>
    </w:p>
    <w:p w14:paraId="11151A05">
      <w:pPr>
        <w:pStyle w:val="2"/>
        <w:spacing w:before="239" w:line="384" w:lineRule="auto"/>
        <w:ind w:right="267" w:firstLine="621"/>
      </w:pPr>
      <w:r>
        <w:rPr>
          <w:color w:val="333333"/>
          <w:spacing w:val="-2"/>
        </w:rPr>
        <w:t>(九)按照有关规定和管理权限，履行对随州高新技术产业投资有限公司的管理职责。</w:t>
      </w:r>
    </w:p>
    <w:p w14:paraId="054A535D">
      <w:pPr>
        <w:pStyle w:val="2"/>
        <w:spacing w:before="1" w:line="384" w:lineRule="auto"/>
        <w:ind w:right="267" w:firstLine="621"/>
      </w:pPr>
      <w:r>
        <w:rPr>
          <w:color w:val="333333"/>
          <w:spacing w:val="-2"/>
        </w:rPr>
        <w:t>(十)协调指导“一区多园”产业布局、功能分区、服务配套</w:t>
      </w:r>
      <w:r>
        <w:rPr>
          <w:color w:val="333333"/>
          <w:spacing w:val="-4"/>
        </w:rPr>
        <w:t>工作。</w:t>
      </w:r>
    </w:p>
    <w:p w14:paraId="0186A86B">
      <w:pPr>
        <w:pStyle w:val="2"/>
        <w:spacing w:before="1"/>
        <w:ind w:left="728"/>
      </w:pPr>
      <w:r>
        <w:rPr>
          <w:color w:val="333333"/>
          <w:spacing w:val="-3"/>
        </w:rPr>
        <w:t>(十一)完成市政府交办的其他工作。</w:t>
      </w:r>
    </w:p>
    <w:p w14:paraId="32FBF656">
      <w:pPr>
        <w:pStyle w:val="2"/>
        <w:spacing w:before="1"/>
        <w:ind w:left="0"/>
        <w:rPr>
          <w:sz w:val="23"/>
        </w:rPr>
      </w:pPr>
    </w:p>
    <w:p w14:paraId="702DB20F">
      <w:pPr>
        <w:spacing w:before="0"/>
        <w:ind w:left="747" w:right="0" w:firstLine="0"/>
        <w:jc w:val="left"/>
        <w:rPr>
          <w:sz w:val="32"/>
        </w:rPr>
      </w:pPr>
      <w:r>
        <w:rPr>
          <w:spacing w:val="-5"/>
          <w:sz w:val="32"/>
        </w:rPr>
        <w:t>二、机构设置情况</w:t>
      </w:r>
    </w:p>
    <w:p w14:paraId="50916289">
      <w:pPr>
        <w:pStyle w:val="2"/>
        <w:spacing w:before="152" w:line="384" w:lineRule="auto"/>
        <w:ind w:right="162" w:firstLine="621"/>
      </w:pPr>
      <w:r>
        <w:rPr>
          <w:color w:val="333333"/>
          <w:spacing w:val="-11"/>
        </w:rPr>
        <w:t>随州高新区党工委、管委会是市委、市政府的派出机构(合署</w:t>
      </w:r>
      <w:r>
        <w:rPr>
          <w:color w:val="333333"/>
          <w:spacing w:val="-2"/>
        </w:rPr>
        <w:t>办公)，代表市委、市政府对高新区实行统一管理。设下列机构：办公室、党群工作局、经济发展局、科技创新局、财政金融局、市场监督管理局、应急管理局、城东产业园区办、铁北产业园区</w:t>
      </w:r>
      <w:r>
        <w:rPr>
          <w:color w:val="333333"/>
          <w:spacing w:val="-4"/>
        </w:rPr>
        <w:t xml:space="preserve">办、纪检监察办。现有行政编制 </w:t>
      </w:r>
      <w:r>
        <w:rPr>
          <w:color w:val="333333"/>
        </w:rPr>
        <w:t>48</w:t>
      </w:r>
      <w:r>
        <w:rPr>
          <w:color w:val="333333"/>
          <w:spacing w:val="-13"/>
        </w:rPr>
        <w:t xml:space="preserve"> 人，以钱养事 </w:t>
      </w:r>
      <w:r>
        <w:rPr>
          <w:color w:val="333333"/>
        </w:rPr>
        <w:t>29</w:t>
      </w:r>
      <w:r>
        <w:rPr>
          <w:color w:val="333333"/>
          <w:spacing w:val="-10"/>
        </w:rPr>
        <w:t xml:space="preserve"> 人。实有在</w:t>
      </w:r>
    </w:p>
    <w:p w14:paraId="2F3646AA">
      <w:pPr>
        <w:spacing w:after="0" w:line="384" w:lineRule="auto"/>
        <w:sectPr>
          <w:pgSz w:w="11910" w:h="16840"/>
          <w:pgMar w:top="1920" w:right="1320" w:bottom="1720" w:left="1480" w:header="0" w:footer="1532" w:gutter="0"/>
          <w:cols w:space="720" w:num="1"/>
        </w:sectPr>
      </w:pPr>
    </w:p>
    <w:p w14:paraId="5DAC53CD">
      <w:pPr>
        <w:pStyle w:val="2"/>
        <w:spacing w:before="6"/>
        <w:ind w:left="0"/>
        <w:rPr>
          <w:sz w:val="8"/>
        </w:rPr>
      </w:pPr>
    </w:p>
    <w:p w14:paraId="4C28A855">
      <w:pPr>
        <w:pStyle w:val="2"/>
        <w:spacing w:before="56"/>
      </w:pPr>
      <w:r>
        <w:rPr>
          <w:color w:val="333333"/>
          <w:spacing w:val="-18"/>
        </w:rPr>
        <w:t xml:space="preserve">职人员 </w:t>
      </w:r>
      <w:r>
        <w:rPr>
          <w:color w:val="333333"/>
        </w:rPr>
        <w:t>812</w:t>
      </w:r>
      <w:r>
        <w:rPr>
          <w:color w:val="333333"/>
          <w:spacing w:val="-15"/>
        </w:rPr>
        <w:t xml:space="preserve"> 人，其中：行政人员 </w:t>
      </w:r>
      <w:r>
        <w:rPr>
          <w:color w:val="333333"/>
        </w:rPr>
        <w:t>40</w:t>
      </w:r>
      <w:r>
        <w:rPr>
          <w:color w:val="333333"/>
          <w:spacing w:val="-19"/>
        </w:rPr>
        <w:t xml:space="preserve"> 人、以钱养事 </w:t>
      </w:r>
      <w:r>
        <w:rPr>
          <w:color w:val="333333"/>
        </w:rPr>
        <w:t>29</w:t>
      </w:r>
      <w:r>
        <w:rPr>
          <w:color w:val="333333"/>
          <w:spacing w:val="-15"/>
        </w:rPr>
        <w:t xml:space="preserve"> 人，退休干</w:t>
      </w:r>
    </w:p>
    <w:p w14:paraId="592EAE38">
      <w:pPr>
        <w:pStyle w:val="2"/>
        <w:spacing w:before="239"/>
      </w:pPr>
      <w:r>
        <w:rPr>
          <w:color w:val="333333"/>
          <w:spacing w:val="-40"/>
        </w:rPr>
        <w:t xml:space="preserve">部 </w:t>
      </w:r>
      <w:r>
        <w:rPr>
          <w:color w:val="333333"/>
        </w:rPr>
        <w:t>12</w:t>
      </w:r>
      <w:r>
        <w:rPr>
          <w:color w:val="333333"/>
          <w:spacing w:val="-30"/>
        </w:rPr>
        <w:t xml:space="preserve"> 人。</w:t>
      </w:r>
    </w:p>
    <w:p w14:paraId="414CE6B3">
      <w:pPr>
        <w:pStyle w:val="2"/>
        <w:spacing w:before="1"/>
        <w:ind w:left="0"/>
        <w:rPr>
          <w:sz w:val="23"/>
        </w:rPr>
      </w:pPr>
    </w:p>
    <w:p w14:paraId="5943D250">
      <w:pPr>
        <w:spacing w:before="0"/>
        <w:ind w:left="747" w:right="0" w:firstLine="0"/>
        <w:jc w:val="left"/>
        <w:rPr>
          <w:sz w:val="32"/>
        </w:rPr>
      </w:pPr>
      <w:r>
        <w:rPr>
          <w:spacing w:val="-5"/>
          <w:sz w:val="32"/>
        </w:rPr>
        <w:t>三、预算收支及增减变化情况</w:t>
      </w:r>
    </w:p>
    <w:p w14:paraId="5D7BB68F">
      <w:pPr>
        <w:spacing w:before="106"/>
        <w:ind w:left="747" w:right="0" w:firstLine="0"/>
        <w:jc w:val="left"/>
        <w:rPr>
          <w:rFonts w:ascii="Microsoft JhengHei" w:eastAsia="Microsoft JhengHei"/>
          <w:b/>
          <w:sz w:val="32"/>
        </w:rPr>
      </w:pPr>
      <w:r>
        <w:rPr>
          <w:rFonts w:ascii="Microsoft JhengHei" w:eastAsia="Microsoft JhengHei"/>
          <w:b/>
          <w:spacing w:val="-2"/>
          <w:sz w:val="32"/>
        </w:rPr>
        <w:t>（一）</w:t>
      </w:r>
      <w:r>
        <w:rPr>
          <w:rFonts w:ascii="Microsoft JhengHei" w:eastAsia="Microsoft JhengHei"/>
          <w:b/>
          <w:spacing w:val="-4"/>
          <w:sz w:val="32"/>
        </w:rPr>
        <w:t>收入预算情况</w:t>
      </w:r>
    </w:p>
    <w:p w14:paraId="73814B25">
      <w:pPr>
        <w:pStyle w:val="2"/>
        <w:spacing w:before="147"/>
        <w:ind w:left="728"/>
      </w:pPr>
      <w:r>
        <w:rPr>
          <w:color w:val="333333"/>
          <w:spacing w:val="-14"/>
        </w:rPr>
        <w:t xml:space="preserve">收入总计 </w:t>
      </w:r>
      <w:r>
        <w:rPr>
          <w:color w:val="333333"/>
        </w:rPr>
        <w:t>1948.32</w:t>
      </w:r>
      <w:r>
        <w:rPr>
          <w:color w:val="333333"/>
          <w:spacing w:val="-24"/>
        </w:rPr>
        <w:t xml:space="preserve"> 万元</w:t>
      </w:r>
      <w:r>
        <w:rPr>
          <w:color w:val="333333"/>
        </w:rPr>
        <w:t>（</w:t>
      </w:r>
      <w:r>
        <w:rPr>
          <w:color w:val="333333"/>
          <w:spacing w:val="-10"/>
        </w:rPr>
        <w:t xml:space="preserve">上年收入总计 </w:t>
      </w:r>
      <w:r>
        <w:rPr>
          <w:color w:val="333333"/>
        </w:rPr>
        <w:t>1598.44</w:t>
      </w:r>
      <w:r>
        <w:rPr>
          <w:color w:val="333333"/>
          <w:spacing w:val="-14"/>
        </w:rPr>
        <w:t xml:space="preserve"> 万元，同比</w:t>
      </w:r>
    </w:p>
    <w:p w14:paraId="2ABAAB5E">
      <w:pPr>
        <w:pStyle w:val="2"/>
        <w:spacing w:before="222" w:line="374" w:lineRule="auto"/>
        <w:ind w:right="266"/>
      </w:pPr>
      <w:r>
        <w:rPr>
          <w:color w:val="333333"/>
          <w:spacing w:val="-27"/>
        </w:rPr>
        <w:t xml:space="preserve">增加 </w:t>
      </w:r>
      <w:r>
        <w:rPr>
          <w:color w:val="333333"/>
          <w:spacing w:val="-2"/>
        </w:rPr>
        <w:t>349.88</w:t>
      </w:r>
      <w:r>
        <w:rPr>
          <w:color w:val="333333"/>
          <w:spacing w:val="-20"/>
        </w:rPr>
        <w:t xml:space="preserve"> 万元，同比增加 </w:t>
      </w:r>
      <w:r>
        <w:rPr>
          <w:color w:val="333333"/>
          <w:spacing w:val="-2"/>
        </w:rPr>
        <w:t>18</w:t>
      </w:r>
      <w:r>
        <w:rPr>
          <w:color w:val="333333"/>
          <w:spacing w:val="-40"/>
        </w:rPr>
        <w:t xml:space="preserve"> %</w:t>
      </w:r>
      <w:r>
        <w:rPr>
          <w:color w:val="333333"/>
          <w:spacing w:val="-2"/>
        </w:rPr>
        <w:t>）</w:t>
      </w:r>
      <w:r>
        <w:rPr>
          <w:color w:val="333333"/>
          <w:spacing w:val="-10"/>
        </w:rPr>
        <w:t xml:space="preserve">。其中财政拨款收入 </w:t>
      </w:r>
      <w:r>
        <w:rPr>
          <w:color w:val="333333"/>
          <w:spacing w:val="-2"/>
        </w:rPr>
        <w:t>1948.32万元，为区本级财政当年拨付的资金。</w:t>
      </w:r>
    </w:p>
    <w:p w14:paraId="1C0CC7E2">
      <w:pPr>
        <w:spacing w:before="0" w:line="474" w:lineRule="exact"/>
        <w:ind w:left="747" w:right="0" w:firstLine="0"/>
        <w:jc w:val="left"/>
        <w:rPr>
          <w:rFonts w:ascii="Microsoft JhengHei" w:eastAsia="Microsoft JhengHei"/>
          <w:b/>
          <w:sz w:val="32"/>
        </w:rPr>
      </w:pPr>
      <w:r>
        <w:rPr>
          <w:rFonts w:ascii="Microsoft JhengHei" w:eastAsia="Microsoft JhengHei"/>
          <w:b/>
          <w:spacing w:val="-2"/>
          <w:sz w:val="32"/>
        </w:rPr>
        <w:t>（二）</w:t>
      </w:r>
      <w:r>
        <w:rPr>
          <w:rFonts w:ascii="Microsoft JhengHei" w:eastAsia="Microsoft JhengHei"/>
          <w:b/>
          <w:spacing w:val="-4"/>
          <w:sz w:val="32"/>
        </w:rPr>
        <w:t>支出预算情况</w:t>
      </w:r>
    </w:p>
    <w:p w14:paraId="78CCF043">
      <w:pPr>
        <w:pStyle w:val="2"/>
        <w:spacing w:before="79" w:line="384" w:lineRule="auto"/>
        <w:ind w:right="266" w:firstLine="621"/>
        <w:jc w:val="both"/>
      </w:pPr>
      <w:r>
        <w:rPr>
          <w:color w:val="333333"/>
          <w:spacing w:val="-2"/>
        </w:rPr>
        <w:t>支出总计1948.32万元（上年支出总计1598.44万元，同比增</w:t>
      </w:r>
      <w:r>
        <w:rPr>
          <w:color w:val="333333"/>
        </w:rPr>
        <w:t>加349.88万元，同比增加18 %）。</w:t>
      </w:r>
    </w:p>
    <w:p w14:paraId="651B6118">
      <w:pPr>
        <w:pStyle w:val="7"/>
        <w:numPr>
          <w:ilvl w:val="0"/>
          <w:numId w:val="1"/>
        </w:numPr>
        <w:tabs>
          <w:tab w:val="left" w:pos="1041"/>
        </w:tabs>
        <w:spacing w:before="1" w:after="0" w:line="384" w:lineRule="auto"/>
        <w:ind w:left="106" w:right="266" w:firstLine="621"/>
        <w:jc w:val="both"/>
        <w:rPr>
          <w:sz w:val="31"/>
        </w:rPr>
      </w:pPr>
      <w:r>
        <w:rPr>
          <w:color w:val="333333"/>
          <w:sz w:val="31"/>
        </w:rPr>
        <w:t>一般公共服务（类）1466.39 万元：主要用于行政单位行</w:t>
      </w:r>
      <w:r>
        <w:rPr>
          <w:color w:val="333333"/>
          <w:spacing w:val="-2"/>
          <w:sz w:val="31"/>
        </w:rPr>
        <w:t>政运营的基本支出。</w:t>
      </w:r>
    </w:p>
    <w:p w14:paraId="0D411BF7">
      <w:pPr>
        <w:pStyle w:val="7"/>
        <w:numPr>
          <w:ilvl w:val="0"/>
          <w:numId w:val="1"/>
        </w:numPr>
        <w:tabs>
          <w:tab w:val="left" w:pos="1036"/>
        </w:tabs>
        <w:spacing w:before="1" w:after="0" w:line="384" w:lineRule="auto"/>
        <w:ind w:left="106" w:right="266" w:firstLine="621"/>
        <w:jc w:val="both"/>
        <w:rPr>
          <w:sz w:val="31"/>
        </w:rPr>
      </w:pPr>
      <w:r>
        <w:rPr>
          <w:color w:val="333333"/>
          <w:spacing w:val="-4"/>
          <w:sz w:val="31"/>
        </w:rPr>
        <w:t>社会保障和就业（类）156.92</w:t>
      </w:r>
      <w:r>
        <w:rPr>
          <w:color w:val="333333"/>
          <w:spacing w:val="-9"/>
          <w:sz w:val="31"/>
        </w:rPr>
        <w:t xml:space="preserve"> 万元：主要用于区本级按国</w:t>
      </w:r>
      <w:r>
        <w:rPr>
          <w:color w:val="333333"/>
          <w:spacing w:val="-2"/>
          <w:sz w:val="31"/>
        </w:rPr>
        <w:t>家规定发放的离退休人员工资津补贴及离退休人员管理方面的支</w:t>
      </w:r>
      <w:r>
        <w:rPr>
          <w:color w:val="333333"/>
          <w:spacing w:val="-6"/>
          <w:sz w:val="31"/>
        </w:rPr>
        <w:t>出。</w:t>
      </w:r>
    </w:p>
    <w:p w14:paraId="5B55243A">
      <w:pPr>
        <w:pStyle w:val="7"/>
        <w:numPr>
          <w:ilvl w:val="0"/>
          <w:numId w:val="1"/>
        </w:numPr>
        <w:tabs>
          <w:tab w:val="left" w:pos="1041"/>
        </w:tabs>
        <w:spacing w:before="1" w:after="0" w:line="384" w:lineRule="auto"/>
        <w:ind w:left="106" w:right="263" w:firstLine="621"/>
        <w:jc w:val="both"/>
        <w:rPr>
          <w:sz w:val="31"/>
        </w:rPr>
      </w:pPr>
      <w:r>
        <w:rPr>
          <w:color w:val="333333"/>
          <w:sz w:val="31"/>
        </w:rPr>
        <w:t>医疗卫生与计划生育支出（类）73.99 万元：主要用于政</w:t>
      </w:r>
      <w:r>
        <w:rPr>
          <w:color w:val="333333"/>
          <w:spacing w:val="-2"/>
          <w:sz w:val="31"/>
        </w:rPr>
        <w:t>府医疗卫生与计划生育方面的支出。</w:t>
      </w:r>
    </w:p>
    <w:p w14:paraId="0BB7FA01">
      <w:pPr>
        <w:pStyle w:val="7"/>
        <w:numPr>
          <w:ilvl w:val="0"/>
          <w:numId w:val="1"/>
        </w:numPr>
        <w:tabs>
          <w:tab w:val="left" w:pos="1041"/>
        </w:tabs>
        <w:spacing w:before="1" w:after="0" w:line="384" w:lineRule="auto"/>
        <w:ind w:left="106" w:right="266" w:firstLine="621"/>
        <w:jc w:val="both"/>
        <w:rPr>
          <w:sz w:val="31"/>
        </w:rPr>
      </w:pPr>
      <w:r>
        <w:rPr>
          <w:color w:val="333333"/>
          <w:sz w:val="31"/>
        </w:rPr>
        <w:t>住房保障支出（类）70.42 万元：主要用于按照国家政策</w:t>
      </w:r>
      <w:r>
        <w:rPr>
          <w:color w:val="333333"/>
          <w:spacing w:val="-2"/>
          <w:sz w:val="31"/>
        </w:rPr>
        <w:t>规定向职工发放的住房公积金、提租补贴、购房补贴等住房改革方面的支出。</w:t>
      </w:r>
    </w:p>
    <w:p w14:paraId="7E21FFBE">
      <w:pPr>
        <w:spacing w:after="0" w:line="384" w:lineRule="auto"/>
        <w:jc w:val="both"/>
        <w:rPr>
          <w:sz w:val="31"/>
        </w:rPr>
        <w:sectPr>
          <w:pgSz w:w="11910" w:h="16840"/>
          <w:pgMar w:top="1920" w:right="1320" w:bottom="1720" w:left="1480" w:header="0" w:footer="1532" w:gutter="0"/>
          <w:cols w:space="720" w:num="1"/>
        </w:sectPr>
      </w:pPr>
    </w:p>
    <w:p w14:paraId="0733C6BD">
      <w:pPr>
        <w:pStyle w:val="2"/>
        <w:spacing w:before="6"/>
        <w:ind w:left="0"/>
        <w:rPr>
          <w:sz w:val="8"/>
        </w:rPr>
      </w:pPr>
    </w:p>
    <w:p w14:paraId="4F3EB3DC">
      <w:pPr>
        <w:pStyle w:val="2"/>
        <w:spacing w:before="56"/>
        <w:ind w:left="728"/>
      </w:pPr>
      <w:r>
        <w:rPr>
          <w:color w:val="333333"/>
          <w:spacing w:val="-3"/>
        </w:rPr>
        <w:t>按照支出经济分类科目，主要用于：</w:t>
      </w:r>
    </w:p>
    <w:p w14:paraId="7ED216C5">
      <w:pPr>
        <w:pStyle w:val="7"/>
        <w:numPr>
          <w:ilvl w:val="0"/>
          <w:numId w:val="2"/>
        </w:numPr>
        <w:tabs>
          <w:tab w:val="left" w:pos="1039"/>
        </w:tabs>
        <w:spacing w:before="239" w:after="0" w:line="384" w:lineRule="auto"/>
        <w:ind w:left="106" w:right="111" w:firstLine="621"/>
        <w:jc w:val="both"/>
        <w:rPr>
          <w:sz w:val="31"/>
        </w:rPr>
      </w:pPr>
      <w:r>
        <w:rPr>
          <w:color w:val="333333"/>
          <w:sz w:val="31"/>
        </w:rPr>
        <w:t>工资福利支出 1017.53 万元：主要用于基本工资、津贴补</w:t>
      </w:r>
      <w:r>
        <w:rPr>
          <w:color w:val="333333"/>
          <w:spacing w:val="-2"/>
          <w:sz w:val="31"/>
        </w:rPr>
        <w:t>贴、奖金、绩效工资、职工基本养老保险缴费、其他社会保障缴</w:t>
      </w:r>
      <w:r>
        <w:rPr>
          <w:color w:val="333333"/>
          <w:spacing w:val="-21"/>
          <w:sz w:val="31"/>
        </w:rPr>
        <w:t>费、住房公积金和其他工资福利支出等。</w:t>
      </w:r>
      <w:r>
        <w:rPr>
          <w:color w:val="333333"/>
          <w:spacing w:val="-2"/>
          <w:sz w:val="31"/>
        </w:rPr>
        <w:t>（</w:t>
      </w:r>
      <w:r>
        <w:rPr>
          <w:color w:val="333333"/>
          <w:spacing w:val="-15"/>
          <w:sz w:val="31"/>
        </w:rPr>
        <w:t xml:space="preserve">基本工资 </w:t>
      </w:r>
      <w:r>
        <w:rPr>
          <w:color w:val="333333"/>
          <w:spacing w:val="-2"/>
          <w:sz w:val="31"/>
        </w:rPr>
        <w:t>185.63</w:t>
      </w:r>
      <w:r>
        <w:rPr>
          <w:color w:val="333333"/>
          <w:spacing w:val="-19"/>
          <w:sz w:val="31"/>
        </w:rPr>
        <w:t xml:space="preserve"> 万元、</w:t>
      </w:r>
    </w:p>
    <w:p w14:paraId="1F86C870">
      <w:pPr>
        <w:pStyle w:val="2"/>
        <w:spacing w:before="2"/>
        <w:jc w:val="both"/>
      </w:pPr>
      <w:r>
        <w:rPr>
          <w:color w:val="333333"/>
          <w:spacing w:val="-13"/>
        </w:rPr>
        <w:t xml:space="preserve">津贴补贴 </w:t>
      </w:r>
      <w:r>
        <w:rPr>
          <w:color w:val="333333"/>
        </w:rPr>
        <w:t>128.56</w:t>
      </w:r>
      <w:r>
        <w:rPr>
          <w:color w:val="333333"/>
          <w:spacing w:val="-20"/>
        </w:rPr>
        <w:t xml:space="preserve"> 万元、奖金 </w:t>
      </w:r>
      <w:r>
        <w:rPr>
          <w:color w:val="333333"/>
        </w:rPr>
        <w:t>239.31</w:t>
      </w:r>
      <w:r>
        <w:rPr>
          <w:color w:val="333333"/>
          <w:spacing w:val="-10"/>
        </w:rPr>
        <w:t xml:space="preserve"> 万元、机关事业单位基本养</w:t>
      </w:r>
    </w:p>
    <w:p w14:paraId="44B382A7">
      <w:pPr>
        <w:pStyle w:val="2"/>
        <w:spacing w:before="238"/>
        <w:jc w:val="both"/>
      </w:pPr>
      <w:r>
        <w:rPr>
          <w:color w:val="333333"/>
          <w:spacing w:val="-11"/>
        </w:rPr>
        <w:t xml:space="preserve">老保险缴费 </w:t>
      </w:r>
      <w:r>
        <w:rPr>
          <w:color w:val="333333"/>
        </w:rPr>
        <w:t>72.65</w:t>
      </w:r>
      <w:r>
        <w:rPr>
          <w:color w:val="333333"/>
          <w:spacing w:val="-18"/>
        </w:rPr>
        <w:t xml:space="preserve"> 万元、职业年金 </w:t>
      </w:r>
      <w:r>
        <w:rPr>
          <w:color w:val="333333"/>
        </w:rPr>
        <w:t>36.33</w:t>
      </w:r>
      <w:r>
        <w:rPr>
          <w:color w:val="333333"/>
          <w:spacing w:val="-10"/>
        </w:rPr>
        <w:t xml:space="preserve"> 万元、职工基本医疗保</w:t>
      </w:r>
    </w:p>
    <w:p w14:paraId="4BFAFDE8">
      <w:pPr>
        <w:pStyle w:val="2"/>
        <w:spacing w:before="239"/>
        <w:jc w:val="both"/>
      </w:pPr>
      <w:r>
        <w:rPr>
          <w:color w:val="333333"/>
          <w:spacing w:val="-16"/>
        </w:rPr>
        <w:t xml:space="preserve">险缴费 </w:t>
      </w:r>
      <w:r>
        <w:rPr>
          <w:color w:val="333333"/>
        </w:rPr>
        <w:t>31.35</w:t>
      </w:r>
      <w:r>
        <w:rPr>
          <w:color w:val="333333"/>
          <w:spacing w:val="-14"/>
        </w:rPr>
        <w:t xml:space="preserve"> 万元、公务员医疗补助 </w:t>
      </w:r>
      <w:r>
        <w:rPr>
          <w:color w:val="333333"/>
        </w:rPr>
        <w:t>20.09</w:t>
      </w:r>
      <w:r>
        <w:rPr>
          <w:color w:val="333333"/>
          <w:spacing w:val="-10"/>
        </w:rPr>
        <w:t xml:space="preserve"> 万元、其他社会保障</w:t>
      </w:r>
    </w:p>
    <w:p w14:paraId="11627DBC">
      <w:pPr>
        <w:pStyle w:val="2"/>
        <w:spacing w:before="239" w:line="384" w:lineRule="auto"/>
        <w:ind w:right="266"/>
        <w:jc w:val="both"/>
      </w:pPr>
      <w:r>
        <w:rPr>
          <w:color w:val="333333"/>
          <w:spacing w:val="-16"/>
        </w:rPr>
        <w:t xml:space="preserve">缴费 </w:t>
      </w:r>
      <w:r>
        <w:rPr>
          <w:color w:val="333333"/>
          <w:spacing w:val="-8"/>
        </w:rPr>
        <w:t>15</w:t>
      </w:r>
      <w:r>
        <w:rPr>
          <w:color w:val="333333"/>
          <w:spacing w:val="-23"/>
        </w:rPr>
        <w:t xml:space="preserve"> 万元、住房公积金 </w:t>
      </w:r>
      <w:r>
        <w:rPr>
          <w:color w:val="333333"/>
          <w:spacing w:val="-8"/>
        </w:rPr>
        <w:t>70.42</w:t>
      </w:r>
      <w:r>
        <w:rPr>
          <w:color w:val="333333"/>
          <w:spacing w:val="-20"/>
        </w:rPr>
        <w:t xml:space="preserve"> 万元、其他工资福利支出 </w:t>
      </w:r>
      <w:r>
        <w:rPr>
          <w:color w:val="333333"/>
          <w:spacing w:val="-8"/>
        </w:rPr>
        <w:t>307.36</w:t>
      </w:r>
      <w:r>
        <w:rPr>
          <w:color w:val="333333"/>
          <w:spacing w:val="-4"/>
        </w:rPr>
        <w:t>万元）</w:t>
      </w:r>
    </w:p>
    <w:p w14:paraId="65865ED4">
      <w:pPr>
        <w:pStyle w:val="7"/>
        <w:numPr>
          <w:ilvl w:val="0"/>
          <w:numId w:val="2"/>
        </w:numPr>
        <w:tabs>
          <w:tab w:val="left" w:pos="1036"/>
        </w:tabs>
        <w:spacing w:before="1" w:after="0" w:line="384" w:lineRule="auto"/>
        <w:ind w:left="106" w:right="263" w:firstLine="621"/>
        <w:jc w:val="both"/>
        <w:rPr>
          <w:sz w:val="31"/>
        </w:rPr>
      </w:pPr>
      <w:r>
        <w:rPr>
          <w:color w:val="333333"/>
          <w:spacing w:val="-8"/>
          <w:sz w:val="31"/>
        </w:rPr>
        <w:t xml:space="preserve">商品和服务支出 </w:t>
      </w:r>
      <w:r>
        <w:rPr>
          <w:color w:val="333333"/>
          <w:spacing w:val="-4"/>
          <w:sz w:val="31"/>
        </w:rPr>
        <w:t>144.38</w:t>
      </w:r>
      <w:r>
        <w:rPr>
          <w:color w:val="333333"/>
          <w:spacing w:val="-16"/>
          <w:sz w:val="31"/>
        </w:rPr>
        <w:t xml:space="preserve"> 万元：主要用于单位人员日常公用</w:t>
      </w:r>
      <w:r>
        <w:rPr>
          <w:color w:val="333333"/>
          <w:spacing w:val="-19"/>
          <w:sz w:val="31"/>
        </w:rPr>
        <w:t>经费、办公用房租金、其他交通费用及其他商品和服务支出。</w:t>
      </w:r>
      <w:r>
        <w:rPr>
          <w:color w:val="333333"/>
          <w:spacing w:val="-2"/>
          <w:sz w:val="31"/>
        </w:rPr>
        <w:t>（办</w:t>
      </w:r>
      <w:r>
        <w:rPr>
          <w:color w:val="333333"/>
          <w:spacing w:val="-29"/>
          <w:sz w:val="31"/>
        </w:rPr>
        <w:t xml:space="preserve">公费 </w:t>
      </w:r>
      <w:r>
        <w:rPr>
          <w:color w:val="333333"/>
          <w:spacing w:val="-4"/>
          <w:sz w:val="31"/>
        </w:rPr>
        <w:t>20</w:t>
      </w:r>
      <w:r>
        <w:rPr>
          <w:color w:val="333333"/>
          <w:spacing w:val="-24"/>
          <w:sz w:val="31"/>
        </w:rPr>
        <w:t xml:space="preserve"> 万元、印刷费 </w:t>
      </w:r>
      <w:r>
        <w:rPr>
          <w:color w:val="333333"/>
          <w:spacing w:val="-4"/>
          <w:sz w:val="31"/>
        </w:rPr>
        <w:t>6</w:t>
      </w:r>
      <w:r>
        <w:rPr>
          <w:color w:val="333333"/>
          <w:spacing w:val="-24"/>
          <w:sz w:val="31"/>
        </w:rPr>
        <w:t xml:space="preserve"> 万元、邮电费 </w:t>
      </w:r>
      <w:r>
        <w:rPr>
          <w:color w:val="333333"/>
          <w:spacing w:val="-4"/>
          <w:sz w:val="31"/>
        </w:rPr>
        <w:t>5</w:t>
      </w:r>
      <w:r>
        <w:rPr>
          <w:color w:val="333333"/>
          <w:spacing w:val="-24"/>
          <w:sz w:val="31"/>
        </w:rPr>
        <w:t xml:space="preserve"> 万元、差旅费 </w:t>
      </w:r>
      <w:r>
        <w:rPr>
          <w:color w:val="333333"/>
          <w:spacing w:val="-4"/>
          <w:sz w:val="31"/>
        </w:rPr>
        <w:t>9</w:t>
      </w:r>
      <w:r>
        <w:rPr>
          <w:color w:val="333333"/>
          <w:spacing w:val="-20"/>
          <w:sz w:val="31"/>
        </w:rPr>
        <w:t xml:space="preserve"> 万元、因</w:t>
      </w:r>
    </w:p>
    <w:p w14:paraId="54F905AB">
      <w:pPr>
        <w:pStyle w:val="2"/>
        <w:spacing w:before="1"/>
        <w:jc w:val="both"/>
      </w:pPr>
      <w:r>
        <w:rPr>
          <w:color w:val="333333"/>
          <w:spacing w:val="-4"/>
        </w:rPr>
        <w:t>公出国（境）</w:t>
      </w:r>
      <w:r>
        <w:rPr>
          <w:color w:val="333333"/>
          <w:spacing w:val="-30"/>
        </w:rPr>
        <w:t xml:space="preserve">费用 </w:t>
      </w:r>
      <w:r>
        <w:rPr>
          <w:color w:val="333333"/>
          <w:spacing w:val="-4"/>
        </w:rPr>
        <w:t>11.5</w:t>
      </w:r>
      <w:r>
        <w:rPr>
          <w:color w:val="333333"/>
          <w:spacing w:val="-24"/>
        </w:rPr>
        <w:t xml:space="preserve"> 万元、会议费 </w:t>
      </w:r>
      <w:r>
        <w:rPr>
          <w:color w:val="333333"/>
          <w:spacing w:val="-4"/>
        </w:rPr>
        <w:t>1</w:t>
      </w:r>
      <w:r>
        <w:rPr>
          <w:color w:val="333333"/>
          <w:spacing w:val="-24"/>
        </w:rPr>
        <w:t xml:space="preserve"> 万元、培训费 </w:t>
      </w:r>
      <w:r>
        <w:rPr>
          <w:color w:val="333333"/>
          <w:spacing w:val="-4"/>
        </w:rPr>
        <w:t>1</w:t>
      </w:r>
      <w:r>
        <w:rPr>
          <w:color w:val="333333"/>
          <w:spacing w:val="-22"/>
        </w:rPr>
        <w:t xml:space="preserve"> 万元、劳</w:t>
      </w:r>
    </w:p>
    <w:p w14:paraId="3503F3C2">
      <w:pPr>
        <w:pStyle w:val="2"/>
        <w:spacing w:before="239"/>
        <w:jc w:val="both"/>
      </w:pPr>
      <w:r>
        <w:rPr>
          <w:color w:val="333333"/>
          <w:spacing w:val="-27"/>
        </w:rPr>
        <w:t xml:space="preserve">务费 </w:t>
      </w:r>
      <w:r>
        <w:rPr>
          <w:color w:val="333333"/>
          <w:spacing w:val="-2"/>
        </w:rPr>
        <w:t>1</w:t>
      </w:r>
      <w:r>
        <w:rPr>
          <w:color w:val="333333"/>
          <w:spacing w:val="-19"/>
        </w:rPr>
        <w:t xml:space="preserve"> 万元、委托义务费 </w:t>
      </w:r>
      <w:r>
        <w:rPr>
          <w:color w:val="333333"/>
          <w:spacing w:val="-2"/>
        </w:rPr>
        <w:t>1</w:t>
      </w:r>
      <w:r>
        <w:rPr>
          <w:color w:val="333333"/>
          <w:spacing w:val="-20"/>
        </w:rPr>
        <w:t xml:space="preserve"> 万元、工会经费 </w:t>
      </w:r>
      <w:r>
        <w:rPr>
          <w:color w:val="333333"/>
          <w:spacing w:val="-2"/>
        </w:rPr>
        <w:t>1</w:t>
      </w:r>
      <w:r>
        <w:rPr>
          <w:color w:val="333333"/>
          <w:spacing w:val="-22"/>
        </w:rPr>
        <w:t xml:space="preserve"> 万元、福利费 </w:t>
      </w:r>
      <w:r>
        <w:rPr>
          <w:color w:val="333333"/>
          <w:spacing w:val="-4"/>
        </w:rPr>
        <w:t>1.26</w:t>
      </w:r>
    </w:p>
    <w:p w14:paraId="5011943E">
      <w:pPr>
        <w:pStyle w:val="2"/>
        <w:spacing w:before="239"/>
        <w:jc w:val="both"/>
      </w:pPr>
      <w:r>
        <w:rPr>
          <w:color w:val="333333"/>
          <w:spacing w:val="-8"/>
        </w:rPr>
        <w:t xml:space="preserve">万元、公务用车运行维护费 </w:t>
      </w:r>
      <w:r>
        <w:rPr>
          <w:color w:val="333333"/>
          <w:spacing w:val="-2"/>
        </w:rPr>
        <w:t>12</w:t>
      </w:r>
      <w:r>
        <w:rPr>
          <w:color w:val="333333"/>
          <w:spacing w:val="-16"/>
        </w:rPr>
        <w:t xml:space="preserve"> 万元、其他交通费用 </w:t>
      </w:r>
      <w:r>
        <w:rPr>
          <w:color w:val="333333"/>
          <w:spacing w:val="-2"/>
        </w:rPr>
        <w:t>34.61</w:t>
      </w:r>
      <w:r>
        <w:rPr>
          <w:color w:val="333333"/>
          <w:spacing w:val="-21"/>
        </w:rPr>
        <w:t xml:space="preserve"> 万元、</w:t>
      </w:r>
    </w:p>
    <w:p w14:paraId="2237586C">
      <w:pPr>
        <w:pStyle w:val="2"/>
        <w:spacing w:before="239"/>
        <w:jc w:val="both"/>
      </w:pPr>
      <w:r>
        <w:rPr>
          <w:color w:val="333333"/>
          <w:spacing w:val="-11"/>
        </w:rPr>
        <w:t xml:space="preserve">税金及附加费用 </w:t>
      </w:r>
      <w:r>
        <w:rPr>
          <w:color w:val="333333"/>
          <w:spacing w:val="-2"/>
        </w:rPr>
        <w:t>1</w:t>
      </w:r>
      <w:r>
        <w:rPr>
          <w:color w:val="333333"/>
          <w:spacing w:val="-16"/>
        </w:rPr>
        <w:t xml:space="preserve"> 万元、其他商品和服务支出 </w:t>
      </w:r>
      <w:r>
        <w:rPr>
          <w:color w:val="333333"/>
          <w:spacing w:val="-2"/>
        </w:rPr>
        <w:t>37</w:t>
      </w:r>
      <w:r>
        <w:rPr>
          <w:color w:val="333333"/>
          <w:spacing w:val="-25"/>
        </w:rPr>
        <w:t xml:space="preserve"> 万元</w:t>
      </w:r>
      <w:r>
        <w:rPr>
          <w:color w:val="333333"/>
          <w:spacing w:val="-10"/>
        </w:rPr>
        <w:t>）</w:t>
      </w:r>
    </w:p>
    <w:p w14:paraId="43511D0F">
      <w:pPr>
        <w:pStyle w:val="7"/>
        <w:numPr>
          <w:ilvl w:val="0"/>
          <w:numId w:val="2"/>
        </w:numPr>
        <w:tabs>
          <w:tab w:val="left" w:pos="1040"/>
        </w:tabs>
        <w:spacing w:before="239" w:after="0" w:line="240" w:lineRule="auto"/>
        <w:ind w:left="1040" w:right="0" w:hanging="312"/>
        <w:jc w:val="left"/>
        <w:rPr>
          <w:sz w:val="31"/>
        </w:rPr>
      </w:pPr>
      <w:r>
        <w:rPr>
          <w:color w:val="333333"/>
          <w:spacing w:val="-5"/>
          <w:sz w:val="31"/>
        </w:rPr>
        <w:t xml:space="preserve">对个人和家庭的补助支出 </w:t>
      </w:r>
      <w:r>
        <w:rPr>
          <w:color w:val="333333"/>
          <w:sz w:val="31"/>
        </w:rPr>
        <w:t>54.69</w:t>
      </w:r>
      <w:r>
        <w:rPr>
          <w:color w:val="333333"/>
          <w:spacing w:val="-9"/>
          <w:sz w:val="31"/>
        </w:rPr>
        <w:t xml:space="preserve"> 万元：主要用于离休费、</w:t>
      </w:r>
    </w:p>
    <w:p w14:paraId="3041F405">
      <w:pPr>
        <w:pStyle w:val="2"/>
        <w:spacing w:before="239"/>
        <w:jc w:val="both"/>
      </w:pPr>
      <w:r>
        <w:rPr>
          <w:color w:val="333333"/>
        </w:rPr>
        <w:t>退休费和其他对个人和家庭的补助支出。（</w:t>
      </w:r>
      <w:r>
        <w:rPr>
          <w:color w:val="333333"/>
          <w:spacing w:val="-9"/>
        </w:rPr>
        <w:t xml:space="preserve">离退休经费 </w:t>
      </w:r>
      <w:r>
        <w:rPr>
          <w:color w:val="333333"/>
        </w:rPr>
        <w:t>46.92</w:t>
      </w:r>
      <w:r>
        <w:rPr>
          <w:color w:val="333333"/>
          <w:spacing w:val="-32"/>
        </w:rPr>
        <w:t xml:space="preserve"> 万</w:t>
      </w:r>
    </w:p>
    <w:p w14:paraId="5993D567">
      <w:pPr>
        <w:pStyle w:val="2"/>
        <w:spacing w:before="238"/>
        <w:jc w:val="both"/>
      </w:pPr>
      <w:r>
        <w:rPr>
          <w:color w:val="333333"/>
          <w:spacing w:val="-11"/>
        </w:rPr>
        <w:t xml:space="preserve">元、医疗费补助 </w:t>
      </w:r>
      <w:r>
        <w:rPr>
          <w:color w:val="333333"/>
          <w:spacing w:val="-2"/>
        </w:rPr>
        <w:t>7.77</w:t>
      </w:r>
      <w:r>
        <w:rPr>
          <w:color w:val="333333"/>
          <w:spacing w:val="-24"/>
        </w:rPr>
        <w:t xml:space="preserve"> 万元</w:t>
      </w:r>
      <w:r>
        <w:rPr>
          <w:color w:val="333333"/>
          <w:spacing w:val="-10"/>
        </w:rPr>
        <w:t>）</w:t>
      </w:r>
    </w:p>
    <w:p w14:paraId="01DD73F2">
      <w:pPr>
        <w:pStyle w:val="2"/>
        <w:spacing w:before="239"/>
        <w:ind w:left="728"/>
      </w:pPr>
      <w:r>
        <w:rPr>
          <w:color w:val="333333"/>
          <w:spacing w:val="-13"/>
        </w:rPr>
        <w:t xml:space="preserve">预算支出比去年增加的原因：预算支出比上年增加 </w:t>
      </w:r>
      <w:r>
        <w:rPr>
          <w:color w:val="333333"/>
          <w:spacing w:val="-2"/>
        </w:rPr>
        <w:t>349.88</w:t>
      </w:r>
      <w:r>
        <w:rPr>
          <w:color w:val="333333"/>
          <w:spacing w:val="-33"/>
        </w:rPr>
        <w:t xml:space="preserve"> 万</w:t>
      </w:r>
    </w:p>
    <w:p w14:paraId="4E28DD7A">
      <w:pPr>
        <w:spacing w:after="0"/>
        <w:sectPr>
          <w:pgSz w:w="11910" w:h="16840"/>
          <w:pgMar w:top="1920" w:right="1320" w:bottom="1720" w:left="1480" w:header="0" w:footer="1532" w:gutter="0"/>
          <w:cols w:space="720" w:num="1"/>
        </w:sectPr>
      </w:pPr>
    </w:p>
    <w:p w14:paraId="1EA76F63">
      <w:pPr>
        <w:pStyle w:val="2"/>
        <w:spacing w:before="6"/>
        <w:ind w:left="0"/>
        <w:rPr>
          <w:sz w:val="8"/>
        </w:rPr>
      </w:pPr>
    </w:p>
    <w:p w14:paraId="1E23718D">
      <w:pPr>
        <w:pStyle w:val="2"/>
        <w:spacing w:before="56" w:line="384" w:lineRule="auto"/>
        <w:ind w:right="111"/>
      </w:pPr>
      <w:r>
        <w:rPr>
          <w:color w:val="333333"/>
          <w:spacing w:val="-16"/>
        </w:rPr>
        <w:t xml:space="preserve">元，其中基本支出增加 </w:t>
      </w:r>
      <w:r>
        <w:rPr>
          <w:color w:val="333333"/>
          <w:spacing w:val="-2"/>
        </w:rPr>
        <w:t>172.15</w:t>
      </w:r>
      <w:r>
        <w:rPr>
          <w:color w:val="333333"/>
          <w:spacing w:val="-21"/>
        </w:rPr>
        <w:t xml:space="preserve"> 万元，项目支出增加 </w:t>
      </w:r>
      <w:r>
        <w:rPr>
          <w:color w:val="333333"/>
          <w:spacing w:val="-2"/>
        </w:rPr>
        <w:t>177.73</w:t>
      </w:r>
      <w:r>
        <w:rPr>
          <w:color w:val="333333"/>
          <w:spacing w:val="-20"/>
        </w:rPr>
        <w:t xml:space="preserve"> 万元。</w:t>
      </w:r>
      <w:r>
        <w:rPr>
          <w:color w:val="333333"/>
          <w:spacing w:val="-2"/>
        </w:rPr>
        <w:t>基本支出增加的主要原因是增加其他商品和服务支出；项目支出增加的主要原因是上年减少律师服务费用支出，本年因建设法治机关增加律师服务费。</w:t>
      </w:r>
    </w:p>
    <w:p w14:paraId="2F33E9A0">
      <w:pPr>
        <w:spacing w:before="0" w:line="542" w:lineRule="exact"/>
        <w:ind w:left="747" w:right="0" w:firstLine="0"/>
        <w:jc w:val="left"/>
        <w:rPr>
          <w:rFonts w:ascii="Microsoft JhengHei" w:eastAsia="Microsoft JhengHei"/>
          <w:b/>
          <w:sz w:val="32"/>
        </w:rPr>
      </w:pPr>
      <w:r>
        <w:rPr>
          <w:rFonts w:ascii="Microsoft JhengHei" w:eastAsia="Microsoft JhengHei"/>
          <w:b/>
          <w:spacing w:val="-2"/>
          <w:sz w:val="32"/>
        </w:rPr>
        <w:t>（三）</w:t>
      </w:r>
      <w:r>
        <w:rPr>
          <w:rFonts w:ascii="Microsoft JhengHei" w:eastAsia="Microsoft JhengHei"/>
          <w:b/>
          <w:spacing w:val="-4"/>
          <w:sz w:val="32"/>
        </w:rPr>
        <w:t>财政拨款支出情况</w:t>
      </w:r>
    </w:p>
    <w:p w14:paraId="6389C7E9">
      <w:pPr>
        <w:pStyle w:val="2"/>
        <w:spacing w:before="79"/>
        <w:ind w:left="728"/>
      </w:pPr>
      <w:r>
        <w:rPr>
          <w:color w:val="333333"/>
        </w:rPr>
        <w:t>2025</w:t>
      </w:r>
      <w:r>
        <w:rPr>
          <w:color w:val="333333"/>
          <w:spacing w:val="13"/>
        </w:rPr>
        <w:t xml:space="preserve"> 年度一般公共预算支出 </w:t>
      </w:r>
      <w:r>
        <w:rPr>
          <w:color w:val="333333"/>
        </w:rPr>
        <w:t>1948.32</w:t>
      </w:r>
      <w:r>
        <w:rPr>
          <w:color w:val="333333"/>
          <w:spacing w:val="-2"/>
        </w:rPr>
        <w:t xml:space="preserve"> 万元， 比去年预算</w:t>
      </w:r>
    </w:p>
    <w:p w14:paraId="228C4B55">
      <w:pPr>
        <w:pStyle w:val="2"/>
        <w:spacing w:before="239"/>
        <w:jc w:val="both"/>
      </w:pPr>
      <w:r>
        <w:rPr>
          <w:color w:val="333333"/>
          <w:spacing w:val="-2"/>
        </w:rPr>
        <w:t>1598.44</w:t>
      </w:r>
      <w:r>
        <w:rPr>
          <w:color w:val="333333"/>
          <w:spacing w:val="-25"/>
        </w:rPr>
        <w:t xml:space="preserve"> 万元增加 </w:t>
      </w:r>
      <w:r>
        <w:rPr>
          <w:color w:val="333333"/>
          <w:spacing w:val="-2"/>
        </w:rPr>
        <w:t>349.88</w:t>
      </w:r>
      <w:r>
        <w:rPr>
          <w:color w:val="333333"/>
          <w:spacing w:val="-19"/>
        </w:rPr>
        <w:t xml:space="preserve"> 万元，其中：其中基本支出增加 </w:t>
      </w:r>
      <w:r>
        <w:rPr>
          <w:color w:val="333333"/>
          <w:spacing w:val="-2"/>
        </w:rPr>
        <w:t>172.15</w:t>
      </w:r>
    </w:p>
    <w:p w14:paraId="6AAEB92D">
      <w:pPr>
        <w:pStyle w:val="2"/>
        <w:spacing w:before="239" w:line="384" w:lineRule="auto"/>
        <w:ind w:right="266"/>
        <w:jc w:val="both"/>
      </w:pPr>
      <w:r>
        <w:rPr>
          <w:color w:val="333333"/>
          <w:spacing w:val="-15"/>
        </w:rPr>
        <w:t xml:space="preserve">万元，项目支出增加 </w:t>
      </w:r>
      <w:r>
        <w:rPr>
          <w:color w:val="333333"/>
          <w:spacing w:val="-4"/>
        </w:rPr>
        <w:t>177.73</w:t>
      </w:r>
      <w:r>
        <w:rPr>
          <w:color w:val="333333"/>
          <w:spacing w:val="-13"/>
        </w:rPr>
        <w:t xml:space="preserve"> 万元。基本支出增加的主要原因是增</w:t>
      </w:r>
      <w:r>
        <w:rPr>
          <w:color w:val="333333"/>
          <w:spacing w:val="-2"/>
        </w:rPr>
        <w:t>加其他商品和服务支出；项目支出增加的主要原因是本年度增加青春化工园安全环保应急救援信息系统平台维护管理费。</w:t>
      </w:r>
    </w:p>
    <w:p w14:paraId="52CA2D0E">
      <w:pPr>
        <w:spacing w:before="0" w:line="544" w:lineRule="exact"/>
        <w:ind w:left="747" w:right="0" w:firstLine="0"/>
        <w:jc w:val="left"/>
        <w:rPr>
          <w:rFonts w:ascii="Microsoft JhengHei" w:eastAsia="Microsoft JhengHei"/>
          <w:b/>
          <w:sz w:val="32"/>
        </w:rPr>
      </w:pPr>
      <w:r>
        <w:rPr>
          <w:rFonts w:ascii="Microsoft JhengHei" w:eastAsia="Microsoft JhengHei"/>
          <w:b/>
          <w:spacing w:val="-2"/>
          <w:sz w:val="32"/>
        </w:rPr>
        <w:t>（四）</w:t>
      </w:r>
      <w:r>
        <w:rPr>
          <w:rFonts w:ascii="Microsoft JhengHei" w:eastAsia="Microsoft JhengHei"/>
          <w:b/>
          <w:spacing w:val="-4"/>
          <w:sz w:val="32"/>
        </w:rPr>
        <w:t>政府性基金情况</w:t>
      </w:r>
    </w:p>
    <w:p w14:paraId="65B003BA">
      <w:pPr>
        <w:pStyle w:val="2"/>
        <w:spacing w:before="79"/>
        <w:ind w:left="1037"/>
      </w:pPr>
      <w:r>
        <w:rPr>
          <w:color w:val="333333"/>
          <w:spacing w:val="-2"/>
        </w:rPr>
        <w:t>2025</w:t>
      </w:r>
      <w:r>
        <w:rPr>
          <w:color w:val="333333"/>
          <w:spacing w:val="-10"/>
        </w:rPr>
        <w:t xml:space="preserve"> 年未使用政府性基金预算拨款安排支出。</w:t>
      </w:r>
    </w:p>
    <w:p w14:paraId="430986A9">
      <w:pPr>
        <w:spacing w:before="191"/>
        <w:ind w:left="747" w:right="0" w:firstLine="0"/>
        <w:jc w:val="left"/>
        <w:rPr>
          <w:rFonts w:ascii="Microsoft JhengHei" w:eastAsia="Microsoft JhengHei"/>
          <w:b/>
          <w:sz w:val="32"/>
        </w:rPr>
      </w:pPr>
      <w:r>
        <w:rPr>
          <w:rFonts w:ascii="Microsoft JhengHei" w:eastAsia="Microsoft JhengHei"/>
          <w:b/>
          <w:spacing w:val="-2"/>
          <w:sz w:val="32"/>
        </w:rPr>
        <w:t>（五）</w:t>
      </w:r>
      <w:r>
        <w:rPr>
          <w:rFonts w:ascii="Microsoft JhengHei" w:eastAsia="Microsoft JhengHei"/>
          <w:b/>
          <w:spacing w:val="-3"/>
          <w:sz w:val="32"/>
        </w:rPr>
        <w:t>国有资本经营预算情况</w:t>
      </w:r>
    </w:p>
    <w:p w14:paraId="4DAD2554">
      <w:pPr>
        <w:pStyle w:val="2"/>
        <w:spacing w:before="79"/>
        <w:ind w:left="1037"/>
      </w:pPr>
      <w:r>
        <w:rPr>
          <w:color w:val="333333"/>
          <w:spacing w:val="-2"/>
        </w:rPr>
        <w:t>2025</w:t>
      </w:r>
      <w:r>
        <w:rPr>
          <w:color w:val="333333"/>
          <w:spacing w:val="-10"/>
        </w:rPr>
        <w:t xml:space="preserve"> 年未使用国有资本经营预算拨款安排支出。</w:t>
      </w:r>
    </w:p>
    <w:p w14:paraId="0C6CCF07">
      <w:pPr>
        <w:pStyle w:val="2"/>
        <w:spacing w:before="1"/>
        <w:ind w:left="0"/>
        <w:rPr>
          <w:sz w:val="23"/>
        </w:rPr>
      </w:pPr>
    </w:p>
    <w:p w14:paraId="77F931BD">
      <w:pPr>
        <w:spacing w:before="0"/>
        <w:ind w:left="747" w:right="0" w:firstLine="0"/>
        <w:jc w:val="left"/>
        <w:rPr>
          <w:sz w:val="32"/>
        </w:rPr>
      </w:pPr>
      <w:r>
        <w:rPr>
          <w:spacing w:val="-5"/>
          <w:sz w:val="32"/>
        </w:rPr>
        <w:t>四、机关运行经费安排情况</w:t>
      </w:r>
    </w:p>
    <w:p w14:paraId="242966BF">
      <w:pPr>
        <w:pStyle w:val="2"/>
        <w:spacing w:before="171" w:line="338" w:lineRule="auto"/>
        <w:ind w:right="266" w:firstLine="640"/>
        <w:jc w:val="both"/>
      </w:pPr>
      <w:r>
        <w:rPr>
          <w:color w:val="333333"/>
          <w:spacing w:val="-1"/>
        </w:rPr>
        <w:t xml:space="preserve">本部门 </w:t>
      </w:r>
      <w:r>
        <w:rPr>
          <w:color w:val="333333"/>
        </w:rPr>
        <w:t>2025</w:t>
      </w:r>
      <w:r>
        <w:rPr>
          <w:color w:val="333333"/>
          <w:spacing w:val="-7"/>
        </w:rPr>
        <w:t xml:space="preserve"> 年度机关运行经费支出 </w:t>
      </w:r>
      <w:r>
        <w:rPr>
          <w:color w:val="333333"/>
        </w:rPr>
        <w:t>143.38 万元，比去年</w:t>
      </w:r>
      <w:r>
        <w:rPr>
          <w:color w:val="333333"/>
          <w:spacing w:val="-7"/>
        </w:rPr>
        <w:t xml:space="preserve">预算数减少 </w:t>
      </w:r>
      <w:r>
        <w:rPr>
          <w:color w:val="333333"/>
        </w:rPr>
        <w:t>0.78</w:t>
      </w:r>
      <w:r>
        <w:rPr>
          <w:color w:val="333333"/>
          <w:spacing w:val="-13"/>
        </w:rPr>
        <w:t xml:space="preserve"> 万元，减少 </w:t>
      </w:r>
      <w:r>
        <w:rPr>
          <w:color w:val="333333"/>
        </w:rPr>
        <w:t>1%。主要原因是：减少机关公务用</w:t>
      </w:r>
      <w:r>
        <w:rPr>
          <w:color w:val="333333"/>
          <w:spacing w:val="-2"/>
        </w:rPr>
        <w:t>车运行维护。</w:t>
      </w:r>
    </w:p>
    <w:p w14:paraId="15F413E9">
      <w:pPr>
        <w:spacing w:before="41"/>
        <w:ind w:left="747" w:right="0" w:firstLine="0"/>
        <w:jc w:val="left"/>
        <w:rPr>
          <w:sz w:val="32"/>
        </w:rPr>
      </w:pPr>
      <w:r>
        <w:rPr>
          <w:spacing w:val="-4"/>
          <w:sz w:val="32"/>
        </w:rPr>
        <w:t>五、一般公共预算</w:t>
      </w:r>
      <w:r>
        <w:rPr>
          <w:rFonts w:ascii="Times New Roman" w:hAnsi="Times New Roman" w:eastAsia="Times New Roman"/>
          <w:spacing w:val="-4"/>
          <w:sz w:val="32"/>
        </w:rPr>
        <w:t>“</w:t>
      </w:r>
      <w:r>
        <w:rPr>
          <w:spacing w:val="-4"/>
          <w:sz w:val="32"/>
        </w:rPr>
        <w:t>三公</w:t>
      </w:r>
      <w:r>
        <w:rPr>
          <w:rFonts w:ascii="Times New Roman" w:hAnsi="Times New Roman" w:eastAsia="Times New Roman"/>
          <w:spacing w:val="-4"/>
          <w:sz w:val="32"/>
        </w:rPr>
        <w:t>”</w:t>
      </w:r>
      <w:r>
        <w:rPr>
          <w:spacing w:val="-5"/>
          <w:sz w:val="32"/>
        </w:rPr>
        <w:t>经费及增减变化情况</w:t>
      </w:r>
    </w:p>
    <w:p w14:paraId="2CB988F3">
      <w:pPr>
        <w:pStyle w:val="2"/>
        <w:spacing w:before="33" w:line="620" w:lineRule="exact"/>
        <w:ind w:right="111" w:firstLine="621"/>
      </w:pPr>
      <w:r>
        <w:rPr>
          <w:color w:val="333333"/>
          <w:spacing w:val="-2"/>
        </w:rPr>
        <w:t>2025</w:t>
      </w:r>
      <w:r>
        <w:rPr>
          <w:color w:val="333333"/>
          <w:spacing w:val="-15"/>
        </w:rPr>
        <w:t xml:space="preserve"> 年高新区管委会“三公”经费年初预算安排 </w:t>
      </w:r>
      <w:r>
        <w:rPr>
          <w:color w:val="333333"/>
          <w:spacing w:val="-2"/>
        </w:rPr>
        <w:t>23.5</w:t>
      </w:r>
      <w:r>
        <w:rPr>
          <w:color w:val="333333"/>
          <w:spacing w:val="-22"/>
        </w:rPr>
        <w:t xml:space="preserve"> 万元，</w:t>
      </w:r>
      <w:r>
        <w:rPr>
          <w:color w:val="333333"/>
          <w:spacing w:val="-1"/>
        </w:rPr>
        <w:t xml:space="preserve">比上年减少 </w:t>
      </w:r>
      <w:r>
        <w:rPr>
          <w:color w:val="333333"/>
        </w:rPr>
        <w:t>24</w:t>
      </w:r>
      <w:r>
        <w:rPr>
          <w:color w:val="333333"/>
          <w:spacing w:val="-3"/>
        </w:rPr>
        <w:t xml:space="preserve"> 万元，同比减少 </w:t>
      </w:r>
      <w:r>
        <w:rPr>
          <w:color w:val="333333"/>
        </w:rPr>
        <w:t>102%，主要原因是：减少三公经</w:t>
      </w:r>
    </w:p>
    <w:p w14:paraId="2A706465">
      <w:pPr>
        <w:spacing w:after="0" w:line="620" w:lineRule="exact"/>
        <w:sectPr>
          <w:pgSz w:w="11910" w:h="16840"/>
          <w:pgMar w:top="1920" w:right="1320" w:bottom="1720" w:left="1480" w:header="0" w:footer="1532" w:gutter="0"/>
          <w:cols w:space="720" w:num="1"/>
        </w:sectPr>
      </w:pPr>
    </w:p>
    <w:p w14:paraId="3CEAFCA0">
      <w:pPr>
        <w:pStyle w:val="2"/>
        <w:spacing w:before="9"/>
        <w:ind w:left="0"/>
        <w:rPr>
          <w:sz w:val="13"/>
        </w:rPr>
      </w:pPr>
    </w:p>
    <w:p w14:paraId="58241B53">
      <w:pPr>
        <w:pStyle w:val="2"/>
        <w:spacing w:before="56"/>
      </w:pPr>
      <w:r>
        <w:rPr>
          <w:color w:val="333333"/>
          <w:spacing w:val="-3"/>
        </w:rPr>
        <w:t>费的支出，合理安排。其中：</w:t>
      </w:r>
    </w:p>
    <w:p w14:paraId="36A8D3F8">
      <w:pPr>
        <w:pStyle w:val="2"/>
        <w:spacing w:before="222"/>
        <w:ind w:left="728"/>
        <w:jc w:val="both"/>
      </w:pPr>
      <w:r>
        <w:rPr>
          <w:color w:val="333333"/>
          <w:spacing w:val="-2"/>
        </w:rPr>
        <w:t>因公出国（境）</w:t>
      </w:r>
      <w:r>
        <w:rPr>
          <w:color w:val="333333"/>
          <w:spacing w:val="-34"/>
        </w:rPr>
        <w:t xml:space="preserve">费 </w:t>
      </w:r>
      <w:r>
        <w:rPr>
          <w:color w:val="333333"/>
          <w:spacing w:val="-2"/>
        </w:rPr>
        <w:t>11.5</w:t>
      </w:r>
      <w:r>
        <w:rPr>
          <w:color w:val="333333"/>
          <w:spacing w:val="-10"/>
        </w:rPr>
        <w:t xml:space="preserve"> 万元，较上年持平。</w:t>
      </w:r>
    </w:p>
    <w:p w14:paraId="7CC17DA3">
      <w:pPr>
        <w:pStyle w:val="2"/>
        <w:spacing w:before="225" w:line="374" w:lineRule="auto"/>
        <w:ind w:right="267" w:firstLine="621"/>
        <w:jc w:val="both"/>
      </w:pPr>
      <w:r>
        <w:rPr>
          <w:color w:val="333333"/>
          <w:spacing w:val="-14"/>
        </w:rPr>
        <w:t xml:space="preserve">公务接待费 </w:t>
      </w:r>
      <w:r>
        <w:rPr>
          <w:color w:val="333333"/>
          <w:spacing w:val="-10"/>
        </w:rPr>
        <w:t>0</w:t>
      </w:r>
      <w:r>
        <w:rPr>
          <w:color w:val="333333"/>
          <w:spacing w:val="-17"/>
        </w:rPr>
        <w:t xml:space="preserve"> 万元，较上年减少 </w:t>
      </w:r>
      <w:r>
        <w:rPr>
          <w:color w:val="333333"/>
          <w:spacing w:val="-10"/>
        </w:rPr>
        <w:t>1</w:t>
      </w:r>
      <w:r>
        <w:rPr>
          <w:color w:val="333333"/>
          <w:spacing w:val="-16"/>
        </w:rPr>
        <w:t xml:space="preserve"> 万元，同比减少 </w:t>
      </w:r>
      <w:r>
        <w:rPr>
          <w:color w:val="333333"/>
          <w:spacing w:val="-10"/>
        </w:rPr>
        <w:t>100%，主</w:t>
      </w:r>
      <w:r>
        <w:rPr>
          <w:color w:val="333333"/>
          <w:spacing w:val="-2"/>
        </w:rPr>
        <w:t>要原因是减少公务接待。</w:t>
      </w:r>
    </w:p>
    <w:p w14:paraId="46BCF8CA">
      <w:pPr>
        <w:pStyle w:val="2"/>
        <w:spacing w:line="374" w:lineRule="auto"/>
        <w:ind w:right="267" w:firstLine="621"/>
        <w:jc w:val="both"/>
      </w:pPr>
      <w:r>
        <w:rPr>
          <w:color w:val="333333"/>
          <w:spacing w:val="-9"/>
        </w:rPr>
        <w:t xml:space="preserve">公务用车运行维护费 </w:t>
      </w:r>
      <w:r>
        <w:rPr>
          <w:color w:val="333333"/>
          <w:spacing w:val="-6"/>
        </w:rPr>
        <w:t>12</w:t>
      </w:r>
      <w:r>
        <w:rPr>
          <w:color w:val="333333"/>
          <w:spacing w:val="-15"/>
        </w:rPr>
        <w:t xml:space="preserve"> 万元，比上年减少 </w:t>
      </w:r>
      <w:r>
        <w:rPr>
          <w:color w:val="333333"/>
          <w:spacing w:val="-6"/>
        </w:rPr>
        <w:t>23</w:t>
      </w:r>
      <w:r>
        <w:rPr>
          <w:color w:val="333333"/>
          <w:spacing w:val="-11"/>
        </w:rPr>
        <w:t xml:space="preserve"> 万元，同比减</w:t>
      </w:r>
      <w:r>
        <w:rPr>
          <w:color w:val="333333"/>
        </w:rPr>
        <w:t>少 51%，主要原因是合理规划公务用车运行维护管理，减少不必</w:t>
      </w:r>
      <w:r>
        <w:rPr>
          <w:color w:val="333333"/>
          <w:spacing w:val="-4"/>
        </w:rPr>
        <w:t>要开支。</w:t>
      </w:r>
    </w:p>
    <w:p w14:paraId="4E3B9F7B">
      <w:pPr>
        <w:pStyle w:val="2"/>
        <w:ind w:left="728"/>
        <w:jc w:val="both"/>
      </w:pPr>
      <w:r>
        <w:rPr>
          <w:color w:val="333333"/>
          <w:spacing w:val="-9"/>
        </w:rPr>
        <w:t xml:space="preserve">公务用车购置费为 </w:t>
      </w:r>
      <w:r>
        <w:rPr>
          <w:color w:val="333333"/>
          <w:spacing w:val="-2"/>
        </w:rPr>
        <w:t>0</w:t>
      </w:r>
      <w:r>
        <w:rPr>
          <w:color w:val="333333"/>
          <w:spacing w:val="-4"/>
        </w:rPr>
        <w:t>，较上年持平。</w:t>
      </w:r>
    </w:p>
    <w:p w14:paraId="19947A4D">
      <w:pPr>
        <w:spacing w:before="215"/>
        <w:ind w:left="747" w:right="0" w:firstLine="0"/>
        <w:jc w:val="left"/>
        <w:rPr>
          <w:sz w:val="32"/>
        </w:rPr>
      </w:pPr>
      <w:r>
        <w:rPr>
          <w:spacing w:val="-5"/>
          <w:sz w:val="32"/>
        </w:rPr>
        <w:t>六、政府采购预算安排情况</w:t>
      </w:r>
    </w:p>
    <w:p w14:paraId="6886E94A">
      <w:pPr>
        <w:pStyle w:val="2"/>
        <w:spacing w:before="219"/>
        <w:ind w:left="728"/>
        <w:jc w:val="both"/>
      </w:pPr>
      <w:r>
        <w:rPr>
          <w:color w:val="333333"/>
          <w:spacing w:val="-2"/>
        </w:rPr>
        <w:t>2025</w:t>
      </w:r>
      <w:r>
        <w:rPr>
          <w:color w:val="333333"/>
          <w:spacing w:val="-15"/>
        </w:rPr>
        <w:t xml:space="preserve"> 年部门所属各单位政府采购总额 </w:t>
      </w:r>
      <w:r>
        <w:rPr>
          <w:color w:val="333333"/>
          <w:spacing w:val="-2"/>
        </w:rPr>
        <w:t>180</w:t>
      </w:r>
      <w:r>
        <w:rPr>
          <w:color w:val="333333"/>
          <w:spacing w:val="-13"/>
        </w:rPr>
        <w:t xml:space="preserve"> 万元，其中服务类</w:t>
      </w:r>
    </w:p>
    <w:p w14:paraId="7467C7F7">
      <w:pPr>
        <w:pStyle w:val="2"/>
        <w:spacing w:before="222" w:line="374" w:lineRule="auto"/>
        <w:ind w:right="266"/>
        <w:jc w:val="both"/>
      </w:pPr>
      <w:r>
        <w:rPr>
          <w:color w:val="333333"/>
          <w:spacing w:val="-7"/>
        </w:rPr>
        <w:t xml:space="preserve">采购金额 </w:t>
      </w:r>
      <w:r>
        <w:rPr>
          <w:color w:val="333333"/>
        </w:rPr>
        <w:t>180</w:t>
      </w:r>
      <w:r>
        <w:rPr>
          <w:color w:val="333333"/>
          <w:spacing w:val="-9"/>
        </w:rPr>
        <w:t xml:space="preserve"> 万元，份额比例 </w:t>
      </w:r>
      <w:r>
        <w:rPr>
          <w:color w:val="333333"/>
        </w:rPr>
        <w:t>100</w:t>
      </w:r>
      <w:r>
        <w:rPr>
          <w:color w:val="333333"/>
          <w:spacing w:val="-3"/>
        </w:rPr>
        <w:t xml:space="preserve">%。较上年预算安排的增加 </w:t>
      </w:r>
      <w:r>
        <w:rPr>
          <w:color w:val="333333"/>
        </w:rPr>
        <w:t>43</w:t>
      </w:r>
      <w:r>
        <w:rPr>
          <w:color w:val="333333"/>
          <w:spacing w:val="-2"/>
        </w:rPr>
        <w:t>万元、主要原因是增加青春化工园安全环保应急救援信息平台维</w:t>
      </w:r>
      <w:r>
        <w:rPr>
          <w:color w:val="333333"/>
          <w:spacing w:val="-4"/>
        </w:rPr>
        <w:t>护费用。</w:t>
      </w:r>
    </w:p>
    <w:p w14:paraId="4F6363E7">
      <w:pPr>
        <w:spacing w:before="0" w:line="404" w:lineRule="exact"/>
        <w:ind w:left="747" w:right="0" w:firstLine="0"/>
        <w:jc w:val="left"/>
        <w:rPr>
          <w:sz w:val="32"/>
        </w:rPr>
      </w:pPr>
      <w:r>
        <w:rPr>
          <w:spacing w:val="-5"/>
          <w:sz w:val="32"/>
        </w:rPr>
        <w:t>七、国有资产占用情况</w:t>
      </w:r>
    </w:p>
    <w:p w14:paraId="6EE0FC35">
      <w:pPr>
        <w:pStyle w:val="2"/>
        <w:spacing w:before="12"/>
        <w:ind w:left="0"/>
        <w:rPr>
          <w:sz w:val="45"/>
        </w:rPr>
      </w:pPr>
    </w:p>
    <w:p w14:paraId="05A1466C">
      <w:pPr>
        <w:pStyle w:val="2"/>
        <w:ind w:left="725"/>
        <w:jc w:val="both"/>
      </w:pPr>
      <w:r>
        <w:rPr>
          <w:color w:val="333333"/>
          <w:spacing w:val="-25"/>
        </w:rPr>
        <w:t xml:space="preserve">截止 </w:t>
      </w:r>
      <w:r>
        <w:rPr>
          <w:color w:val="333333"/>
        </w:rPr>
        <w:t>2024</w:t>
      </w:r>
      <w:r>
        <w:rPr>
          <w:color w:val="333333"/>
          <w:spacing w:val="-49"/>
        </w:rPr>
        <w:t xml:space="preserve"> 年 </w:t>
      </w:r>
      <w:r>
        <w:rPr>
          <w:color w:val="333333"/>
        </w:rPr>
        <w:t>12</w:t>
      </w:r>
      <w:r>
        <w:rPr>
          <w:color w:val="333333"/>
          <w:spacing w:val="-51"/>
        </w:rPr>
        <w:t xml:space="preserve"> 月 </w:t>
      </w:r>
      <w:r>
        <w:rPr>
          <w:color w:val="333333"/>
        </w:rPr>
        <w:t>31</w:t>
      </w:r>
      <w:r>
        <w:rPr>
          <w:color w:val="333333"/>
          <w:spacing w:val="-20"/>
        </w:rPr>
        <w:t xml:space="preserve"> 日，资产合计 </w:t>
      </w:r>
      <w:r>
        <w:rPr>
          <w:color w:val="333333"/>
        </w:rPr>
        <w:t>214.95</w:t>
      </w:r>
      <w:r>
        <w:rPr>
          <w:color w:val="333333"/>
          <w:spacing w:val="-12"/>
        </w:rPr>
        <w:t xml:space="preserve"> 万元。其中，流</w:t>
      </w:r>
    </w:p>
    <w:p w14:paraId="00E53EA4">
      <w:pPr>
        <w:pStyle w:val="2"/>
        <w:spacing w:before="102" w:line="958" w:lineRule="exact"/>
        <w:ind w:right="129"/>
        <w:jc w:val="both"/>
      </w:pPr>
      <w:r>
        <w:rPr>
          <w:color w:val="333333"/>
          <w:spacing w:val="-14"/>
        </w:rPr>
        <w:t xml:space="preserve">动资产 </w:t>
      </w:r>
      <w:r>
        <w:rPr>
          <w:color w:val="333333"/>
          <w:spacing w:val="-10"/>
        </w:rPr>
        <w:t>6.37</w:t>
      </w:r>
      <w:r>
        <w:rPr>
          <w:color w:val="333333"/>
          <w:spacing w:val="-28"/>
        </w:rPr>
        <w:t xml:space="preserve"> 万元，占资产总额的 </w:t>
      </w:r>
      <w:r>
        <w:rPr>
          <w:color w:val="333333"/>
          <w:spacing w:val="-10"/>
        </w:rPr>
        <w:t>2.96%</w:t>
      </w:r>
      <w:r>
        <w:rPr>
          <w:color w:val="333333"/>
          <w:spacing w:val="-13"/>
        </w:rPr>
        <w:t xml:space="preserve">;非流动资产 </w:t>
      </w:r>
      <w:r>
        <w:rPr>
          <w:color w:val="333333"/>
          <w:spacing w:val="-10"/>
        </w:rPr>
        <w:t>208.58</w:t>
      </w:r>
      <w:r>
        <w:rPr>
          <w:color w:val="333333"/>
          <w:spacing w:val="-14"/>
        </w:rPr>
        <w:t xml:space="preserve"> 万元，</w:t>
      </w:r>
      <w:r>
        <w:rPr>
          <w:color w:val="333333"/>
          <w:spacing w:val="-7"/>
        </w:rPr>
        <w:t xml:space="preserve">占资产总额的 </w:t>
      </w:r>
      <w:r>
        <w:rPr>
          <w:color w:val="333333"/>
        </w:rPr>
        <w:t>97.04%。</w:t>
      </w:r>
    </w:p>
    <w:p w14:paraId="3B2BC4CB">
      <w:pPr>
        <w:pStyle w:val="2"/>
        <w:spacing w:before="10"/>
        <w:ind w:left="0"/>
        <w:rPr>
          <w:sz w:val="22"/>
        </w:rPr>
      </w:pPr>
    </w:p>
    <w:p w14:paraId="2A1ED234">
      <w:pPr>
        <w:pStyle w:val="2"/>
        <w:ind w:left="881"/>
      </w:pPr>
      <w:r>
        <w:rPr>
          <w:color w:val="333333"/>
          <w:spacing w:val="-2"/>
        </w:rPr>
        <w:t>2024</w:t>
      </w:r>
      <w:r>
        <w:rPr>
          <w:color w:val="333333"/>
          <w:spacing w:val="-20"/>
        </w:rPr>
        <w:t xml:space="preserve"> 年新增固定资产 </w:t>
      </w:r>
      <w:r>
        <w:rPr>
          <w:color w:val="333333"/>
          <w:spacing w:val="-2"/>
        </w:rPr>
        <w:t>21.92</w:t>
      </w:r>
      <w:r>
        <w:rPr>
          <w:color w:val="333333"/>
          <w:spacing w:val="-31"/>
        </w:rPr>
        <w:t xml:space="preserve"> 万元，当年计提折旧 </w:t>
      </w:r>
      <w:r>
        <w:rPr>
          <w:color w:val="333333"/>
          <w:spacing w:val="-2"/>
        </w:rPr>
        <w:t>326.74</w:t>
      </w:r>
      <w:r>
        <w:rPr>
          <w:color w:val="333333"/>
          <w:spacing w:val="-28"/>
        </w:rPr>
        <w:t xml:space="preserve"> 万。</w:t>
      </w:r>
    </w:p>
    <w:p w14:paraId="1AD1940A">
      <w:pPr>
        <w:spacing w:after="0"/>
        <w:sectPr>
          <w:pgSz w:w="11910" w:h="16840"/>
          <w:pgMar w:top="1920" w:right="1320" w:bottom="1720" w:left="1480" w:header="0" w:footer="1532" w:gutter="0"/>
          <w:cols w:space="720" w:num="1"/>
        </w:sectPr>
      </w:pPr>
    </w:p>
    <w:p w14:paraId="49AEEB97">
      <w:pPr>
        <w:pStyle w:val="2"/>
        <w:spacing w:before="1"/>
        <w:ind w:left="0"/>
        <w:rPr>
          <w:sz w:val="13"/>
        </w:rPr>
      </w:pPr>
    </w:p>
    <w:p w14:paraId="018D1C75">
      <w:pPr>
        <w:spacing w:before="54"/>
        <w:ind w:left="747" w:right="0" w:firstLine="0"/>
        <w:jc w:val="left"/>
        <w:rPr>
          <w:sz w:val="32"/>
        </w:rPr>
      </w:pPr>
      <w:r>
        <w:rPr>
          <w:spacing w:val="-5"/>
          <w:sz w:val="32"/>
        </w:rPr>
        <w:t>八、重点项目预算绩效情况</w:t>
      </w:r>
    </w:p>
    <w:p w14:paraId="7CAD1BCB">
      <w:pPr>
        <w:spacing w:before="106"/>
        <w:ind w:left="747" w:right="0" w:firstLine="0"/>
        <w:jc w:val="left"/>
        <w:rPr>
          <w:rFonts w:ascii="Microsoft JhengHei" w:eastAsia="Microsoft JhengHei"/>
          <w:b/>
          <w:sz w:val="32"/>
        </w:rPr>
      </w:pPr>
      <w:r>
        <w:rPr>
          <w:rFonts w:ascii="Microsoft JhengHei" w:eastAsia="Microsoft JhengHei"/>
          <w:b/>
          <w:spacing w:val="-2"/>
          <w:sz w:val="32"/>
        </w:rPr>
        <w:t>（一）</w:t>
      </w:r>
      <w:r>
        <w:rPr>
          <w:rFonts w:ascii="Microsoft JhengHei" w:eastAsia="Microsoft JhengHei"/>
          <w:b/>
          <w:spacing w:val="-3"/>
          <w:sz w:val="32"/>
        </w:rPr>
        <w:t>部门整体绩效目标编制情况</w:t>
      </w:r>
    </w:p>
    <w:p w14:paraId="578C57F2">
      <w:pPr>
        <w:pStyle w:val="2"/>
        <w:spacing w:before="13"/>
        <w:ind w:left="0"/>
        <w:rPr>
          <w:rFonts w:ascii="Microsoft JhengHei"/>
          <w:b/>
          <w:sz w:val="28"/>
        </w:rPr>
      </w:pPr>
    </w:p>
    <w:p w14:paraId="28966636">
      <w:pPr>
        <w:pStyle w:val="2"/>
        <w:ind w:left="751"/>
      </w:pPr>
      <w:r>
        <w:rPr>
          <w:color w:val="333333"/>
        </w:rPr>
        <w:t>2025</w:t>
      </w:r>
      <w:r>
        <w:rPr>
          <w:color w:val="333333"/>
          <w:spacing w:val="-1"/>
        </w:rPr>
        <w:t xml:space="preserve"> 年高新区管委会部门整体绩效目标是根据部门主要职</w:t>
      </w:r>
    </w:p>
    <w:p w14:paraId="56A1303D">
      <w:pPr>
        <w:pStyle w:val="2"/>
        <w:spacing w:before="239"/>
      </w:pPr>
      <w:r>
        <w:rPr>
          <w:color w:val="333333"/>
          <w:spacing w:val="-6"/>
        </w:rPr>
        <w:t xml:space="preserve">责和年度工作任务安排编制，支出共计 </w:t>
      </w:r>
      <w:r>
        <w:rPr>
          <w:color w:val="333333"/>
          <w:spacing w:val="-2"/>
        </w:rPr>
        <w:t>1598.44</w:t>
      </w:r>
      <w:r>
        <w:rPr>
          <w:color w:val="333333"/>
          <w:spacing w:val="-18"/>
        </w:rPr>
        <w:t xml:space="preserve"> 万元。</w:t>
      </w:r>
    </w:p>
    <w:p w14:paraId="78288B3B">
      <w:pPr>
        <w:pStyle w:val="2"/>
        <w:spacing w:before="3"/>
        <w:ind w:left="0"/>
        <w:rPr>
          <w:sz w:val="36"/>
        </w:rPr>
      </w:pPr>
    </w:p>
    <w:p w14:paraId="6D2B9F35">
      <w:pPr>
        <w:pStyle w:val="2"/>
        <w:ind w:left="728"/>
      </w:pPr>
      <w:r>
        <w:rPr>
          <w:color w:val="333333"/>
          <w:spacing w:val="-4"/>
        </w:rPr>
        <w:t>一、整体绩效目标</w:t>
      </w:r>
    </w:p>
    <w:p w14:paraId="0DC07321">
      <w:pPr>
        <w:pStyle w:val="2"/>
        <w:spacing w:before="239" w:line="384" w:lineRule="auto"/>
        <w:ind w:right="263" w:firstLine="621"/>
        <w:jc w:val="both"/>
      </w:pPr>
      <w:r>
        <w:rPr>
          <w:color w:val="333333"/>
          <w:spacing w:val="-2"/>
        </w:rPr>
        <w:t>1、本部门整体绩效目标是：1、规范文书处理。确保办文电处理工作“零差错、零失误”。加快办公自动化应用进程，提高</w:t>
      </w:r>
      <w:r>
        <w:rPr>
          <w:color w:val="333333"/>
          <w:spacing w:val="-4"/>
        </w:rPr>
        <w:t xml:space="preserve">行政效率，降低行政成本。2、做好会务服务。统筹各方力量，精心策划筹备各类会议、活动。3、加强政务值守。坚持三级值班和 </w:t>
      </w:r>
      <w:r>
        <w:rPr>
          <w:color w:val="333333"/>
        </w:rPr>
        <w:t>24 小时值班制度，确保政令畅通。4、强化政务督查、议案提案</w:t>
      </w:r>
      <w:r>
        <w:rPr>
          <w:color w:val="333333"/>
          <w:spacing w:val="-2"/>
        </w:rPr>
        <w:t>办理。改进督查方式方法，健全督查工作机制，积极做好人大、政协建议、提案办理工作。</w:t>
      </w:r>
    </w:p>
    <w:p w14:paraId="0D61219D">
      <w:pPr>
        <w:pStyle w:val="2"/>
        <w:spacing w:before="4" w:line="384" w:lineRule="auto"/>
        <w:ind w:right="263" w:firstLine="621"/>
        <w:jc w:val="both"/>
      </w:pPr>
      <w:r>
        <w:rPr>
          <w:color w:val="333333"/>
          <w:spacing w:val="-4"/>
        </w:rPr>
        <w:t>长期目标：1、促进各项工作有序开展，按质按量完成年度工作任务。2、开展各项工作促进社会经济发展，不断提升政府公信力。3、保障单位正常运转和干部职工的工资福利等，具体指标设置为：</w:t>
      </w:r>
    </w:p>
    <w:p w14:paraId="0A681AB7">
      <w:pPr>
        <w:pStyle w:val="2"/>
        <w:spacing w:before="2" w:line="384" w:lineRule="auto"/>
        <w:ind w:right="263" w:firstLine="621"/>
        <w:jc w:val="both"/>
      </w:pPr>
      <w:r>
        <w:rPr>
          <w:color w:val="333333"/>
          <w:spacing w:val="-2"/>
        </w:rPr>
        <w:t>产出指标：公文办理、会务组织规范有序；公文办理时效率</w:t>
      </w:r>
      <w:r>
        <w:rPr>
          <w:color w:val="333333"/>
          <w:spacing w:val="-8"/>
        </w:rPr>
        <w:t xml:space="preserve">达到 </w:t>
      </w:r>
      <w:r>
        <w:rPr>
          <w:color w:val="333333"/>
          <w:spacing w:val="-4"/>
        </w:rPr>
        <w:t>100%；严格按年初预算执行，节约支出，资金使用合理。承</w:t>
      </w:r>
      <w:r>
        <w:rPr>
          <w:color w:val="333333"/>
        </w:rPr>
        <w:t>办会议次数&gt;17</w:t>
      </w:r>
      <w:r>
        <w:rPr>
          <w:color w:val="333333"/>
          <w:spacing w:val="-7"/>
        </w:rPr>
        <w:t xml:space="preserve"> 次，以上指标设立依据是根据会议安排计划。</w:t>
      </w:r>
    </w:p>
    <w:p w14:paraId="1CBCB243">
      <w:pPr>
        <w:spacing w:after="0" w:line="384" w:lineRule="auto"/>
        <w:jc w:val="both"/>
        <w:sectPr>
          <w:footerReference r:id="rId7" w:type="default"/>
          <w:footerReference r:id="rId8" w:type="even"/>
          <w:pgSz w:w="11910" w:h="16840"/>
          <w:pgMar w:top="1920" w:right="1320" w:bottom="1720" w:left="1480" w:header="0" w:footer="1532" w:gutter="0"/>
          <w:pgNumType w:start="10"/>
          <w:cols w:space="720" w:num="1"/>
        </w:sectPr>
      </w:pPr>
    </w:p>
    <w:p w14:paraId="74439A83">
      <w:pPr>
        <w:pStyle w:val="2"/>
        <w:spacing w:before="6"/>
        <w:ind w:left="0"/>
        <w:rPr>
          <w:sz w:val="8"/>
        </w:rPr>
      </w:pPr>
    </w:p>
    <w:p w14:paraId="2C7BB952">
      <w:pPr>
        <w:pStyle w:val="2"/>
        <w:spacing w:before="56" w:line="384" w:lineRule="auto"/>
        <w:ind w:right="266" w:firstLine="645"/>
      </w:pPr>
      <w:r>
        <w:rPr>
          <w:color w:val="333333"/>
          <w:spacing w:val="-2"/>
        </w:rPr>
        <w:t>效益指标：高新区管委会机关正常运转运行，指标设立依据是历史标准。</w:t>
      </w:r>
    </w:p>
    <w:p w14:paraId="1369B625">
      <w:pPr>
        <w:pStyle w:val="2"/>
        <w:spacing w:before="227" w:line="384" w:lineRule="auto"/>
        <w:ind w:right="162" w:firstLine="621"/>
      </w:pPr>
      <w:r>
        <w:rPr>
          <w:color w:val="333333"/>
          <w:spacing w:val="-9"/>
        </w:rPr>
        <w:t>满意度指标：部门和基层满意度≥</w:t>
      </w:r>
      <w:r>
        <w:rPr>
          <w:color w:val="333333"/>
          <w:spacing w:val="-2"/>
        </w:rPr>
        <w:t>90%，高新区服务对象满意率≥90%，指标设立依据是根据高新区工作方案及整体部署要求。</w:t>
      </w:r>
    </w:p>
    <w:p w14:paraId="5CD42D88">
      <w:pPr>
        <w:pStyle w:val="2"/>
        <w:spacing w:before="1" w:line="384" w:lineRule="auto"/>
        <w:ind w:right="111" w:firstLine="621"/>
      </w:pPr>
      <w:r>
        <w:rPr>
          <w:color w:val="333333"/>
          <w:spacing w:val="-18"/>
        </w:rPr>
        <w:t xml:space="preserve">年度目标 </w:t>
      </w:r>
      <w:r>
        <w:rPr>
          <w:color w:val="333333"/>
          <w:spacing w:val="-2"/>
        </w:rPr>
        <w:t>1：完善会务筹备和把关工作机制，确保党工委会、管委会常务会、</w:t>
      </w:r>
      <w:r>
        <w:rPr>
          <w:rFonts w:hint="eastAsia"/>
          <w:color w:val="333333"/>
          <w:spacing w:val="-2"/>
        </w:rPr>
        <w:t>理论学习中心组学习</w:t>
      </w:r>
      <w:bookmarkStart w:id="0" w:name="_GoBack"/>
      <w:bookmarkEnd w:id="0"/>
      <w:r>
        <w:rPr>
          <w:color w:val="333333"/>
          <w:spacing w:val="-2"/>
        </w:rPr>
        <w:t xml:space="preserve">等重要会议有序开展；从严控制会议规模和次数，高新区会议数量比 </w:t>
      </w:r>
      <w:r>
        <w:rPr>
          <w:color w:val="333333"/>
        </w:rPr>
        <w:t>2024</w:t>
      </w:r>
      <w:r>
        <w:rPr>
          <w:color w:val="333333"/>
          <w:spacing w:val="-5"/>
        </w:rPr>
        <w:t xml:space="preserve"> 年只减不增。</w:t>
      </w:r>
    </w:p>
    <w:p w14:paraId="353DF22F">
      <w:pPr>
        <w:pStyle w:val="2"/>
        <w:spacing w:before="1"/>
        <w:ind w:left="728"/>
      </w:pPr>
      <w:r>
        <w:rPr>
          <w:color w:val="333333"/>
          <w:spacing w:val="-4"/>
        </w:rPr>
        <w:t>具体指标设置为：</w:t>
      </w:r>
    </w:p>
    <w:p w14:paraId="0E82B558">
      <w:pPr>
        <w:pStyle w:val="2"/>
        <w:spacing w:before="239"/>
        <w:ind w:left="728"/>
      </w:pPr>
      <w:r>
        <w:rPr>
          <w:color w:val="333333"/>
          <w:spacing w:val="-14"/>
        </w:rPr>
        <w:t xml:space="preserve">产出指标：从严控制会议规模和次数，全区性会议比 </w:t>
      </w:r>
      <w:r>
        <w:rPr>
          <w:color w:val="333333"/>
          <w:spacing w:val="-2"/>
        </w:rPr>
        <w:t>2024</w:t>
      </w:r>
      <w:r>
        <w:rPr>
          <w:color w:val="333333"/>
          <w:spacing w:val="-35"/>
        </w:rPr>
        <w:t xml:space="preserve"> 年</w:t>
      </w:r>
    </w:p>
    <w:p w14:paraId="031207C7">
      <w:pPr>
        <w:pStyle w:val="2"/>
        <w:spacing w:before="239"/>
        <w:jc w:val="both"/>
      </w:pPr>
      <w:r>
        <w:rPr>
          <w:color w:val="333333"/>
          <w:spacing w:val="-8"/>
        </w:rPr>
        <w:t xml:space="preserve">只减不增，全年不超过 </w:t>
      </w:r>
      <w:r>
        <w:rPr>
          <w:color w:val="333333"/>
          <w:spacing w:val="-2"/>
        </w:rPr>
        <w:t>20</w:t>
      </w:r>
      <w:r>
        <w:rPr>
          <w:color w:val="333333"/>
          <w:spacing w:val="-10"/>
        </w:rPr>
        <w:t xml:space="preserve"> 次；确定依据为历史标准。</w:t>
      </w:r>
    </w:p>
    <w:p w14:paraId="26DFAE1C">
      <w:pPr>
        <w:pStyle w:val="2"/>
        <w:spacing w:before="239" w:line="384" w:lineRule="auto"/>
        <w:ind w:right="267" w:firstLine="621"/>
        <w:jc w:val="both"/>
      </w:pPr>
      <w:r>
        <w:rPr>
          <w:color w:val="333333"/>
          <w:spacing w:val="-2"/>
        </w:rPr>
        <w:t>效益指标：服务高新区日常工作质效显著提升，积极完成领</w:t>
      </w:r>
      <w:r>
        <w:rPr>
          <w:color w:val="333333"/>
          <w:spacing w:val="-6"/>
        </w:rPr>
        <w:t xml:space="preserve">导交办事项完成率 </w:t>
      </w:r>
      <w:r>
        <w:rPr>
          <w:color w:val="333333"/>
          <w:spacing w:val="-4"/>
        </w:rPr>
        <w:t>100%；高新区管委会机关正常运转运行，指标</w:t>
      </w:r>
      <w:r>
        <w:rPr>
          <w:color w:val="333333"/>
          <w:spacing w:val="-2"/>
        </w:rPr>
        <w:t>设立依据是历史标准。</w:t>
      </w:r>
    </w:p>
    <w:p w14:paraId="6604D881">
      <w:pPr>
        <w:pStyle w:val="2"/>
        <w:spacing w:before="4"/>
        <w:ind w:left="0"/>
        <w:rPr>
          <w:sz w:val="35"/>
        </w:rPr>
      </w:pPr>
    </w:p>
    <w:p w14:paraId="01A5F49F">
      <w:pPr>
        <w:pStyle w:val="2"/>
        <w:spacing w:line="384" w:lineRule="auto"/>
        <w:ind w:right="266" w:firstLine="645"/>
        <w:jc w:val="both"/>
      </w:pPr>
      <w:r>
        <w:rPr>
          <w:color w:val="333333"/>
          <w:spacing w:val="-2"/>
        </w:rPr>
        <w:t xml:space="preserve">年度目标 </w:t>
      </w:r>
      <w:r>
        <w:rPr>
          <w:color w:val="333333"/>
        </w:rPr>
        <w:t>2：加强发文审核把关，规范办理各类上级来文及</w:t>
      </w:r>
      <w:r>
        <w:rPr>
          <w:color w:val="333333"/>
          <w:spacing w:val="-2"/>
        </w:rPr>
        <w:t xml:space="preserve">区属各部门报送的请示报告、呈送件，严格把关，反馈及时。党内规范性文件报备率 </w:t>
      </w:r>
      <w:r>
        <w:rPr>
          <w:color w:val="333333"/>
        </w:rPr>
        <w:t>100</w:t>
      </w:r>
      <w:r>
        <w:rPr>
          <w:color w:val="333333"/>
          <w:spacing w:val="-2"/>
        </w:rPr>
        <w:t xml:space="preserve">%，备案审查合格率 </w:t>
      </w:r>
      <w:r>
        <w:rPr>
          <w:color w:val="333333"/>
        </w:rPr>
        <w:t>100%。</w:t>
      </w:r>
    </w:p>
    <w:p w14:paraId="4B08C0DC">
      <w:pPr>
        <w:pStyle w:val="2"/>
        <w:spacing w:before="227" w:line="384" w:lineRule="auto"/>
        <w:ind w:right="267" w:firstLine="621"/>
        <w:jc w:val="both"/>
      </w:pPr>
      <w:r>
        <w:rPr>
          <w:color w:val="333333"/>
          <w:spacing w:val="-15"/>
        </w:rPr>
        <w:t xml:space="preserve">产出指标：严控高新区管委会发文数量，发文数量比 </w:t>
      </w:r>
      <w:r>
        <w:rPr>
          <w:color w:val="333333"/>
          <w:spacing w:val="-4"/>
        </w:rPr>
        <w:t>2023</w:t>
      </w:r>
      <w:r>
        <w:rPr>
          <w:color w:val="333333"/>
          <w:spacing w:val="-20"/>
        </w:rPr>
        <w:t xml:space="preserve"> 年</w:t>
      </w:r>
      <w:r>
        <w:rPr>
          <w:color w:val="333333"/>
          <w:spacing w:val="-2"/>
        </w:rPr>
        <w:t>只减不增；确定依据为历史标准。</w:t>
      </w:r>
    </w:p>
    <w:p w14:paraId="618CEB8F">
      <w:pPr>
        <w:spacing w:after="0" w:line="384" w:lineRule="auto"/>
        <w:jc w:val="both"/>
        <w:sectPr>
          <w:pgSz w:w="11910" w:h="16840"/>
          <w:pgMar w:top="1920" w:right="1320" w:bottom="1720" w:left="1480" w:header="0" w:footer="1532" w:gutter="0"/>
          <w:cols w:space="720" w:num="1"/>
        </w:sectPr>
      </w:pPr>
    </w:p>
    <w:p w14:paraId="2A5B0266">
      <w:pPr>
        <w:pStyle w:val="2"/>
        <w:spacing w:before="6"/>
        <w:ind w:left="0"/>
        <w:rPr>
          <w:sz w:val="8"/>
        </w:rPr>
      </w:pPr>
    </w:p>
    <w:p w14:paraId="6AF8F993">
      <w:pPr>
        <w:pStyle w:val="2"/>
        <w:spacing w:before="56" w:line="384" w:lineRule="auto"/>
        <w:ind w:right="266" w:firstLine="621"/>
      </w:pPr>
      <w:r>
        <w:rPr>
          <w:color w:val="333333"/>
          <w:spacing w:val="-7"/>
        </w:rPr>
        <w:t xml:space="preserve">效益指标：党内规范性文件备案率 </w:t>
      </w:r>
      <w:r>
        <w:rPr>
          <w:color w:val="333333"/>
          <w:spacing w:val="-2"/>
        </w:rPr>
        <w:t>100%，指标设立依据是历</w:t>
      </w:r>
      <w:r>
        <w:rPr>
          <w:color w:val="333333"/>
          <w:spacing w:val="-4"/>
        </w:rPr>
        <w:t>史标准。</w:t>
      </w:r>
    </w:p>
    <w:p w14:paraId="5C1DB7D7">
      <w:pPr>
        <w:pStyle w:val="2"/>
        <w:spacing w:before="1" w:line="384" w:lineRule="auto"/>
        <w:ind w:right="111" w:firstLine="621"/>
      </w:pPr>
      <w:r>
        <w:rPr>
          <w:color w:val="333333"/>
          <w:spacing w:val="-18"/>
        </w:rPr>
        <w:t xml:space="preserve">年度目标 </w:t>
      </w:r>
      <w:r>
        <w:rPr>
          <w:color w:val="333333"/>
          <w:spacing w:val="-2"/>
        </w:rPr>
        <w:t>3：提升督查工作水平，推进党中央决策部署、省、市及高新区工作要求更好贯彻落实。</w:t>
      </w:r>
    </w:p>
    <w:p w14:paraId="017F0A8D">
      <w:pPr>
        <w:pStyle w:val="2"/>
        <w:spacing w:before="1" w:line="384" w:lineRule="auto"/>
        <w:ind w:right="111" w:firstLine="465"/>
        <w:jc w:val="both"/>
      </w:pPr>
      <w:r>
        <w:rPr>
          <w:color w:val="333333"/>
          <w:spacing w:val="-2"/>
        </w:rPr>
        <w:t>产出指标：对习近平总书记和中央、省、市及高新区领导批示</w:t>
      </w:r>
      <w:r>
        <w:rPr>
          <w:color w:val="333333"/>
        </w:rPr>
        <w:t>件办结率和报告率 100%；制定 2025 年市级层面督查检查考核计</w:t>
      </w:r>
      <w:r>
        <w:rPr>
          <w:color w:val="333333"/>
          <w:spacing w:val="-13"/>
        </w:rPr>
        <w:t>划，统筹规范全区督查检查考核工作。指标设立依据是历史标准。</w:t>
      </w:r>
    </w:p>
    <w:p w14:paraId="60B666FB">
      <w:pPr>
        <w:pStyle w:val="2"/>
        <w:spacing w:before="2" w:line="384" w:lineRule="auto"/>
        <w:ind w:right="266" w:firstLine="621"/>
        <w:jc w:val="both"/>
      </w:pPr>
      <w:r>
        <w:rPr>
          <w:color w:val="333333"/>
        </w:rPr>
        <w:t>效益指标：部门和基层满意度，指标值为满意度 90%以上，</w:t>
      </w:r>
      <w:r>
        <w:rPr>
          <w:color w:val="333333"/>
          <w:spacing w:val="-2"/>
        </w:rPr>
        <w:t>确定依据为历史标准。</w:t>
      </w:r>
    </w:p>
    <w:p w14:paraId="19897C08">
      <w:pPr>
        <w:pStyle w:val="2"/>
        <w:spacing w:before="1" w:line="384" w:lineRule="auto"/>
        <w:ind w:right="266" w:firstLine="621"/>
        <w:jc w:val="both"/>
      </w:pPr>
      <w:r>
        <w:rPr>
          <w:color w:val="333333"/>
        </w:rPr>
        <w:t>年度目标 4：全面贯彻落实中央八项规定精神和《党政机关</w:t>
      </w:r>
      <w:r>
        <w:rPr>
          <w:color w:val="333333"/>
          <w:spacing w:val="-2"/>
        </w:rPr>
        <w:t>国内公务接待管理规定》，完成公务接待工作；认真履行档案管</w:t>
      </w:r>
      <w:r>
        <w:rPr>
          <w:color w:val="333333"/>
          <w:spacing w:val="-3"/>
        </w:rPr>
        <w:t xml:space="preserve">理职能，组织开展 </w:t>
      </w:r>
      <w:r>
        <w:rPr>
          <w:color w:val="333333"/>
        </w:rPr>
        <w:t>2025</w:t>
      </w:r>
      <w:r>
        <w:rPr>
          <w:color w:val="333333"/>
          <w:spacing w:val="-5"/>
        </w:rPr>
        <w:t xml:space="preserve"> 年档案收集整理工作。</w:t>
      </w:r>
    </w:p>
    <w:p w14:paraId="2024FD00">
      <w:pPr>
        <w:pStyle w:val="2"/>
        <w:spacing w:before="1" w:line="384" w:lineRule="auto"/>
        <w:ind w:right="263" w:firstLine="621"/>
      </w:pPr>
      <w:r>
        <w:rPr>
          <w:color w:val="333333"/>
          <w:spacing w:val="-2"/>
        </w:rPr>
        <w:t>产出指标：责任目标、社会治安综合治理、文明单位、档案达标、党建先进等评比优胜，指标设立依据是历史标准。</w:t>
      </w:r>
    </w:p>
    <w:p w14:paraId="13D729D5">
      <w:pPr>
        <w:pStyle w:val="2"/>
        <w:spacing w:before="1"/>
      </w:pPr>
      <w:r>
        <w:rPr>
          <w:color w:val="333333"/>
          <w:spacing w:val="4"/>
        </w:rPr>
        <w:t xml:space="preserve">效益指标：资金管理合规性 </w:t>
      </w:r>
      <w:r>
        <w:rPr>
          <w:color w:val="333333"/>
        </w:rPr>
        <w:t>100</w:t>
      </w:r>
      <w:r>
        <w:rPr>
          <w:color w:val="333333"/>
          <w:spacing w:val="3"/>
        </w:rPr>
        <w:t>%，指标设立依据是历史标准。</w:t>
      </w:r>
    </w:p>
    <w:p w14:paraId="137C5464">
      <w:pPr>
        <w:spacing w:after="0"/>
        <w:sectPr>
          <w:pgSz w:w="11910" w:h="16840"/>
          <w:pgMar w:top="1920" w:right="1320" w:bottom="1720" w:left="1480" w:header="0" w:footer="1532" w:gutter="0"/>
          <w:cols w:space="720" w:num="1"/>
        </w:sectPr>
      </w:pPr>
    </w:p>
    <w:p w14:paraId="244A8C0F">
      <w:pPr>
        <w:pStyle w:val="2"/>
        <w:spacing w:before="8" w:after="1"/>
        <w:ind w:left="0"/>
        <w:rPr>
          <w:sz w:val="17"/>
        </w:rPr>
      </w:pPr>
    </w:p>
    <w:p w14:paraId="1EF2B0CE">
      <w:pPr>
        <w:pStyle w:val="2"/>
        <w:rPr>
          <w:sz w:val="20"/>
        </w:rPr>
      </w:pPr>
      <w:r>
        <w:rPr>
          <w:sz w:val="20"/>
        </w:rPr>
        <w:drawing>
          <wp:inline distT="0" distB="0" distL="0" distR="0">
            <wp:extent cx="5504815" cy="7799705"/>
            <wp:effectExtent l="0" t="0" r="0" b="0"/>
            <wp:docPr id="5" name="Image 5"/>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0" cstate="print"/>
                    <a:stretch>
                      <a:fillRect/>
                    </a:stretch>
                  </pic:blipFill>
                  <pic:spPr>
                    <a:xfrm>
                      <a:off x="0" y="0"/>
                      <a:ext cx="5505318" cy="7799832"/>
                    </a:xfrm>
                    <a:prstGeom prst="rect">
                      <a:avLst/>
                    </a:prstGeom>
                  </pic:spPr>
                </pic:pic>
              </a:graphicData>
            </a:graphic>
          </wp:inline>
        </w:drawing>
      </w:r>
    </w:p>
    <w:p w14:paraId="197B9BAE">
      <w:pPr>
        <w:spacing w:after="0"/>
        <w:rPr>
          <w:sz w:val="20"/>
        </w:rPr>
        <w:sectPr>
          <w:pgSz w:w="11910" w:h="16840"/>
          <w:pgMar w:top="1920" w:right="1320" w:bottom="1720" w:left="1480" w:header="0" w:footer="1532" w:gutter="0"/>
          <w:cols w:space="720" w:num="1"/>
        </w:sectPr>
      </w:pPr>
    </w:p>
    <w:p w14:paraId="561597BD">
      <w:pPr>
        <w:pStyle w:val="2"/>
        <w:spacing w:before="3"/>
        <w:ind w:left="0"/>
        <w:rPr>
          <w:sz w:val="8"/>
        </w:rPr>
      </w:pPr>
    </w:p>
    <w:p w14:paraId="377A1E1B">
      <w:pPr>
        <w:spacing w:before="0" w:line="537" w:lineRule="exact"/>
        <w:ind w:left="106" w:right="0" w:firstLine="0"/>
        <w:jc w:val="left"/>
        <w:rPr>
          <w:rFonts w:ascii="Microsoft JhengHei" w:eastAsia="Microsoft JhengHei"/>
          <w:b/>
          <w:sz w:val="32"/>
        </w:rPr>
      </w:pPr>
      <w:r>
        <w:rPr>
          <w:rFonts w:ascii="Microsoft JhengHei" w:eastAsia="Microsoft JhengHei"/>
          <w:b/>
          <w:spacing w:val="-2"/>
          <w:sz w:val="32"/>
        </w:rPr>
        <w:t>（二）</w:t>
      </w:r>
      <w:r>
        <w:rPr>
          <w:rFonts w:ascii="Microsoft JhengHei" w:eastAsia="Microsoft JhengHei"/>
          <w:b/>
          <w:spacing w:val="-3"/>
          <w:sz w:val="32"/>
        </w:rPr>
        <w:t>重点项目绩效目标编制情况</w:t>
      </w:r>
    </w:p>
    <w:p w14:paraId="68148BC7">
      <w:pPr>
        <w:pStyle w:val="2"/>
        <w:spacing w:before="158" w:line="384" w:lineRule="auto"/>
        <w:ind w:right="266" w:firstLine="621"/>
        <w:jc w:val="both"/>
      </w:pPr>
      <w:r>
        <w:rPr>
          <w:color w:val="333333"/>
          <w:spacing w:val="-2"/>
        </w:rPr>
        <w:t>1</w:t>
      </w:r>
      <w:r>
        <w:rPr>
          <w:color w:val="333333"/>
          <w:spacing w:val="-13"/>
        </w:rPr>
        <w:t>、高新区项目工作经费主要是高新区管委会对外宣传及高新</w:t>
      </w:r>
      <w:r>
        <w:rPr>
          <w:color w:val="333333"/>
          <w:spacing w:val="-2"/>
        </w:rPr>
        <w:t>区机关内正常运转房屋租金、机关档案整理、管委会法律顾问费及诉讼代理费、机关运行电子设备购置、电子政务信息化及残疾</w:t>
      </w:r>
      <w:r>
        <w:rPr>
          <w:color w:val="333333"/>
          <w:spacing w:val="-6"/>
        </w:rPr>
        <w:t>人保障金。2025</w:t>
      </w:r>
      <w:r>
        <w:rPr>
          <w:color w:val="333333"/>
          <w:spacing w:val="-15"/>
        </w:rPr>
        <w:t xml:space="preserve"> 年项目预算安排 </w:t>
      </w:r>
      <w:r>
        <w:rPr>
          <w:color w:val="333333"/>
          <w:spacing w:val="-6"/>
        </w:rPr>
        <w:t>465</w:t>
      </w:r>
      <w:r>
        <w:rPr>
          <w:color w:val="333333"/>
          <w:spacing w:val="-12"/>
        </w:rPr>
        <w:t xml:space="preserve"> 万元，资金来源全部为当年</w:t>
      </w:r>
      <w:r>
        <w:rPr>
          <w:color w:val="333333"/>
          <w:spacing w:val="-2"/>
        </w:rPr>
        <w:t>一般公共预算资金。</w:t>
      </w:r>
    </w:p>
    <w:p w14:paraId="1BB4792D">
      <w:pPr>
        <w:pStyle w:val="2"/>
        <w:spacing w:before="3"/>
        <w:ind w:left="728"/>
      </w:pPr>
      <w:r>
        <w:rPr>
          <w:color w:val="333333"/>
          <w:spacing w:val="-2"/>
        </w:rPr>
        <w:t>（一）</w:t>
      </w:r>
      <w:r>
        <w:rPr>
          <w:color w:val="333333"/>
          <w:spacing w:val="-3"/>
        </w:rPr>
        <w:t>、“档案达标整理费”项目</w:t>
      </w:r>
    </w:p>
    <w:p w14:paraId="095BDE91">
      <w:pPr>
        <w:pStyle w:val="2"/>
        <w:spacing w:before="238" w:line="384" w:lineRule="auto"/>
        <w:ind w:right="111" w:firstLine="621"/>
      </w:pPr>
      <w:r>
        <w:rPr>
          <w:color w:val="333333"/>
        </w:rPr>
        <w:t>1</w:t>
      </w:r>
      <w:r>
        <w:rPr>
          <w:color w:val="333333"/>
          <w:spacing w:val="-4"/>
        </w:rPr>
        <w:t xml:space="preserve">、主要内容是：对管委会 </w:t>
      </w:r>
      <w:r>
        <w:rPr>
          <w:color w:val="333333"/>
        </w:rPr>
        <w:t>2025</w:t>
      </w:r>
      <w:r>
        <w:rPr>
          <w:color w:val="333333"/>
          <w:spacing w:val="-7"/>
        </w:rPr>
        <w:t xml:space="preserve"> 年档案进行整理。</w:t>
      </w:r>
      <w:r>
        <w:rPr>
          <w:color w:val="333333"/>
        </w:rPr>
        <w:t>2025</w:t>
      </w:r>
      <w:r>
        <w:rPr>
          <w:color w:val="333333"/>
          <w:spacing w:val="-16"/>
        </w:rPr>
        <w:t xml:space="preserve"> 年预</w:t>
      </w:r>
      <w:r>
        <w:rPr>
          <w:color w:val="333333"/>
          <w:spacing w:val="-21"/>
        </w:rPr>
        <w:t xml:space="preserve">算安排 </w:t>
      </w:r>
      <w:r>
        <w:rPr>
          <w:color w:val="333333"/>
          <w:spacing w:val="-2"/>
        </w:rPr>
        <w:t>5</w:t>
      </w:r>
      <w:r>
        <w:rPr>
          <w:color w:val="333333"/>
          <w:spacing w:val="-14"/>
        </w:rPr>
        <w:t xml:space="preserve"> 万元，其中：</w:t>
      </w:r>
      <w:r>
        <w:rPr>
          <w:color w:val="333333"/>
          <w:spacing w:val="-2"/>
        </w:rPr>
        <w:t>5</w:t>
      </w:r>
      <w:r>
        <w:rPr>
          <w:color w:val="333333"/>
          <w:spacing w:val="-11"/>
        </w:rPr>
        <w:t xml:space="preserve"> 万元资金来源为当年一般公共预算资金。</w:t>
      </w:r>
    </w:p>
    <w:p w14:paraId="4FBFBCF4">
      <w:pPr>
        <w:pStyle w:val="2"/>
        <w:spacing w:before="1"/>
        <w:ind w:left="728"/>
      </w:pPr>
      <w:r>
        <w:rPr>
          <w:color w:val="333333"/>
          <w:spacing w:val="-2"/>
        </w:rPr>
        <w:t>2</w:t>
      </w:r>
      <w:r>
        <w:rPr>
          <w:color w:val="333333"/>
          <w:spacing w:val="-3"/>
        </w:rPr>
        <w:t>、项目绩效总目标是：档案复审达到省一级目标</w:t>
      </w:r>
    </w:p>
    <w:p w14:paraId="57D42ADF">
      <w:pPr>
        <w:pStyle w:val="2"/>
        <w:spacing w:before="239"/>
        <w:ind w:left="728"/>
      </w:pPr>
      <w:r>
        <w:rPr>
          <w:color w:val="333333"/>
          <w:spacing w:val="-2"/>
        </w:rPr>
        <w:t>3</w:t>
      </w:r>
      <w:r>
        <w:rPr>
          <w:color w:val="333333"/>
          <w:spacing w:val="-3"/>
        </w:rPr>
        <w:t>、项目绩效指标设置情况：</w:t>
      </w:r>
    </w:p>
    <w:p w14:paraId="51EA1C1C">
      <w:pPr>
        <w:pStyle w:val="2"/>
        <w:spacing w:before="239" w:line="384" w:lineRule="auto"/>
        <w:ind w:right="266" w:firstLine="621"/>
        <w:jc w:val="both"/>
      </w:pPr>
      <w:r>
        <w:rPr>
          <w:color w:val="333333"/>
          <w:spacing w:val="-11"/>
        </w:rPr>
        <w:t>数量指标：档案收集率=</w:t>
      </w:r>
      <w:r>
        <w:rPr>
          <w:color w:val="333333"/>
          <w:spacing w:val="-4"/>
        </w:rPr>
        <w:t>100%，指标设立依据是档案整理一级</w:t>
      </w:r>
      <w:r>
        <w:rPr>
          <w:color w:val="333333"/>
          <w:spacing w:val="-9"/>
        </w:rPr>
        <w:t>复审通过率。档案利用率</w:t>
      </w:r>
      <w:r>
        <w:rPr>
          <w:color w:val="333333"/>
          <w:spacing w:val="-2"/>
        </w:rPr>
        <w:t>=100%，指标设立依据是档案整理一级复审通过率。</w:t>
      </w:r>
    </w:p>
    <w:p w14:paraId="07F8F0DD">
      <w:pPr>
        <w:pStyle w:val="2"/>
        <w:spacing w:before="69" w:line="374" w:lineRule="auto"/>
        <w:ind w:right="162" w:firstLine="621"/>
      </w:pPr>
      <w:r>
        <w:rPr>
          <w:color w:val="333333"/>
          <w:spacing w:val="-2"/>
        </w:rPr>
        <w:t>4、满意度指标：群众满意度=100%，服务对象满意率=100%，指标设立依据是根据历年指标设立依据。</w:t>
      </w:r>
    </w:p>
    <w:p w14:paraId="729D5B78">
      <w:pPr>
        <w:spacing w:after="0" w:line="374" w:lineRule="auto"/>
        <w:sectPr>
          <w:pgSz w:w="11910" w:h="16840"/>
          <w:pgMar w:top="1920" w:right="1320" w:bottom="1720" w:left="1480" w:header="0" w:footer="1532" w:gutter="0"/>
          <w:cols w:space="720" w:num="1"/>
        </w:sectPr>
      </w:pPr>
    </w:p>
    <w:p w14:paraId="355ADA37">
      <w:pPr>
        <w:pStyle w:val="2"/>
        <w:ind w:left="0"/>
        <w:rPr>
          <w:sz w:val="20"/>
        </w:rPr>
      </w:pPr>
    </w:p>
    <w:p w14:paraId="2B2041A6">
      <w:pPr>
        <w:pStyle w:val="2"/>
        <w:ind w:left="0"/>
        <w:rPr>
          <w:sz w:val="20"/>
        </w:rPr>
      </w:pPr>
    </w:p>
    <w:p w14:paraId="180AFEA0">
      <w:pPr>
        <w:pStyle w:val="2"/>
        <w:ind w:left="0"/>
        <w:rPr>
          <w:sz w:val="20"/>
        </w:rPr>
      </w:pPr>
    </w:p>
    <w:p w14:paraId="456A77BC">
      <w:pPr>
        <w:pStyle w:val="2"/>
        <w:spacing w:before="10"/>
        <w:ind w:left="0"/>
        <w:rPr>
          <w:sz w:val="23"/>
        </w:rPr>
      </w:pPr>
    </w:p>
    <w:p w14:paraId="09332381">
      <w:pPr>
        <w:pStyle w:val="2"/>
        <w:ind w:left="222"/>
        <w:rPr>
          <w:sz w:val="20"/>
        </w:rPr>
      </w:pPr>
      <w:r>
        <w:rPr>
          <w:sz w:val="20"/>
        </w:rPr>
        <w:drawing>
          <wp:inline distT="0" distB="0" distL="0" distR="0">
            <wp:extent cx="5396230" cy="5247640"/>
            <wp:effectExtent l="0" t="0" r="0" b="0"/>
            <wp:docPr id="6" name="Image 6"/>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1" cstate="print"/>
                    <a:stretch>
                      <a:fillRect/>
                    </a:stretch>
                  </pic:blipFill>
                  <pic:spPr>
                    <a:xfrm>
                      <a:off x="0" y="0"/>
                      <a:ext cx="5396329" cy="5247894"/>
                    </a:xfrm>
                    <a:prstGeom prst="rect">
                      <a:avLst/>
                    </a:prstGeom>
                  </pic:spPr>
                </pic:pic>
              </a:graphicData>
            </a:graphic>
          </wp:inline>
        </w:drawing>
      </w:r>
    </w:p>
    <w:p w14:paraId="08B61269">
      <w:pPr>
        <w:pStyle w:val="2"/>
        <w:spacing w:before="11"/>
        <w:ind w:left="0"/>
        <w:rPr>
          <w:sz w:val="22"/>
        </w:rPr>
      </w:pPr>
    </w:p>
    <w:p w14:paraId="0CB2B046">
      <w:pPr>
        <w:pStyle w:val="2"/>
        <w:spacing w:before="57"/>
        <w:ind w:left="728"/>
      </w:pPr>
      <w:r>
        <w:rPr>
          <w:color w:val="333333"/>
          <w:spacing w:val="-2"/>
        </w:rPr>
        <w:t>（二）“</w:t>
      </w:r>
      <w:r>
        <w:rPr>
          <w:color w:val="333333"/>
          <w:spacing w:val="-3"/>
        </w:rPr>
        <w:t>房屋租金、物业管理费”项目</w:t>
      </w:r>
    </w:p>
    <w:p w14:paraId="0543A126">
      <w:pPr>
        <w:pStyle w:val="2"/>
        <w:spacing w:before="238" w:line="384" w:lineRule="auto"/>
        <w:ind w:right="266" w:firstLine="621"/>
        <w:jc w:val="both"/>
      </w:pPr>
      <w:r>
        <w:rPr>
          <w:color w:val="333333"/>
          <w:spacing w:val="-2"/>
        </w:rPr>
        <w:t>1、主要内容：管委会办公楼房屋租金、物业管理费。2025</w:t>
      </w:r>
      <w:r>
        <w:rPr>
          <w:color w:val="333333"/>
          <w:spacing w:val="-7"/>
        </w:rPr>
        <w:t xml:space="preserve">年预算安排 </w:t>
      </w:r>
      <w:r>
        <w:rPr>
          <w:color w:val="333333"/>
        </w:rPr>
        <w:t>231.43</w:t>
      </w:r>
      <w:r>
        <w:rPr>
          <w:color w:val="333333"/>
          <w:spacing w:val="-7"/>
        </w:rPr>
        <w:t xml:space="preserve"> 万元，其中：</w:t>
      </w:r>
      <w:r>
        <w:rPr>
          <w:color w:val="333333"/>
        </w:rPr>
        <w:t>231.43</w:t>
      </w:r>
      <w:r>
        <w:rPr>
          <w:color w:val="333333"/>
          <w:spacing w:val="-7"/>
        </w:rPr>
        <w:t xml:space="preserve"> 万元资金来源为当年一</w:t>
      </w:r>
      <w:r>
        <w:rPr>
          <w:color w:val="333333"/>
          <w:spacing w:val="-2"/>
        </w:rPr>
        <w:t>般公共预算资金。</w:t>
      </w:r>
    </w:p>
    <w:p w14:paraId="6B831407">
      <w:pPr>
        <w:pStyle w:val="2"/>
        <w:spacing w:before="2"/>
        <w:ind w:left="728"/>
      </w:pPr>
      <w:r>
        <w:rPr>
          <w:color w:val="333333"/>
          <w:spacing w:val="-2"/>
        </w:rPr>
        <w:t>2</w:t>
      </w:r>
      <w:r>
        <w:rPr>
          <w:color w:val="333333"/>
          <w:spacing w:val="-3"/>
        </w:rPr>
        <w:t>、项目绩效总目标是：机关办公正常运转。</w:t>
      </w:r>
    </w:p>
    <w:p w14:paraId="166FE636">
      <w:pPr>
        <w:spacing w:after="0"/>
        <w:sectPr>
          <w:pgSz w:w="11910" w:h="16840"/>
          <w:pgMar w:top="1920" w:right="1320" w:bottom="1720" w:left="1480" w:header="0" w:footer="1532" w:gutter="0"/>
          <w:cols w:space="720" w:num="1"/>
        </w:sectPr>
      </w:pPr>
    </w:p>
    <w:p w14:paraId="15950B37">
      <w:pPr>
        <w:pStyle w:val="2"/>
        <w:spacing w:before="6"/>
        <w:ind w:left="0"/>
        <w:rPr>
          <w:sz w:val="8"/>
        </w:rPr>
      </w:pPr>
    </w:p>
    <w:p w14:paraId="7E43D62E">
      <w:pPr>
        <w:pStyle w:val="2"/>
        <w:spacing w:before="56"/>
        <w:ind w:left="728"/>
      </w:pPr>
      <w:r>
        <w:rPr>
          <w:color w:val="333333"/>
          <w:spacing w:val="-2"/>
        </w:rPr>
        <w:t>3</w:t>
      </w:r>
      <w:r>
        <w:rPr>
          <w:color w:val="333333"/>
          <w:spacing w:val="-3"/>
        </w:rPr>
        <w:t>、项目绩效指标设置情况：</w:t>
      </w:r>
    </w:p>
    <w:p w14:paraId="5803319E">
      <w:pPr>
        <w:pStyle w:val="2"/>
        <w:spacing w:before="239" w:line="384" w:lineRule="auto"/>
        <w:ind w:right="263" w:firstLine="621"/>
      </w:pPr>
      <w:r>
        <w:rPr>
          <w:color w:val="333333"/>
          <w:spacing w:val="-9"/>
        </w:rPr>
        <w:t>数量指标：办公室利用率=</w:t>
      </w:r>
      <w:r>
        <w:rPr>
          <w:color w:val="333333"/>
          <w:spacing w:val="-2"/>
        </w:rPr>
        <w:t>100%，指标设立依据是根据办公室实际使用率为依据。</w:t>
      </w:r>
    </w:p>
    <w:p w14:paraId="68E72904">
      <w:pPr>
        <w:pStyle w:val="2"/>
        <w:spacing w:before="1" w:line="384" w:lineRule="auto"/>
        <w:ind w:right="263" w:firstLine="621"/>
      </w:pPr>
      <w:r>
        <w:rPr>
          <w:color w:val="333333"/>
          <w:spacing w:val="-9"/>
        </w:rPr>
        <w:t>质量指标：办公室清洁度=</w:t>
      </w:r>
      <w:r>
        <w:rPr>
          <w:color w:val="333333"/>
          <w:spacing w:val="-2"/>
        </w:rPr>
        <w:t>100%，指标设立依据是根据办公室实际为依据。</w:t>
      </w:r>
    </w:p>
    <w:p w14:paraId="75851B4B">
      <w:pPr>
        <w:pStyle w:val="2"/>
        <w:spacing w:before="1" w:line="384" w:lineRule="auto"/>
        <w:ind w:right="266" w:firstLine="621"/>
      </w:pPr>
      <w:r>
        <w:rPr>
          <w:color w:val="333333"/>
          <w:spacing w:val="-11"/>
        </w:rPr>
        <w:t>效益指标：职工满意度=</w:t>
      </w:r>
      <w:r>
        <w:rPr>
          <w:color w:val="333333"/>
          <w:spacing w:val="-4"/>
        </w:rPr>
        <w:t>100%，指标设立依据是根据历年指标</w:t>
      </w:r>
      <w:r>
        <w:rPr>
          <w:color w:val="333333"/>
          <w:spacing w:val="-2"/>
        </w:rPr>
        <w:t>设立依据。</w:t>
      </w:r>
    </w:p>
    <w:p w14:paraId="2F2CF45A">
      <w:pPr>
        <w:pStyle w:val="2"/>
        <w:ind w:left="0"/>
        <w:rPr>
          <w:sz w:val="20"/>
        </w:rPr>
      </w:pPr>
    </w:p>
    <w:p w14:paraId="61675118">
      <w:pPr>
        <w:pStyle w:val="2"/>
        <w:ind w:left="0"/>
        <w:rPr>
          <w:sz w:val="20"/>
        </w:rPr>
      </w:pPr>
    </w:p>
    <w:p w14:paraId="3B9FE354">
      <w:pPr>
        <w:pStyle w:val="2"/>
        <w:ind w:left="0"/>
        <w:rPr>
          <w:sz w:val="20"/>
        </w:rPr>
      </w:pPr>
    </w:p>
    <w:p w14:paraId="4453C3CA">
      <w:pPr>
        <w:pStyle w:val="2"/>
        <w:spacing w:before="12"/>
        <w:ind w:left="0"/>
        <w:rPr>
          <w:sz w:val="10"/>
        </w:rPr>
      </w:pPr>
      <w:r>
        <w:drawing>
          <wp:anchor distT="0" distB="0" distL="0" distR="0" simplePos="0" relativeHeight="251662336" behindDoc="1" locked="0" layoutInCell="1" allowOverlap="1">
            <wp:simplePos x="0" y="0"/>
            <wp:positionH relativeFrom="page">
              <wp:posOffset>1472565</wp:posOffset>
            </wp:positionH>
            <wp:positionV relativeFrom="paragraph">
              <wp:posOffset>104140</wp:posOffset>
            </wp:positionV>
            <wp:extent cx="4922520" cy="3996055"/>
            <wp:effectExtent l="0" t="0" r="0" b="0"/>
            <wp:wrapTopAndBottom/>
            <wp:docPr id="7" name="Image 7"/>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2" cstate="print"/>
                    <a:stretch>
                      <a:fillRect/>
                    </a:stretch>
                  </pic:blipFill>
                  <pic:spPr>
                    <a:xfrm>
                      <a:off x="0" y="0"/>
                      <a:ext cx="4922515" cy="3995928"/>
                    </a:xfrm>
                    <a:prstGeom prst="rect">
                      <a:avLst/>
                    </a:prstGeom>
                  </pic:spPr>
                </pic:pic>
              </a:graphicData>
            </a:graphic>
          </wp:anchor>
        </w:drawing>
      </w:r>
    </w:p>
    <w:p w14:paraId="53B58715">
      <w:pPr>
        <w:spacing w:after="0"/>
        <w:rPr>
          <w:sz w:val="10"/>
        </w:rPr>
        <w:sectPr>
          <w:pgSz w:w="11910" w:h="16840"/>
          <w:pgMar w:top="1920" w:right="1320" w:bottom="1720" w:left="1480" w:header="0" w:footer="1532" w:gutter="0"/>
          <w:cols w:space="720" w:num="1"/>
        </w:sectPr>
      </w:pPr>
    </w:p>
    <w:p w14:paraId="3B8408FF">
      <w:pPr>
        <w:pStyle w:val="2"/>
        <w:spacing w:before="6"/>
        <w:ind w:left="0"/>
        <w:rPr>
          <w:sz w:val="8"/>
        </w:rPr>
      </w:pPr>
    </w:p>
    <w:p w14:paraId="5FD89898">
      <w:pPr>
        <w:pStyle w:val="2"/>
        <w:spacing w:before="56"/>
        <w:ind w:left="728"/>
      </w:pPr>
      <w:r>
        <w:rPr>
          <w:color w:val="333333"/>
          <w:spacing w:val="-2"/>
        </w:rPr>
        <w:t>（三）“</w:t>
      </w:r>
      <w:r>
        <w:rPr>
          <w:color w:val="333333"/>
          <w:spacing w:val="-4"/>
        </w:rPr>
        <w:t>宣传经费”项目</w:t>
      </w:r>
    </w:p>
    <w:p w14:paraId="298E1BD8">
      <w:pPr>
        <w:pStyle w:val="2"/>
        <w:spacing w:before="239" w:line="384" w:lineRule="auto"/>
        <w:ind w:right="266" w:firstLine="621"/>
        <w:jc w:val="both"/>
      </w:pPr>
      <w:r>
        <w:rPr>
          <w:color w:val="333333"/>
        </w:rPr>
        <w:t>1、主要内容：高新区对外宣传经费，2025 年预算安排 137万元，其中：137</w:t>
      </w:r>
      <w:r>
        <w:rPr>
          <w:color w:val="333333"/>
          <w:spacing w:val="-7"/>
        </w:rPr>
        <w:t xml:space="preserve"> 万元资金来源为当年一般公共预算资金。</w:t>
      </w:r>
    </w:p>
    <w:p w14:paraId="664CB537">
      <w:pPr>
        <w:pStyle w:val="2"/>
        <w:spacing w:before="1" w:line="384" w:lineRule="auto"/>
        <w:ind w:right="267" w:firstLine="621"/>
        <w:jc w:val="both"/>
      </w:pPr>
      <w:r>
        <w:rPr>
          <w:color w:val="333333"/>
          <w:spacing w:val="-6"/>
        </w:rPr>
        <w:t>2、项目绩效总目标是：全面提升高新区对外宣传水平，提高</w:t>
      </w:r>
      <w:r>
        <w:rPr>
          <w:color w:val="333333"/>
          <w:spacing w:val="-2"/>
        </w:rPr>
        <w:t>对外宣传成效，落实中央、省委、市委和高新区党工委对外宣传工作要求，全面展示随州高新区在打造“产城融合示范区”、优化营商环境、狠抓项目落实、改革创新等重点工作，重大活动的经验做法，为讲好中国故事、湖北故事、随州故事贡献更多高新区元素、高新样本、高新故事。</w:t>
      </w:r>
    </w:p>
    <w:p w14:paraId="0A0966A4">
      <w:pPr>
        <w:pStyle w:val="2"/>
        <w:spacing w:before="3"/>
        <w:ind w:left="728"/>
      </w:pPr>
      <w:r>
        <w:rPr>
          <w:color w:val="333333"/>
          <w:spacing w:val="-2"/>
        </w:rPr>
        <w:t>3</w:t>
      </w:r>
      <w:r>
        <w:rPr>
          <w:color w:val="333333"/>
          <w:spacing w:val="-3"/>
        </w:rPr>
        <w:t>、项目绩效指标设置情况：</w:t>
      </w:r>
    </w:p>
    <w:p w14:paraId="78CD986B">
      <w:pPr>
        <w:pStyle w:val="2"/>
        <w:spacing w:before="239" w:line="384" w:lineRule="auto"/>
        <w:ind w:right="266" w:firstLine="621"/>
      </w:pPr>
      <w:r>
        <w:rPr>
          <w:color w:val="333333"/>
          <w:spacing w:val="-11"/>
        </w:rPr>
        <w:t>数量指标：报道及时性=</w:t>
      </w:r>
      <w:r>
        <w:rPr>
          <w:color w:val="333333"/>
          <w:spacing w:val="-4"/>
        </w:rPr>
        <w:t>100%，指标设立依据是根据宣传报道为依据。</w:t>
      </w:r>
    </w:p>
    <w:p w14:paraId="6100CA8D">
      <w:pPr>
        <w:pStyle w:val="2"/>
        <w:spacing w:before="1" w:line="384" w:lineRule="auto"/>
        <w:ind w:right="266" w:firstLine="621"/>
      </w:pPr>
      <w:r>
        <w:rPr>
          <w:color w:val="333333"/>
          <w:spacing w:val="-11"/>
        </w:rPr>
        <w:t>质量指标：报道准确性=</w:t>
      </w:r>
      <w:r>
        <w:rPr>
          <w:color w:val="333333"/>
          <w:spacing w:val="-4"/>
        </w:rPr>
        <w:t>100%，指标设立依据是根据宣传实际为依据。</w:t>
      </w:r>
    </w:p>
    <w:p w14:paraId="63845F2A">
      <w:pPr>
        <w:pStyle w:val="2"/>
        <w:spacing w:before="1" w:line="384" w:lineRule="auto"/>
        <w:ind w:right="266" w:firstLine="621"/>
      </w:pPr>
      <w:r>
        <w:rPr>
          <w:color w:val="333333"/>
          <w:spacing w:val="-4"/>
        </w:rPr>
        <w:t>效益指标：职工满意度》90%，指标设立依据是根据历年指标</w:t>
      </w:r>
      <w:r>
        <w:rPr>
          <w:color w:val="333333"/>
          <w:spacing w:val="-2"/>
        </w:rPr>
        <w:t>设立依据。</w:t>
      </w:r>
    </w:p>
    <w:p w14:paraId="423A679A">
      <w:pPr>
        <w:spacing w:after="0" w:line="384" w:lineRule="auto"/>
        <w:sectPr>
          <w:pgSz w:w="11910" w:h="16840"/>
          <w:pgMar w:top="1920" w:right="1320" w:bottom="1720" w:left="1480" w:header="0" w:footer="1532" w:gutter="0"/>
          <w:cols w:space="720" w:num="1"/>
        </w:sectPr>
      </w:pPr>
    </w:p>
    <w:p w14:paraId="4239773E">
      <w:pPr>
        <w:pStyle w:val="2"/>
        <w:spacing w:before="1"/>
        <w:ind w:left="0"/>
        <w:rPr>
          <w:sz w:val="19"/>
        </w:rPr>
      </w:pPr>
    </w:p>
    <w:p w14:paraId="51C7D0EB">
      <w:pPr>
        <w:pStyle w:val="2"/>
        <w:ind w:left="416"/>
        <w:rPr>
          <w:sz w:val="20"/>
        </w:rPr>
      </w:pPr>
      <w:r>
        <w:rPr>
          <w:sz w:val="20"/>
        </w:rPr>
        <w:drawing>
          <wp:inline distT="0" distB="0" distL="0" distR="0">
            <wp:extent cx="5249545" cy="4309110"/>
            <wp:effectExtent l="0" t="0" r="0" b="0"/>
            <wp:docPr id="8" name="Image 8"/>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3" cstate="print"/>
                    <a:stretch>
                      <a:fillRect/>
                    </a:stretch>
                  </pic:blipFill>
                  <pic:spPr>
                    <a:xfrm>
                      <a:off x="0" y="0"/>
                      <a:ext cx="5250062" cy="4309110"/>
                    </a:xfrm>
                    <a:prstGeom prst="rect">
                      <a:avLst/>
                    </a:prstGeom>
                  </pic:spPr>
                </pic:pic>
              </a:graphicData>
            </a:graphic>
          </wp:inline>
        </w:drawing>
      </w:r>
    </w:p>
    <w:p w14:paraId="370F314D">
      <w:pPr>
        <w:pStyle w:val="2"/>
        <w:ind w:left="0"/>
        <w:rPr>
          <w:sz w:val="20"/>
        </w:rPr>
      </w:pPr>
    </w:p>
    <w:p w14:paraId="3FA6E034">
      <w:pPr>
        <w:pStyle w:val="2"/>
        <w:ind w:left="0"/>
        <w:rPr>
          <w:sz w:val="20"/>
        </w:rPr>
      </w:pPr>
    </w:p>
    <w:p w14:paraId="3012ED63">
      <w:pPr>
        <w:pStyle w:val="2"/>
        <w:ind w:left="0"/>
        <w:rPr>
          <w:sz w:val="14"/>
        </w:rPr>
      </w:pPr>
    </w:p>
    <w:p w14:paraId="50E2B229">
      <w:pPr>
        <w:pStyle w:val="2"/>
        <w:spacing w:before="57"/>
        <w:ind w:left="728"/>
      </w:pPr>
      <w:r>
        <w:rPr>
          <w:color w:val="333333"/>
          <w:spacing w:val="-2"/>
        </w:rPr>
        <w:t>（四）“</w:t>
      </w:r>
      <w:r>
        <w:rPr>
          <w:color w:val="333333"/>
          <w:spacing w:val="-3"/>
        </w:rPr>
        <w:t>法律顾问诉讼代理费”项目</w:t>
      </w:r>
    </w:p>
    <w:p w14:paraId="40826B1A">
      <w:pPr>
        <w:pStyle w:val="2"/>
        <w:spacing w:before="239" w:line="384" w:lineRule="auto"/>
        <w:ind w:right="395" w:firstLine="621"/>
      </w:pPr>
      <w:r>
        <w:rPr>
          <w:color w:val="333333"/>
          <w:spacing w:val="-2"/>
        </w:rPr>
        <w:t>1、主要内容：高新区法律顾问诉讼代理费，2025</w:t>
      </w:r>
      <w:r>
        <w:rPr>
          <w:color w:val="333333"/>
          <w:spacing w:val="-14"/>
        </w:rPr>
        <w:t xml:space="preserve"> 年预算安</w:t>
      </w:r>
      <w:r>
        <w:rPr>
          <w:color w:val="333333"/>
          <w:spacing w:val="-34"/>
        </w:rPr>
        <w:t xml:space="preserve">排 </w:t>
      </w:r>
      <w:r>
        <w:rPr>
          <w:color w:val="333333"/>
          <w:spacing w:val="-2"/>
        </w:rPr>
        <w:t>38</w:t>
      </w:r>
      <w:r>
        <w:rPr>
          <w:color w:val="333333"/>
          <w:spacing w:val="-11"/>
        </w:rPr>
        <w:t xml:space="preserve"> 万元，其中：</w:t>
      </w:r>
      <w:r>
        <w:rPr>
          <w:color w:val="333333"/>
          <w:spacing w:val="-2"/>
        </w:rPr>
        <w:t>38</w:t>
      </w:r>
      <w:r>
        <w:rPr>
          <w:color w:val="333333"/>
          <w:spacing w:val="-10"/>
        </w:rPr>
        <w:t xml:space="preserve"> 万元资金来源为当年一般公共预算资金。</w:t>
      </w:r>
    </w:p>
    <w:p w14:paraId="20927955">
      <w:pPr>
        <w:pStyle w:val="2"/>
        <w:spacing w:before="1"/>
        <w:ind w:left="728"/>
      </w:pPr>
      <w:r>
        <w:rPr>
          <w:color w:val="333333"/>
          <w:spacing w:val="-2"/>
        </w:rPr>
        <w:t>2</w:t>
      </w:r>
      <w:r>
        <w:rPr>
          <w:color w:val="333333"/>
          <w:spacing w:val="-3"/>
        </w:rPr>
        <w:t>、项目绩效总目标是：建设法制高新区。</w:t>
      </w:r>
    </w:p>
    <w:p w14:paraId="568EC775">
      <w:pPr>
        <w:pStyle w:val="2"/>
        <w:spacing w:before="239"/>
        <w:ind w:left="728"/>
      </w:pPr>
      <w:r>
        <w:rPr>
          <w:color w:val="333333"/>
          <w:spacing w:val="-2"/>
        </w:rPr>
        <w:t>3</w:t>
      </w:r>
      <w:r>
        <w:rPr>
          <w:color w:val="333333"/>
          <w:spacing w:val="-3"/>
        </w:rPr>
        <w:t>、项目绩效指标设置情况：</w:t>
      </w:r>
    </w:p>
    <w:p w14:paraId="4F74D815">
      <w:pPr>
        <w:pStyle w:val="2"/>
        <w:spacing w:before="238" w:line="384" w:lineRule="auto"/>
        <w:ind w:right="263" w:firstLine="621"/>
      </w:pPr>
      <w:r>
        <w:rPr>
          <w:color w:val="333333"/>
          <w:spacing w:val="-9"/>
        </w:rPr>
        <w:t>数量指标：法制政法建设率</w:t>
      </w:r>
      <w:r>
        <w:rPr>
          <w:color w:val="333333"/>
          <w:spacing w:val="-2"/>
        </w:rPr>
        <w:t>=100%，指标设立依据是根据历年指标设立依据。</w:t>
      </w:r>
    </w:p>
    <w:p w14:paraId="7891E255">
      <w:pPr>
        <w:spacing w:after="0" w:line="384" w:lineRule="auto"/>
        <w:sectPr>
          <w:pgSz w:w="11910" w:h="16840"/>
          <w:pgMar w:top="1920" w:right="1320" w:bottom="1720" w:left="1480" w:header="0" w:footer="1532" w:gutter="0"/>
          <w:cols w:space="720" w:num="1"/>
        </w:sectPr>
      </w:pPr>
    </w:p>
    <w:p w14:paraId="1EE89E91">
      <w:pPr>
        <w:pStyle w:val="2"/>
        <w:spacing w:before="6"/>
        <w:ind w:left="0"/>
        <w:rPr>
          <w:sz w:val="8"/>
        </w:rPr>
      </w:pPr>
    </w:p>
    <w:p w14:paraId="316CF039">
      <w:pPr>
        <w:pStyle w:val="2"/>
        <w:spacing w:before="56" w:line="384" w:lineRule="auto"/>
        <w:ind w:right="395" w:firstLine="621"/>
      </w:pPr>
      <w:r>
        <w:rPr>
          <w:color w:val="333333"/>
          <w:spacing w:val="-2"/>
        </w:rPr>
        <w:t>质量指标：法律顾问=10</w:t>
      </w:r>
      <w:r>
        <w:rPr>
          <w:color w:val="333333"/>
          <w:spacing w:val="-10"/>
        </w:rPr>
        <w:t xml:space="preserve"> 次，指标设立依据是根据法制建设</w:t>
      </w:r>
      <w:r>
        <w:rPr>
          <w:color w:val="333333"/>
          <w:spacing w:val="-2"/>
        </w:rPr>
        <w:t>需要设立依据。</w:t>
      </w:r>
    </w:p>
    <w:p w14:paraId="6B69ED92">
      <w:pPr>
        <w:pStyle w:val="2"/>
        <w:tabs>
          <w:tab w:val="left" w:pos="4318"/>
          <w:tab w:val="left" w:pos="8527"/>
        </w:tabs>
        <w:spacing w:before="1" w:line="384" w:lineRule="auto"/>
        <w:ind w:right="266"/>
      </w:pPr>
      <w:r>
        <w:rPr>
          <w:color w:val="333333"/>
          <w:spacing w:val="-4"/>
        </w:rPr>
        <w:t>效益指标：职工满意度》90%，指标设立依据是根据历年指标设立</w:t>
      </w:r>
      <w:r>
        <w:rPr>
          <w:color w:val="333333"/>
          <w:spacing w:val="-10"/>
        </w:rPr>
        <w:t>依</w:t>
      </w:r>
      <w:r>
        <w:rPr>
          <w:color w:val="333333"/>
        </w:rPr>
        <w:tab/>
      </w:r>
      <w:r>
        <w:rPr>
          <w:color w:val="333333"/>
          <w:spacing w:val="-10"/>
        </w:rPr>
        <w:t>据</w:t>
      </w:r>
      <w:r>
        <w:rPr>
          <w:color w:val="333333"/>
        </w:rPr>
        <w:tab/>
      </w:r>
      <w:r>
        <w:rPr>
          <w:color w:val="333333"/>
          <w:spacing w:val="-10"/>
        </w:rPr>
        <w:t>。</w:t>
      </w:r>
    </w:p>
    <w:p w14:paraId="02EFA6AF">
      <w:pPr>
        <w:pStyle w:val="2"/>
        <w:spacing w:before="4"/>
        <w:ind w:left="0"/>
        <w:rPr>
          <w:sz w:val="18"/>
        </w:rPr>
      </w:pPr>
      <w:r>
        <w:drawing>
          <wp:anchor distT="0" distB="0" distL="0" distR="0" simplePos="0" relativeHeight="251662336" behindDoc="1" locked="0" layoutInCell="1" allowOverlap="1">
            <wp:simplePos x="0" y="0"/>
            <wp:positionH relativeFrom="page">
              <wp:posOffset>1054100</wp:posOffset>
            </wp:positionH>
            <wp:positionV relativeFrom="paragraph">
              <wp:posOffset>163830</wp:posOffset>
            </wp:positionV>
            <wp:extent cx="5437505" cy="4032250"/>
            <wp:effectExtent l="0" t="0" r="0" b="0"/>
            <wp:wrapTopAndBottom/>
            <wp:docPr id="9" name="Image 9"/>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4" cstate="print"/>
                    <a:stretch>
                      <a:fillRect/>
                    </a:stretch>
                  </pic:blipFill>
                  <pic:spPr>
                    <a:xfrm>
                      <a:off x="0" y="0"/>
                      <a:ext cx="5437477" cy="4032313"/>
                    </a:xfrm>
                    <a:prstGeom prst="rect">
                      <a:avLst/>
                    </a:prstGeom>
                  </pic:spPr>
                </pic:pic>
              </a:graphicData>
            </a:graphic>
          </wp:anchor>
        </w:drawing>
      </w:r>
    </w:p>
    <w:p w14:paraId="23920A6F">
      <w:pPr>
        <w:pStyle w:val="2"/>
        <w:spacing w:before="12"/>
        <w:ind w:left="0"/>
        <w:rPr>
          <w:sz w:val="25"/>
        </w:rPr>
      </w:pPr>
    </w:p>
    <w:p w14:paraId="2791572D">
      <w:pPr>
        <w:pStyle w:val="2"/>
        <w:spacing w:before="56"/>
        <w:ind w:left="728"/>
      </w:pPr>
      <w:r>
        <w:rPr>
          <w:color w:val="333333"/>
          <w:spacing w:val="-2"/>
        </w:rPr>
        <w:t>（五）“</w:t>
      </w:r>
      <w:r>
        <w:rPr>
          <w:color w:val="333333"/>
          <w:spacing w:val="-3"/>
        </w:rPr>
        <w:t>残疾人保障金”项目</w:t>
      </w:r>
    </w:p>
    <w:p w14:paraId="045125DF">
      <w:pPr>
        <w:pStyle w:val="2"/>
        <w:spacing w:before="239" w:line="384" w:lineRule="auto"/>
        <w:ind w:right="471" w:firstLine="621"/>
      </w:pPr>
      <w:r>
        <w:rPr>
          <w:color w:val="333333"/>
          <w:spacing w:val="-2"/>
        </w:rPr>
        <w:t>1、主要内容：高新区残疾人保障经费，2025</w:t>
      </w:r>
      <w:r>
        <w:rPr>
          <w:color w:val="333333"/>
          <w:spacing w:val="-23"/>
        </w:rPr>
        <w:t xml:space="preserve"> 年预算安排 </w:t>
      </w:r>
      <w:r>
        <w:rPr>
          <w:color w:val="333333"/>
          <w:spacing w:val="-2"/>
        </w:rPr>
        <w:t>9</w:t>
      </w:r>
      <w:r>
        <w:rPr>
          <w:color w:val="333333"/>
        </w:rPr>
        <w:t>万元，其中：9</w:t>
      </w:r>
      <w:r>
        <w:rPr>
          <w:color w:val="333333"/>
          <w:spacing w:val="-7"/>
        </w:rPr>
        <w:t xml:space="preserve"> 万元资金来源为当年一般公共预算资金。</w:t>
      </w:r>
    </w:p>
    <w:p w14:paraId="76BD6AE7">
      <w:pPr>
        <w:pStyle w:val="2"/>
        <w:spacing w:before="1"/>
        <w:ind w:left="728"/>
      </w:pPr>
      <w:r>
        <w:rPr>
          <w:color w:val="333333"/>
          <w:spacing w:val="-2"/>
        </w:rPr>
        <w:t>2</w:t>
      </w:r>
      <w:r>
        <w:rPr>
          <w:color w:val="333333"/>
          <w:spacing w:val="-3"/>
        </w:rPr>
        <w:t>、项目绩效总目标是：保障残疾人生活。</w:t>
      </w:r>
    </w:p>
    <w:p w14:paraId="09A93728">
      <w:pPr>
        <w:pStyle w:val="2"/>
        <w:spacing w:before="239"/>
        <w:ind w:left="728"/>
      </w:pPr>
      <w:r>
        <w:rPr>
          <w:color w:val="333333"/>
          <w:spacing w:val="-2"/>
        </w:rPr>
        <w:t>3</w:t>
      </w:r>
      <w:r>
        <w:rPr>
          <w:color w:val="333333"/>
          <w:spacing w:val="-3"/>
        </w:rPr>
        <w:t>、项目绩效指标设置情况：</w:t>
      </w:r>
    </w:p>
    <w:p w14:paraId="0D1818D8">
      <w:pPr>
        <w:spacing w:after="0"/>
        <w:sectPr>
          <w:pgSz w:w="11910" w:h="16840"/>
          <w:pgMar w:top="1920" w:right="1320" w:bottom="1720" w:left="1480" w:header="0" w:footer="1532" w:gutter="0"/>
          <w:cols w:space="720" w:num="1"/>
        </w:sectPr>
      </w:pPr>
    </w:p>
    <w:p w14:paraId="1B6A1951">
      <w:pPr>
        <w:pStyle w:val="2"/>
        <w:spacing w:before="6"/>
        <w:ind w:left="0"/>
        <w:rPr>
          <w:sz w:val="8"/>
        </w:rPr>
      </w:pPr>
    </w:p>
    <w:p w14:paraId="26523AD2">
      <w:pPr>
        <w:pStyle w:val="2"/>
        <w:spacing w:before="56" w:line="384" w:lineRule="auto"/>
        <w:ind w:right="266" w:firstLine="621"/>
      </w:pPr>
      <w:r>
        <w:rPr>
          <w:color w:val="333333"/>
          <w:spacing w:val="-2"/>
        </w:rPr>
        <w:t>数量指标：残疾人保障生活人数=5</w:t>
      </w:r>
      <w:r>
        <w:rPr>
          <w:color w:val="333333"/>
          <w:spacing w:val="-11"/>
        </w:rPr>
        <w:t xml:space="preserve"> 人，指标设立依据是根据</w:t>
      </w:r>
      <w:r>
        <w:rPr>
          <w:color w:val="333333"/>
          <w:spacing w:val="-2"/>
        </w:rPr>
        <w:t>历年指标设立依据。</w:t>
      </w:r>
    </w:p>
    <w:p w14:paraId="5F29B0AB">
      <w:pPr>
        <w:pStyle w:val="2"/>
        <w:spacing w:before="1" w:line="384" w:lineRule="auto"/>
        <w:ind w:right="263" w:firstLine="621"/>
      </w:pPr>
      <w:r>
        <w:rPr>
          <w:color w:val="333333"/>
          <w:spacing w:val="-2"/>
        </w:rPr>
        <w:t>质量指标：按时缴纳保障金=1</w:t>
      </w:r>
      <w:r>
        <w:rPr>
          <w:color w:val="333333"/>
          <w:spacing w:val="-11"/>
        </w:rPr>
        <w:t xml:space="preserve"> 次，指标设立依据是根据历年</w:t>
      </w:r>
      <w:r>
        <w:rPr>
          <w:color w:val="333333"/>
          <w:spacing w:val="-2"/>
        </w:rPr>
        <w:t>指标设立依据。</w:t>
      </w:r>
    </w:p>
    <w:p w14:paraId="054903C7">
      <w:pPr>
        <w:pStyle w:val="2"/>
        <w:tabs>
          <w:tab w:val="left" w:pos="4318"/>
          <w:tab w:val="left" w:pos="8527"/>
        </w:tabs>
        <w:spacing w:before="1" w:line="384" w:lineRule="auto"/>
        <w:ind w:right="266"/>
      </w:pPr>
      <w:r>
        <w:drawing>
          <wp:anchor distT="0" distB="0" distL="0" distR="0" simplePos="0" relativeHeight="251663360" behindDoc="1" locked="0" layoutInCell="1" allowOverlap="1">
            <wp:simplePos x="0" y="0"/>
            <wp:positionH relativeFrom="page">
              <wp:posOffset>1007110</wp:posOffset>
            </wp:positionH>
            <wp:positionV relativeFrom="paragraph">
              <wp:posOffset>822325</wp:posOffset>
            </wp:positionV>
            <wp:extent cx="5438140" cy="3886835"/>
            <wp:effectExtent l="0" t="0" r="0" b="0"/>
            <wp:wrapTopAndBottom/>
            <wp:docPr id="10" name="Image 10"/>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5" cstate="print"/>
                    <a:stretch>
                      <a:fillRect/>
                    </a:stretch>
                  </pic:blipFill>
                  <pic:spPr>
                    <a:xfrm>
                      <a:off x="0" y="0"/>
                      <a:ext cx="5438097" cy="3887057"/>
                    </a:xfrm>
                    <a:prstGeom prst="rect">
                      <a:avLst/>
                    </a:prstGeom>
                  </pic:spPr>
                </pic:pic>
              </a:graphicData>
            </a:graphic>
          </wp:anchor>
        </w:drawing>
      </w:r>
      <w:r>
        <w:rPr>
          <w:color w:val="333333"/>
          <w:spacing w:val="-4"/>
        </w:rPr>
        <w:t>效益指标：职工满意度》90%，指标设立依据是根据历年指标设立</w:t>
      </w:r>
      <w:r>
        <w:rPr>
          <w:color w:val="333333"/>
          <w:spacing w:val="-10"/>
        </w:rPr>
        <w:t>依</w:t>
      </w:r>
      <w:r>
        <w:rPr>
          <w:color w:val="333333"/>
        </w:rPr>
        <w:tab/>
      </w:r>
      <w:r>
        <w:rPr>
          <w:color w:val="333333"/>
          <w:spacing w:val="-10"/>
        </w:rPr>
        <w:t>据</w:t>
      </w:r>
      <w:r>
        <w:rPr>
          <w:color w:val="333333"/>
        </w:rPr>
        <w:tab/>
      </w:r>
      <w:r>
        <w:rPr>
          <w:color w:val="333333"/>
          <w:spacing w:val="-10"/>
        </w:rPr>
        <w:t>。</w:t>
      </w:r>
    </w:p>
    <w:p w14:paraId="456C72B5">
      <w:pPr>
        <w:pStyle w:val="2"/>
        <w:spacing w:before="216"/>
        <w:ind w:left="728"/>
      </w:pPr>
      <w:r>
        <w:rPr>
          <w:color w:val="333333"/>
          <w:spacing w:val="-2"/>
        </w:rPr>
        <w:t>（六）“</w:t>
      </w:r>
      <w:r>
        <w:rPr>
          <w:color w:val="333333"/>
          <w:spacing w:val="-4"/>
        </w:rPr>
        <w:t>代理记账费”项目</w:t>
      </w:r>
    </w:p>
    <w:p w14:paraId="033E74DA">
      <w:pPr>
        <w:pStyle w:val="2"/>
        <w:spacing w:before="239" w:line="384" w:lineRule="auto"/>
        <w:ind w:right="267" w:firstLine="621"/>
      </w:pPr>
      <w:r>
        <w:rPr>
          <w:color w:val="333333"/>
        </w:rPr>
        <w:t>1、主要内容：高新区代理记账经费，2025</w:t>
      </w:r>
      <w:r>
        <w:rPr>
          <w:color w:val="333333"/>
          <w:spacing w:val="-15"/>
        </w:rPr>
        <w:t xml:space="preserve"> 年预算安排 </w:t>
      </w:r>
      <w:r>
        <w:rPr>
          <w:color w:val="333333"/>
        </w:rPr>
        <w:t>7</w:t>
      </w:r>
      <w:r>
        <w:rPr>
          <w:color w:val="333333"/>
          <w:spacing w:val="-23"/>
        </w:rPr>
        <w:t xml:space="preserve"> 万</w:t>
      </w:r>
      <w:r>
        <w:rPr>
          <w:color w:val="333333"/>
        </w:rPr>
        <w:t>元，其中：7</w:t>
      </w:r>
      <w:r>
        <w:rPr>
          <w:color w:val="333333"/>
          <w:spacing w:val="-7"/>
        </w:rPr>
        <w:t xml:space="preserve"> 万元资金来源为当年一般公共预算资金。</w:t>
      </w:r>
    </w:p>
    <w:p w14:paraId="187C28B4">
      <w:pPr>
        <w:spacing w:after="0" w:line="384" w:lineRule="auto"/>
        <w:sectPr>
          <w:pgSz w:w="11910" w:h="16840"/>
          <w:pgMar w:top="1920" w:right="1320" w:bottom="1720" w:left="1480" w:header="0" w:footer="1532" w:gutter="0"/>
          <w:cols w:space="720" w:num="1"/>
        </w:sectPr>
      </w:pPr>
    </w:p>
    <w:p w14:paraId="65F3B48A">
      <w:pPr>
        <w:pStyle w:val="2"/>
        <w:spacing w:before="6"/>
        <w:ind w:left="0"/>
        <w:rPr>
          <w:sz w:val="8"/>
        </w:rPr>
      </w:pPr>
    </w:p>
    <w:p w14:paraId="36F7BE1C">
      <w:pPr>
        <w:pStyle w:val="2"/>
        <w:spacing w:before="56" w:line="384" w:lineRule="auto"/>
        <w:ind w:right="266" w:firstLine="621"/>
      </w:pPr>
      <w:r>
        <w:rPr>
          <w:color w:val="333333"/>
          <w:spacing w:val="-2"/>
        </w:rPr>
        <w:t>2</w:t>
      </w:r>
      <w:r>
        <w:rPr>
          <w:color w:val="333333"/>
          <w:spacing w:val="-13"/>
        </w:rPr>
        <w:t>、项目绩效总目标是：对高新区管委会机关财务严格按照财</w:t>
      </w:r>
      <w:r>
        <w:rPr>
          <w:color w:val="333333"/>
          <w:spacing w:val="-2"/>
        </w:rPr>
        <w:t>务制度每月进行记账。</w:t>
      </w:r>
    </w:p>
    <w:p w14:paraId="2E635DD6">
      <w:pPr>
        <w:pStyle w:val="2"/>
        <w:spacing w:before="1"/>
        <w:ind w:left="728"/>
      </w:pPr>
      <w:r>
        <w:rPr>
          <w:color w:val="333333"/>
          <w:spacing w:val="-2"/>
        </w:rPr>
        <w:t>3</w:t>
      </w:r>
      <w:r>
        <w:rPr>
          <w:color w:val="333333"/>
          <w:spacing w:val="-3"/>
        </w:rPr>
        <w:t>、项目绩效指标设置情况：</w:t>
      </w:r>
    </w:p>
    <w:p w14:paraId="72668843">
      <w:pPr>
        <w:pStyle w:val="2"/>
        <w:spacing w:before="239" w:line="384" w:lineRule="auto"/>
        <w:ind w:right="266" w:firstLine="621"/>
      </w:pPr>
      <w:r>
        <w:rPr>
          <w:color w:val="333333"/>
        </w:rPr>
        <w:t>数量指标：按月每月按时记账=12</w:t>
      </w:r>
      <w:r>
        <w:rPr>
          <w:color w:val="333333"/>
          <w:spacing w:val="-6"/>
        </w:rPr>
        <w:t xml:space="preserve"> 次，指标设立依据是根据</w:t>
      </w:r>
      <w:r>
        <w:rPr>
          <w:color w:val="333333"/>
          <w:spacing w:val="-2"/>
        </w:rPr>
        <w:t>实际记账设立依据。</w:t>
      </w:r>
    </w:p>
    <w:p w14:paraId="1BA44933">
      <w:pPr>
        <w:pStyle w:val="2"/>
        <w:spacing w:before="1" w:line="384" w:lineRule="auto"/>
        <w:ind w:right="266" w:firstLine="621"/>
      </w:pPr>
      <w:r>
        <w:rPr>
          <w:color w:val="333333"/>
          <w:spacing w:val="-11"/>
        </w:rPr>
        <w:t>质量指标：严格执行财务制度</w:t>
      </w:r>
      <w:r>
        <w:rPr>
          <w:color w:val="333333"/>
          <w:spacing w:val="-4"/>
        </w:rPr>
        <w:t>=100%，指标设立依据是根据历</w:t>
      </w:r>
      <w:r>
        <w:rPr>
          <w:color w:val="333333"/>
          <w:spacing w:val="-2"/>
        </w:rPr>
        <w:t>年指标设立依据。</w:t>
      </w:r>
    </w:p>
    <w:p w14:paraId="0AC0AE8C">
      <w:pPr>
        <w:pStyle w:val="2"/>
        <w:spacing w:before="1" w:line="384" w:lineRule="auto"/>
        <w:ind w:right="266"/>
      </w:pPr>
      <w:r>
        <w:rPr>
          <w:color w:val="333333"/>
          <w:spacing w:val="-4"/>
        </w:rPr>
        <w:t>效益指标：职工满意度》90%，指标设立依据是根据历年指标设立依据。</w:t>
      </w:r>
    </w:p>
    <w:p w14:paraId="3A206B29">
      <w:pPr>
        <w:pStyle w:val="2"/>
        <w:spacing w:before="9"/>
        <w:ind w:left="0"/>
        <w:rPr>
          <w:sz w:val="17"/>
        </w:rPr>
      </w:pPr>
      <w:r>
        <w:drawing>
          <wp:anchor distT="0" distB="0" distL="0" distR="0" simplePos="0" relativeHeight="251663360" behindDoc="1" locked="0" layoutInCell="1" allowOverlap="1">
            <wp:simplePos x="0" y="0"/>
            <wp:positionH relativeFrom="page">
              <wp:posOffset>1163955</wp:posOffset>
            </wp:positionH>
            <wp:positionV relativeFrom="paragraph">
              <wp:posOffset>159385</wp:posOffset>
            </wp:positionV>
            <wp:extent cx="5337810" cy="4041775"/>
            <wp:effectExtent l="0" t="0" r="0" b="0"/>
            <wp:wrapTopAndBottom/>
            <wp:docPr id="11" name="Image 11"/>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6" cstate="print"/>
                    <a:stretch>
                      <a:fillRect/>
                    </a:stretch>
                  </pic:blipFill>
                  <pic:spPr>
                    <a:xfrm>
                      <a:off x="0" y="0"/>
                      <a:ext cx="5337916" cy="4041648"/>
                    </a:xfrm>
                    <a:prstGeom prst="rect">
                      <a:avLst/>
                    </a:prstGeom>
                  </pic:spPr>
                </pic:pic>
              </a:graphicData>
            </a:graphic>
          </wp:anchor>
        </w:drawing>
      </w:r>
    </w:p>
    <w:p w14:paraId="6A9C05F3">
      <w:pPr>
        <w:spacing w:after="0"/>
        <w:rPr>
          <w:sz w:val="17"/>
        </w:rPr>
        <w:sectPr>
          <w:pgSz w:w="11910" w:h="16840"/>
          <w:pgMar w:top="1920" w:right="1320" w:bottom="1720" w:left="1480" w:header="0" w:footer="1532" w:gutter="0"/>
          <w:cols w:space="720" w:num="1"/>
        </w:sectPr>
      </w:pPr>
    </w:p>
    <w:p w14:paraId="22ABF241">
      <w:pPr>
        <w:pStyle w:val="2"/>
        <w:spacing w:before="6"/>
        <w:ind w:left="0"/>
        <w:rPr>
          <w:sz w:val="8"/>
        </w:rPr>
      </w:pPr>
    </w:p>
    <w:p w14:paraId="4FE1DC14">
      <w:pPr>
        <w:pStyle w:val="2"/>
        <w:spacing w:before="56"/>
        <w:ind w:left="728"/>
      </w:pPr>
      <w:r>
        <w:rPr>
          <w:color w:val="333333"/>
          <w:spacing w:val="-2"/>
        </w:rPr>
        <w:t>（七）“</w:t>
      </w:r>
      <w:r>
        <w:rPr>
          <w:color w:val="333333"/>
          <w:spacing w:val="-3"/>
        </w:rPr>
        <w:t>电子设备国产化”项目</w:t>
      </w:r>
    </w:p>
    <w:p w14:paraId="2E0C91A5">
      <w:pPr>
        <w:pStyle w:val="2"/>
        <w:spacing w:before="239" w:line="384" w:lineRule="auto"/>
        <w:ind w:right="263" w:firstLine="621"/>
        <w:jc w:val="both"/>
      </w:pPr>
      <w:r>
        <w:rPr>
          <w:color w:val="333333"/>
        </w:rPr>
        <w:t>1、主要内容：高新区管委会国产电子设备购置，2025 年预</w:t>
      </w:r>
      <w:r>
        <w:rPr>
          <w:color w:val="333333"/>
          <w:spacing w:val="-10"/>
        </w:rPr>
        <w:t xml:space="preserve">算安排 </w:t>
      </w:r>
      <w:r>
        <w:rPr>
          <w:color w:val="333333"/>
        </w:rPr>
        <w:t>18</w:t>
      </w:r>
      <w:r>
        <w:rPr>
          <w:color w:val="333333"/>
          <w:spacing w:val="-7"/>
        </w:rPr>
        <w:t xml:space="preserve"> 万元，其中：</w:t>
      </w:r>
      <w:r>
        <w:rPr>
          <w:color w:val="333333"/>
        </w:rPr>
        <w:t>18</w:t>
      </w:r>
      <w:r>
        <w:rPr>
          <w:color w:val="333333"/>
          <w:spacing w:val="-7"/>
        </w:rPr>
        <w:t xml:space="preserve"> 万元资金来源为当年一般公共预算资</w:t>
      </w:r>
      <w:r>
        <w:rPr>
          <w:color w:val="333333"/>
          <w:spacing w:val="-6"/>
        </w:rPr>
        <w:t>金。</w:t>
      </w:r>
    </w:p>
    <w:p w14:paraId="146570DD">
      <w:pPr>
        <w:pStyle w:val="2"/>
        <w:spacing w:before="2"/>
        <w:ind w:left="728"/>
      </w:pPr>
      <w:r>
        <w:rPr>
          <w:color w:val="333333"/>
          <w:spacing w:val="-2"/>
        </w:rPr>
        <w:t>2</w:t>
      </w:r>
      <w:r>
        <w:rPr>
          <w:color w:val="333333"/>
          <w:spacing w:val="-3"/>
        </w:rPr>
        <w:t>、项目绩效总目标是：高新区电子设备安全。</w:t>
      </w:r>
    </w:p>
    <w:p w14:paraId="69380015">
      <w:pPr>
        <w:pStyle w:val="2"/>
        <w:spacing w:before="238"/>
        <w:ind w:left="728"/>
      </w:pPr>
      <w:r>
        <w:rPr>
          <w:color w:val="333333"/>
          <w:spacing w:val="-2"/>
        </w:rPr>
        <w:t>3</w:t>
      </w:r>
      <w:r>
        <w:rPr>
          <w:color w:val="333333"/>
          <w:spacing w:val="-3"/>
        </w:rPr>
        <w:t>、项目绩效指标设置情况：</w:t>
      </w:r>
    </w:p>
    <w:p w14:paraId="0FFD4797">
      <w:pPr>
        <w:pStyle w:val="2"/>
        <w:spacing w:before="239" w:line="384" w:lineRule="auto"/>
        <w:ind w:right="263" w:firstLine="621"/>
      </w:pPr>
      <w:r>
        <w:rPr>
          <w:color w:val="333333"/>
          <w:spacing w:val="-9"/>
        </w:rPr>
        <w:t>数量指标：视频设备安全性</w:t>
      </w:r>
      <w:r>
        <w:rPr>
          <w:color w:val="333333"/>
          <w:spacing w:val="-2"/>
        </w:rPr>
        <w:t>=100%，指标设立依据是根据视频设备安全性规定设立依据。</w:t>
      </w:r>
    </w:p>
    <w:p w14:paraId="103B538D">
      <w:pPr>
        <w:pStyle w:val="2"/>
        <w:spacing w:before="1" w:line="384" w:lineRule="auto"/>
        <w:ind w:right="263" w:firstLine="621"/>
      </w:pPr>
      <w:r>
        <w:rPr>
          <w:color w:val="333333"/>
          <w:spacing w:val="-9"/>
        </w:rPr>
        <w:t>质量指标：视频会议完成度</w:t>
      </w:r>
      <w:r>
        <w:rPr>
          <w:color w:val="333333"/>
          <w:spacing w:val="-2"/>
        </w:rPr>
        <w:t>=100%，指标设立依据是根据历年指标设立依据。</w:t>
      </w:r>
    </w:p>
    <w:p w14:paraId="2FCD0BCF">
      <w:pPr>
        <w:pStyle w:val="2"/>
        <w:spacing w:before="1" w:line="384" w:lineRule="auto"/>
        <w:ind w:right="266"/>
      </w:pPr>
      <w:r>
        <w:rPr>
          <w:color w:val="333333"/>
          <w:spacing w:val="-4"/>
        </w:rPr>
        <w:t>效益指标：职工满意度》90%，指标设立依据是根据历年指标设立依据。</w:t>
      </w:r>
    </w:p>
    <w:p w14:paraId="2EC08C9C">
      <w:pPr>
        <w:spacing w:after="0" w:line="384" w:lineRule="auto"/>
        <w:sectPr>
          <w:pgSz w:w="11910" w:h="16840"/>
          <w:pgMar w:top="1920" w:right="1320" w:bottom="1720" w:left="1480" w:header="0" w:footer="1532" w:gutter="0"/>
          <w:cols w:space="720" w:num="1"/>
        </w:sectPr>
      </w:pPr>
    </w:p>
    <w:p w14:paraId="10B51D56">
      <w:pPr>
        <w:pStyle w:val="2"/>
        <w:spacing w:before="2"/>
        <w:ind w:left="0"/>
        <w:rPr>
          <w:sz w:val="21"/>
        </w:rPr>
      </w:pPr>
    </w:p>
    <w:p w14:paraId="2DDD5B23">
      <w:pPr>
        <w:pStyle w:val="2"/>
        <w:rPr>
          <w:sz w:val="20"/>
        </w:rPr>
      </w:pPr>
      <w:r>
        <w:rPr>
          <w:sz w:val="20"/>
        </w:rPr>
        <w:drawing>
          <wp:inline distT="0" distB="0" distL="0" distR="0">
            <wp:extent cx="5498465" cy="4160520"/>
            <wp:effectExtent l="0" t="0" r="0" b="0"/>
            <wp:docPr id="12" name="Image 12"/>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7" cstate="print"/>
                    <a:stretch>
                      <a:fillRect/>
                    </a:stretch>
                  </pic:blipFill>
                  <pic:spPr>
                    <a:xfrm>
                      <a:off x="0" y="0"/>
                      <a:ext cx="5498719" cy="4160520"/>
                    </a:xfrm>
                    <a:prstGeom prst="rect">
                      <a:avLst/>
                    </a:prstGeom>
                  </pic:spPr>
                </pic:pic>
              </a:graphicData>
            </a:graphic>
          </wp:inline>
        </w:drawing>
      </w:r>
    </w:p>
    <w:p w14:paraId="600FFB4F">
      <w:pPr>
        <w:pStyle w:val="2"/>
        <w:spacing w:before="12"/>
        <w:ind w:left="0"/>
        <w:rPr>
          <w:sz w:val="21"/>
        </w:rPr>
      </w:pPr>
    </w:p>
    <w:p w14:paraId="51D2CB59">
      <w:pPr>
        <w:pStyle w:val="2"/>
        <w:spacing w:before="56"/>
        <w:ind w:left="728"/>
      </w:pPr>
      <w:r>
        <w:rPr>
          <w:color w:val="333333"/>
          <w:spacing w:val="-2"/>
        </w:rPr>
        <w:t>（八）“</w:t>
      </w:r>
      <w:r>
        <w:rPr>
          <w:color w:val="333333"/>
          <w:spacing w:val="-3"/>
        </w:rPr>
        <w:t>电子政务信息化”项目</w:t>
      </w:r>
    </w:p>
    <w:p w14:paraId="5C306A1D">
      <w:pPr>
        <w:pStyle w:val="2"/>
        <w:spacing w:before="239" w:line="384" w:lineRule="auto"/>
        <w:ind w:right="266" w:firstLine="621"/>
        <w:jc w:val="both"/>
      </w:pPr>
      <w:r>
        <w:rPr>
          <w:color w:val="333333"/>
          <w:spacing w:val="-2"/>
        </w:rPr>
        <w:t>1、主要内容：高新区管委会电子政务信息运行费用，2025</w:t>
      </w:r>
      <w:r>
        <w:rPr>
          <w:color w:val="333333"/>
          <w:spacing w:val="-7"/>
        </w:rPr>
        <w:t xml:space="preserve">年预算安排 </w:t>
      </w:r>
      <w:r>
        <w:rPr>
          <w:color w:val="333333"/>
        </w:rPr>
        <w:t>17</w:t>
      </w:r>
      <w:r>
        <w:rPr>
          <w:color w:val="333333"/>
          <w:spacing w:val="-7"/>
        </w:rPr>
        <w:t xml:space="preserve"> 万元，其中：</w:t>
      </w:r>
      <w:r>
        <w:rPr>
          <w:color w:val="333333"/>
        </w:rPr>
        <w:t>17</w:t>
      </w:r>
      <w:r>
        <w:rPr>
          <w:color w:val="333333"/>
          <w:spacing w:val="-7"/>
        </w:rPr>
        <w:t xml:space="preserve"> 万元资金来源为当年一般公共预</w:t>
      </w:r>
      <w:r>
        <w:rPr>
          <w:color w:val="333333"/>
          <w:spacing w:val="-4"/>
        </w:rPr>
        <w:t>算资金。</w:t>
      </w:r>
    </w:p>
    <w:p w14:paraId="72C924DC">
      <w:pPr>
        <w:pStyle w:val="2"/>
        <w:spacing w:before="2"/>
        <w:ind w:left="728"/>
      </w:pPr>
      <w:r>
        <w:rPr>
          <w:color w:val="333333"/>
          <w:spacing w:val="-2"/>
        </w:rPr>
        <w:t>2</w:t>
      </w:r>
      <w:r>
        <w:rPr>
          <w:color w:val="333333"/>
          <w:spacing w:val="-3"/>
        </w:rPr>
        <w:t>、项目绩效总目标是：高新区电子政务信息化运行。</w:t>
      </w:r>
    </w:p>
    <w:p w14:paraId="49055B29">
      <w:pPr>
        <w:pStyle w:val="2"/>
        <w:spacing w:before="238"/>
        <w:ind w:left="728"/>
      </w:pPr>
      <w:r>
        <w:rPr>
          <w:color w:val="333333"/>
          <w:spacing w:val="-2"/>
        </w:rPr>
        <w:t>3</w:t>
      </w:r>
      <w:r>
        <w:rPr>
          <w:color w:val="333333"/>
          <w:spacing w:val="-3"/>
        </w:rPr>
        <w:t>、项目绩效指标设置情况：</w:t>
      </w:r>
    </w:p>
    <w:p w14:paraId="20DB97D0">
      <w:pPr>
        <w:pStyle w:val="2"/>
        <w:spacing w:before="239" w:line="384" w:lineRule="auto"/>
        <w:ind w:right="266" w:firstLine="621"/>
      </w:pPr>
      <w:r>
        <w:rPr>
          <w:color w:val="333333"/>
          <w:spacing w:val="-2"/>
        </w:rPr>
        <w:t>数量指标：设备替代率=60%，指标设立依据是根据视电子政务信息化一般规定设立依据。</w:t>
      </w:r>
    </w:p>
    <w:p w14:paraId="46A97777">
      <w:pPr>
        <w:spacing w:after="0" w:line="384" w:lineRule="auto"/>
        <w:sectPr>
          <w:pgSz w:w="11910" w:h="16840"/>
          <w:pgMar w:top="1920" w:right="1320" w:bottom="1720" w:left="1480" w:header="0" w:footer="1532" w:gutter="0"/>
          <w:cols w:space="720" w:num="1"/>
        </w:sectPr>
      </w:pPr>
    </w:p>
    <w:p w14:paraId="699F88D3">
      <w:pPr>
        <w:pStyle w:val="2"/>
        <w:spacing w:before="6"/>
        <w:ind w:left="0"/>
        <w:rPr>
          <w:sz w:val="8"/>
        </w:rPr>
      </w:pPr>
    </w:p>
    <w:p w14:paraId="611945A9">
      <w:pPr>
        <w:pStyle w:val="2"/>
        <w:spacing w:before="56" w:line="384" w:lineRule="auto"/>
        <w:ind w:right="263" w:firstLine="621"/>
      </w:pPr>
      <w:r>
        <w:rPr>
          <w:color w:val="333333"/>
          <w:spacing w:val="-9"/>
        </w:rPr>
        <w:t>质量指标：办公信息安全性</w:t>
      </w:r>
      <w:r>
        <w:rPr>
          <w:color w:val="333333"/>
          <w:spacing w:val="-2"/>
        </w:rPr>
        <w:t>=100%，指标设立依据是根据历年指标设立依据。</w:t>
      </w:r>
    </w:p>
    <w:p w14:paraId="1AAAE4A8">
      <w:pPr>
        <w:pStyle w:val="2"/>
        <w:spacing w:before="1" w:line="384" w:lineRule="auto"/>
        <w:ind w:right="266" w:firstLine="621"/>
      </w:pPr>
      <w:r>
        <w:rPr>
          <w:color w:val="333333"/>
          <w:spacing w:val="-4"/>
        </w:rPr>
        <w:t>效益指标：职工满意度》90%，指标设立依据是根据历年指标</w:t>
      </w:r>
      <w:r>
        <w:rPr>
          <w:color w:val="333333"/>
          <w:spacing w:val="-2"/>
        </w:rPr>
        <w:t>设立依据。</w:t>
      </w:r>
    </w:p>
    <w:p w14:paraId="08962A8B">
      <w:pPr>
        <w:pStyle w:val="2"/>
        <w:spacing w:before="12"/>
        <w:ind w:left="0"/>
        <w:rPr>
          <w:sz w:val="28"/>
        </w:rPr>
      </w:pPr>
      <w:r>
        <w:drawing>
          <wp:anchor distT="0" distB="0" distL="0" distR="0" simplePos="0" relativeHeight="251664384" behindDoc="1" locked="0" layoutInCell="1" allowOverlap="1">
            <wp:simplePos x="0" y="0"/>
            <wp:positionH relativeFrom="page">
              <wp:posOffset>1054100</wp:posOffset>
            </wp:positionH>
            <wp:positionV relativeFrom="paragraph">
              <wp:posOffset>250825</wp:posOffset>
            </wp:positionV>
            <wp:extent cx="5527040" cy="3956685"/>
            <wp:effectExtent l="0" t="0" r="0" b="0"/>
            <wp:wrapTopAndBottom/>
            <wp:docPr id="13" name="Image 13"/>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8" cstate="print"/>
                    <a:stretch>
                      <a:fillRect/>
                    </a:stretch>
                  </pic:blipFill>
                  <pic:spPr>
                    <a:xfrm>
                      <a:off x="0" y="0"/>
                      <a:ext cx="5526961" cy="3956685"/>
                    </a:xfrm>
                    <a:prstGeom prst="rect">
                      <a:avLst/>
                    </a:prstGeom>
                  </pic:spPr>
                </pic:pic>
              </a:graphicData>
            </a:graphic>
          </wp:anchor>
        </w:drawing>
      </w:r>
    </w:p>
    <w:p w14:paraId="2080D319">
      <w:pPr>
        <w:pStyle w:val="2"/>
        <w:ind w:left="0"/>
        <w:rPr>
          <w:sz w:val="20"/>
        </w:rPr>
      </w:pPr>
    </w:p>
    <w:p w14:paraId="091430C5">
      <w:pPr>
        <w:pStyle w:val="2"/>
        <w:ind w:left="0"/>
        <w:rPr>
          <w:sz w:val="20"/>
        </w:rPr>
      </w:pPr>
    </w:p>
    <w:p w14:paraId="3DB4B953">
      <w:pPr>
        <w:pStyle w:val="2"/>
        <w:ind w:left="0"/>
        <w:rPr>
          <w:sz w:val="20"/>
        </w:rPr>
      </w:pPr>
    </w:p>
    <w:p w14:paraId="27447863">
      <w:pPr>
        <w:pStyle w:val="2"/>
        <w:spacing w:before="10"/>
        <w:ind w:left="0"/>
        <w:rPr>
          <w:sz w:val="18"/>
        </w:rPr>
      </w:pPr>
    </w:p>
    <w:p w14:paraId="37C09CCF">
      <w:pPr>
        <w:spacing w:before="55"/>
        <w:ind w:left="747" w:right="0" w:firstLine="0"/>
        <w:jc w:val="left"/>
        <w:rPr>
          <w:sz w:val="32"/>
        </w:rPr>
      </w:pPr>
      <w:r>
        <w:rPr>
          <w:spacing w:val="-5"/>
          <w:sz w:val="32"/>
        </w:rPr>
        <w:t>九、其他需要说明的情况</w:t>
      </w:r>
    </w:p>
    <w:p w14:paraId="08786FA4">
      <w:pPr>
        <w:spacing w:before="106"/>
        <w:ind w:left="747" w:right="0" w:firstLine="0"/>
        <w:jc w:val="left"/>
        <w:rPr>
          <w:rFonts w:ascii="Microsoft JhengHei" w:eastAsia="Microsoft JhengHei"/>
          <w:b/>
          <w:sz w:val="32"/>
        </w:rPr>
      </w:pPr>
      <w:r>
        <w:rPr>
          <w:rFonts w:ascii="Microsoft JhengHei" w:eastAsia="Microsoft JhengHei"/>
          <w:b/>
          <w:spacing w:val="-2"/>
          <w:sz w:val="32"/>
        </w:rPr>
        <w:t>（一）</w:t>
      </w:r>
      <w:r>
        <w:rPr>
          <w:rFonts w:ascii="Microsoft JhengHei" w:eastAsia="Microsoft JhengHei"/>
          <w:b/>
          <w:spacing w:val="-4"/>
          <w:sz w:val="32"/>
        </w:rPr>
        <w:t>对空表的说明</w:t>
      </w:r>
    </w:p>
    <w:p w14:paraId="41D4D98A">
      <w:pPr>
        <w:spacing w:before="136" w:line="362" w:lineRule="auto"/>
        <w:ind w:left="106" w:right="266" w:firstLine="640"/>
        <w:jc w:val="left"/>
        <w:rPr>
          <w:sz w:val="32"/>
        </w:rPr>
      </w:pPr>
      <w:r>
        <w:rPr>
          <w:spacing w:val="-14"/>
          <w:sz w:val="32"/>
        </w:rPr>
        <w:t xml:space="preserve">样式：我部门 </w:t>
      </w:r>
      <w:r>
        <w:rPr>
          <w:rFonts w:ascii="Times New Roman" w:eastAsia="Times New Roman"/>
          <w:spacing w:val="-2"/>
          <w:sz w:val="32"/>
        </w:rPr>
        <w:t>2025</w:t>
      </w:r>
      <w:r>
        <w:rPr>
          <w:rFonts w:ascii="Times New Roman" w:eastAsia="Times New Roman"/>
          <w:spacing w:val="-18"/>
          <w:sz w:val="32"/>
        </w:rPr>
        <w:t xml:space="preserve"> </w:t>
      </w:r>
      <w:r>
        <w:rPr>
          <w:spacing w:val="-2"/>
          <w:sz w:val="32"/>
        </w:rPr>
        <w:t>年无国有资本经营预算支出，与上年一致，故该表为空表。</w:t>
      </w:r>
    </w:p>
    <w:p w14:paraId="1EB8C8F2">
      <w:pPr>
        <w:spacing w:after="0" w:line="362" w:lineRule="auto"/>
        <w:jc w:val="left"/>
        <w:rPr>
          <w:sz w:val="32"/>
        </w:rPr>
        <w:sectPr>
          <w:pgSz w:w="11910" w:h="16840"/>
          <w:pgMar w:top="1920" w:right="1320" w:bottom="1720" w:left="1480" w:header="0" w:footer="1532" w:gutter="0"/>
          <w:cols w:space="720" w:num="1"/>
        </w:sectPr>
      </w:pPr>
    </w:p>
    <w:p w14:paraId="73BB0BE2">
      <w:pPr>
        <w:pStyle w:val="2"/>
        <w:spacing w:before="1"/>
        <w:ind w:left="0"/>
        <w:rPr>
          <w:sz w:val="13"/>
        </w:rPr>
      </w:pPr>
    </w:p>
    <w:p w14:paraId="6CBDA219">
      <w:pPr>
        <w:spacing w:before="0" w:line="537" w:lineRule="exact"/>
        <w:ind w:left="747" w:right="0" w:firstLine="0"/>
        <w:jc w:val="left"/>
        <w:rPr>
          <w:rFonts w:ascii="Microsoft JhengHei" w:eastAsia="Microsoft JhengHei"/>
          <w:b/>
          <w:sz w:val="32"/>
        </w:rPr>
      </w:pPr>
      <w:r>
        <w:rPr>
          <w:rFonts w:ascii="Microsoft JhengHei" w:eastAsia="Microsoft JhengHei"/>
          <w:b/>
          <w:spacing w:val="-2"/>
          <w:sz w:val="32"/>
        </w:rPr>
        <w:t>（二）</w:t>
      </w:r>
      <w:r>
        <w:rPr>
          <w:rFonts w:ascii="Microsoft JhengHei" w:eastAsia="Microsoft JhengHei"/>
          <w:b/>
          <w:spacing w:val="-4"/>
          <w:sz w:val="32"/>
        </w:rPr>
        <w:t>对其他情况的说明</w:t>
      </w:r>
    </w:p>
    <w:p w14:paraId="2EAB735D">
      <w:pPr>
        <w:spacing w:before="139" w:line="362" w:lineRule="auto"/>
        <w:ind w:left="106" w:right="266" w:firstLine="640"/>
        <w:jc w:val="left"/>
        <w:rPr>
          <w:sz w:val="32"/>
        </w:rPr>
      </w:pPr>
      <w:r>
        <w:rPr>
          <w:spacing w:val="-2"/>
          <w:sz w:val="32"/>
        </w:rPr>
        <w:t>说明除上述内容之外，部门还有要公开的事项。如无，直接说明</w:t>
      </w:r>
      <w:r>
        <w:rPr>
          <w:rFonts w:ascii="Times New Roman" w:hAnsi="Times New Roman" w:eastAsia="Times New Roman"/>
          <w:spacing w:val="-2"/>
          <w:sz w:val="32"/>
        </w:rPr>
        <w:t>“</w:t>
      </w:r>
      <w:r>
        <w:rPr>
          <w:spacing w:val="-2"/>
          <w:sz w:val="32"/>
        </w:rPr>
        <w:t>无其他情况说明</w:t>
      </w:r>
      <w:r>
        <w:rPr>
          <w:rFonts w:ascii="Times New Roman" w:hAnsi="Times New Roman" w:eastAsia="Times New Roman"/>
          <w:spacing w:val="-2"/>
          <w:sz w:val="32"/>
        </w:rPr>
        <w:t>”</w:t>
      </w:r>
      <w:r>
        <w:rPr>
          <w:spacing w:val="-2"/>
          <w:sz w:val="32"/>
        </w:rPr>
        <w:t>。</w:t>
      </w:r>
    </w:p>
    <w:p w14:paraId="3C30FE0F">
      <w:pPr>
        <w:spacing w:before="0"/>
        <w:ind w:left="747" w:right="0" w:firstLine="0"/>
        <w:jc w:val="left"/>
        <w:rPr>
          <w:sz w:val="32"/>
        </w:rPr>
      </w:pPr>
      <w:r>
        <w:rPr>
          <w:spacing w:val="-5"/>
          <w:sz w:val="32"/>
        </w:rPr>
        <w:t>十、专业名词解释</w:t>
      </w:r>
    </w:p>
    <w:p w14:paraId="49E1D0A0">
      <w:pPr>
        <w:spacing w:before="211"/>
        <w:ind w:left="747" w:right="0" w:firstLine="0"/>
        <w:jc w:val="left"/>
        <w:rPr>
          <w:sz w:val="32"/>
        </w:rPr>
      </w:pPr>
      <w:r>
        <w:rPr>
          <w:spacing w:val="-7"/>
          <w:sz w:val="32"/>
        </w:rPr>
        <w:t>样式：</w:t>
      </w:r>
    </w:p>
    <w:p w14:paraId="1AB47A7F">
      <w:pPr>
        <w:pStyle w:val="7"/>
        <w:numPr>
          <w:ilvl w:val="0"/>
          <w:numId w:val="3"/>
        </w:numPr>
        <w:tabs>
          <w:tab w:val="left" w:pos="985"/>
        </w:tabs>
        <w:spacing w:before="210" w:after="0" w:line="362" w:lineRule="auto"/>
        <w:ind w:left="106" w:right="264" w:firstLine="640"/>
        <w:jc w:val="both"/>
        <w:rPr>
          <w:sz w:val="32"/>
        </w:rPr>
      </w:pPr>
      <w:r>
        <w:rPr>
          <w:spacing w:val="-15"/>
          <w:sz w:val="32"/>
        </w:rPr>
        <w:t>机关运行经费：指为保障单位运行使用一般公共预算财政</w:t>
      </w:r>
      <w:r>
        <w:rPr>
          <w:spacing w:val="-2"/>
          <w:sz w:val="32"/>
        </w:rPr>
        <w:t>拨款安排的基本支出中的日常公用经费支出。包括办公及印刷费、邮电费、差旅费、会议费、福利费、日常维修费、专用材料及一般设备购置费、办公用房水电费、办公用房取暖费、办公用房物业管理费、公务用车运行维护费以及其他费用。</w:t>
      </w:r>
    </w:p>
    <w:p w14:paraId="1706ECE1">
      <w:pPr>
        <w:pStyle w:val="7"/>
        <w:numPr>
          <w:ilvl w:val="0"/>
          <w:numId w:val="3"/>
        </w:numPr>
        <w:tabs>
          <w:tab w:val="left" w:pos="985"/>
        </w:tabs>
        <w:spacing w:before="5" w:after="0" w:line="362" w:lineRule="auto"/>
        <w:ind w:left="106" w:right="105" w:firstLine="640"/>
        <w:jc w:val="left"/>
        <w:rPr>
          <w:sz w:val="32"/>
        </w:rPr>
      </w:pPr>
      <w:r>
        <w:rPr>
          <w:rFonts w:ascii="Times New Roman" w:hAnsi="Times New Roman" w:eastAsia="Times New Roman"/>
          <w:spacing w:val="-2"/>
          <w:sz w:val="32"/>
        </w:rPr>
        <w:t>“</w:t>
      </w:r>
      <w:r>
        <w:rPr>
          <w:spacing w:val="-2"/>
          <w:sz w:val="32"/>
        </w:rPr>
        <w:t>三公</w:t>
      </w:r>
      <w:r>
        <w:rPr>
          <w:rFonts w:ascii="Times New Roman" w:hAnsi="Times New Roman" w:eastAsia="Times New Roman"/>
          <w:spacing w:val="-2"/>
          <w:sz w:val="32"/>
        </w:rPr>
        <w:t>”</w:t>
      </w:r>
      <w:r>
        <w:rPr>
          <w:spacing w:val="-14"/>
          <w:sz w:val="32"/>
        </w:rPr>
        <w:t>经费：指使用一般公共预算财政拨款安排的因公出</w:t>
      </w:r>
      <w:r>
        <w:rPr>
          <w:spacing w:val="-4"/>
          <w:sz w:val="32"/>
        </w:rPr>
        <w:t>国（境）费、公务用车购置及运行维护费和公务接待费。其中，</w:t>
      </w:r>
      <w:r>
        <w:rPr>
          <w:spacing w:val="-2"/>
          <w:sz w:val="32"/>
        </w:rPr>
        <w:t>因公出国（境）费用反映单位公务出国（境）的国际旅费、国外城市间交通费、住宿费、伙食费、培训费、公杂费等支出；</w:t>
      </w:r>
      <w:r>
        <w:rPr>
          <w:spacing w:val="14"/>
          <w:sz w:val="32"/>
        </w:rPr>
        <w:t>公务用车购置及运行维护费反映单位公务用车车辆购置支出</w:t>
      </w:r>
    </w:p>
    <w:p w14:paraId="246EA0EA">
      <w:pPr>
        <w:spacing w:before="3" w:line="362" w:lineRule="auto"/>
        <w:ind w:left="106" w:right="266" w:firstLine="0"/>
        <w:jc w:val="both"/>
        <w:rPr>
          <w:sz w:val="32"/>
        </w:rPr>
      </w:pPr>
      <w:r>
        <w:rPr>
          <w:spacing w:val="-2"/>
          <w:sz w:val="32"/>
        </w:rPr>
        <w:t>（含车辆购置税、牌照费）、燃料费、维修费、过桥过路费、保险费、安全奖励费用等支出；公务接待费反映单位按规定开支的各类公务接待（含外宾接待）费用。</w:t>
      </w:r>
    </w:p>
    <w:p w14:paraId="0D68A973">
      <w:pPr>
        <w:pStyle w:val="7"/>
        <w:numPr>
          <w:ilvl w:val="0"/>
          <w:numId w:val="3"/>
        </w:numPr>
        <w:tabs>
          <w:tab w:val="left" w:pos="985"/>
        </w:tabs>
        <w:spacing w:before="2" w:after="0" w:line="240" w:lineRule="auto"/>
        <w:ind w:left="106" w:right="0" w:firstLine="640"/>
        <w:jc w:val="left"/>
        <w:rPr>
          <w:sz w:val="32"/>
        </w:rPr>
      </w:pPr>
      <w:r>
        <w:rPr>
          <w:spacing w:val="-10"/>
          <w:sz w:val="32"/>
        </w:rPr>
        <w:t>政府采购：是指各级国家机关、事业单位和团体组织，使</w:t>
      </w:r>
    </w:p>
    <w:p w14:paraId="13B1028E">
      <w:pPr>
        <w:spacing w:before="2" w:line="620" w:lineRule="atLeast"/>
        <w:ind w:left="106" w:right="266" w:firstLine="0"/>
        <w:jc w:val="left"/>
        <w:rPr>
          <w:sz w:val="32"/>
        </w:rPr>
      </w:pPr>
      <w:r>
        <w:rPr>
          <w:spacing w:val="-2"/>
          <w:sz w:val="32"/>
        </w:rPr>
        <w:t>用财政性资金采购依法制定的集中采购目录以内的或者采购限</w:t>
      </w:r>
      <w:r>
        <w:rPr>
          <w:spacing w:val="-1"/>
          <w:sz w:val="32"/>
        </w:rPr>
        <w:t>额标准以上的货物、工程和服务的行为。政府采购不仅是指具</w:t>
      </w:r>
    </w:p>
    <w:p w14:paraId="2D3EA1CA">
      <w:pPr>
        <w:spacing w:after="0" w:line="620" w:lineRule="atLeast"/>
        <w:jc w:val="left"/>
        <w:rPr>
          <w:sz w:val="32"/>
        </w:rPr>
        <w:sectPr>
          <w:pgSz w:w="11910" w:h="16840"/>
          <w:pgMar w:top="1920" w:right="1320" w:bottom="1720" w:left="1480" w:header="0" w:footer="1532" w:gutter="0"/>
          <w:cols w:space="720" w:num="1"/>
        </w:sectPr>
      </w:pPr>
    </w:p>
    <w:p w14:paraId="564EBB6E">
      <w:pPr>
        <w:pStyle w:val="2"/>
        <w:spacing w:before="1"/>
        <w:ind w:left="0"/>
        <w:rPr>
          <w:sz w:val="13"/>
        </w:rPr>
      </w:pPr>
    </w:p>
    <w:p w14:paraId="0F201D64">
      <w:pPr>
        <w:spacing w:before="54" w:line="364" w:lineRule="auto"/>
        <w:ind w:left="106" w:right="105" w:firstLine="0"/>
        <w:jc w:val="left"/>
        <w:rPr>
          <w:sz w:val="32"/>
        </w:rPr>
      </w:pPr>
      <w:r>
        <w:rPr>
          <w:spacing w:val="-2"/>
          <w:sz w:val="32"/>
        </w:rPr>
        <w:t>体的采购过程，而且是采购政策、采购程序、采购过程及采购</w:t>
      </w:r>
      <w:r>
        <w:rPr>
          <w:spacing w:val="-4"/>
          <w:sz w:val="32"/>
        </w:rPr>
        <w:t>管理的总称，是一种对公共采购管理的制度，是一种政府行为。</w:t>
      </w:r>
    </w:p>
    <w:p w14:paraId="78DF27AF">
      <w:pPr>
        <w:pStyle w:val="7"/>
        <w:numPr>
          <w:ilvl w:val="0"/>
          <w:numId w:val="3"/>
        </w:numPr>
        <w:tabs>
          <w:tab w:val="left" w:pos="985"/>
        </w:tabs>
        <w:spacing w:before="0" w:after="0" w:line="362" w:lineRule="auto"/>
        <w:ind w:left="106" w:right="266" w:firstLine="640"/>
        <w:jc w:val="left"/>
        <w:rPr>
          <w:sz w:val="32"/>
        </w:rPr>
      </w:pPr>
      <w:r>
        <w:rPr>
          <w:spacing w:val="-8"/>
          <w:sz w:val="32"/>
        </w:rPr>
        <w:t>财政拨款（补助）收入：区级财政预算安排且当年拨付的</w:t>
      </w:r>
      <w:r>
        <w:rPr>
          <w:spacing w:val="-4"/>
          <w:sz w:val="32"/>
        </w:rPr>
        <w:t>资金。</w:t>
      </w:r>
    </w:p>
    <w:p w14:paraId="71C596F2">
      <w:pPr>
        <w:pStyle w:val="7"/>
        <w:numPr>
          <w:ilvl w:val="0"/>
          <w:numId w:val="3"/>
        </w:numPr>
        <w:tabs>
          <w:tab w:val="left" w:pos="985"/>
        </w:tabs>
        <w:spacing w:before="0" w:after="0" w:line="362" w:lineRule="auto"/>
        <w:ind w:left="106" w:right="266" w:firstLine="640"/>
        <w:jc w:val="left"/>
        <w:rPr>
          <w:sz w:val="32"/>
        </w:rPr>
      </w:pPr>
      <w:r>
        <w:rPr>
          <w:spacing w:val="-15"/>
          <w:sz w:val="32"/>
        </w:rPr>
        <w:t>事业收入：事业单位开展专业业务活动及辅助活动取得的</w:t>
      </w:r>
      <w:r>
        <w:rPr>
          <w:spacing w:val="-4"/>
          <w:sz w:val="32"/>
        </w:rPr>
        <w:t>收入。</w:t>
      </w:r>
    </w:p>
    <w:p w14:paraId="6EF51B11">
      <w:pPr>
        <w:pStyle w:val="7"/>
        <w:numPr>
          <w:ilvl w:val="0"/>
          <w:numId w:val="3"/>
        </w:numPr>
        <w:tabs>
          <w:tab w:val="left" w:pos="985"/>
        </w:tabs>
        <w:spacing w:before="0" w:after="0" w:line="364" w:lineRule="auto"/>
        <w:ind w:left="106" w:right="266" w:firstLine="640"/>
        <w:jc w:val="left"/>
        <w:rPr>
          <w:sz w:val="32"/>
        </w:rPr>
      </w:pPr>
      <w:r>
        <w:rPr>
          <w:spacing w:val="-15"/>
          <w:sz w:val="32"/>
        </w:rPr>
        <w:t>事业单位经营收入：事业单位在专业业务活动及其辅助活</w:t>
      </w:r>
      <w:r>
        <w:rPr>
          <w:spacing w:val="-2"/>
          <w:sz w:val="32"/>
        </w:rPr>
        <w:t>动之外开展非独立核算经营活动取得的收入。</w:t>
      </w:r>
    </w:p>
    <w:p w14:paraId="759FD8DA">
      <w:pPr>
        <w:pStyle w:val="7"/>
        <w:numPr>
          <w:ilvl w:val="0"/>
          <w:numId w:val="3"/>
        </w:numPr>
        <w:tabs>
          <w:tab w:val="left" w:pos="986"/>
        </w:tabs>
        <w:spacing w:before="0" w:after="0" w:line="404" w:lineRule="exact"/>
        <w:ind w:left="986" w:right="0" w:hanging="239"/>
        <w:jc w:val="left"/>
        <w:rPr>
          <w:sz w:val="32"/>
        </w:rPr>
      </w:pPr>
      <w:r>
        <w:rPr>
          <w:spacing w:val="-5"/>
          <w:sz w:val="32"/>
        </w:rPr>
        <w:t>其他收入：填列单位取得的除上述收入以外的各项收入。</w:t>
      </w:r>
    </w:p>
    <w:p w14:paraId="5B7E9FCD">
      <w:pPr>
        <w:pStyle w:val="2"/>
        <w:ind w:left="0"/>
        <w:rPr>
          <w:sz w:val="41"/>
        </w:rPr>
      </w:pPr>
    </w:p>
    <w:p w14:paraId="24CB5685">
      <w:pPr>
        <w:spacing w:before="1"/>
        <w:ind w:left="233" w:right="0" w:firstLine="0"/>
        <w:jc w:val="left"/>
        <w:rPr>
          <w:sz w:val="32"/>
        </w:rPr>
      </w:pPr>
      <w:r>
        <w:rPr>
          <w:sz w:val="32"/>
        </w:rPr>
        <w:t>第二部分</w:t>
      </w:r>
      <w:r>
        <w:rPr>
          <w:spacing w:val="26"/>
          <w:w w:val="150"/>
          <w:sz w:val="32"/>
        </w:rPr>
        <w:t xml:space="preserve"> </w:t>
      </w:r>
      <w:r>
        <w:rPr>
          <w:spacing w:val="-7"/>
          <w:sz w:val="32"/>
        </w:rPr>
        <w:t xml:space="preserve">随州高新区高新区管委会 </w:t>
      </w:r>
      <w:r>
        <w:rPr>
          <w:rFonts w:ascii="Times New Roman" w:eastAsia="Times New Roman"/>
          <w:sz w:val="32"/>
        </w:rPr>
        <w:t>2025</w:t>
      </w:r>
      <w:r>
        <w:rPr>
          <w:rFonts w:ascii="Times New Roman" w:eastAsia="Times New Roman"/>
          <w:spacing w:val="-10"/>
          <w:sz w:val="32"/>
        </w:rPr>
        <w:t xml:space="preserve"> </w:t>
      </w:r>
      <w:r>
        <w:rPr>
          <w:spacing w:val="-2"/>
          <w:sz w:val="32"/>
        </w:rPr>
        <w:t>年部门预算公开表</w:t>
      </w:r>
    </w:p>
    <w:p w14:paraId="52EDD2C0">
      <w:pPr>
        <w:pStyle w:val="2"/>
        <w:spacing w:before="2"/>
        <w:ind w:left="0"/>
        <w:rPr>
          <w:sz w:val="28"/>
        </w:rPr>
      </w:pPr>
    </w:p>
    <w:p w14:paraId="1239F89F">
      <w:pPr>
        <w:spacing w:before="0"/>
        <w:ind w:left="1609" w:right="1133" w:firstLine="0"/>
        <w:jc w:val="center"/>
        <w:rPr>
          <w:rFonts w:ascii="微软雅黑" w:eastAsia="微软雅黑"/>
          <w:b/>
          <w:sz w:val="32"/>
        </w:rPr>
      </w:pPr>
      <w:r>
        <w:rPr>
          <w:rFonts w:ascii="微软雅黑" w:eastAsia="微软雅黑"/>
          <w:b/>
          <w:spacing w:val="-3"/>
          <w:sz w:val="32"/>
        </w:rPr>
        <w:t>一、部门收支预算总表</w:t>
      </w:r>
    </w:p>
    <w:p w14:paraId="04B646C7">
      <w:pPr>
        <w:spacing w:after="0"/>
        <w:jc w:val="center"/>
        <w:rPr>
          <w:rFonts w:ascii="微软雅黑" w:eastAsia="微软雅黑"/>
          <w:sz w:val="32"/>
        </w:rPr>
        <w:sectPr>
          <w:pgSz w:w="11910" w:h="16840"/>
          <w:pgMar w:top="1920" w:right="1320" w:bottom="1720" w:left="1480" w:header="0" w:footer="1532" w:gutter="0"/>
          <w:cols w:space="720" w:num="1"/>
        </w:sectPr>
      </w:pPr>
    </w:p>
    <w:p w14:paraId="59E54008">
      <w:pPr>
        <w:pStyle w:val="2"/>
        <w:spacing w:before="14" w:after="1"/>
        <w:ind w:left="0"/>
        <w:rPr>
          <w:rFonts w:ascii="微软雅黑"/>
          <w:b/>
          <w:sz w:val="28"/>
        </w:rPr>
      </w:pPr>
    </w:p>
    <w:p w14:paraId="1B9F51B4">
      <w:pPr>
        <w:pStyle w:val="2"/>
        <w:ind w:left="783"/>
        <w:rPr>
          <w:rFonts w:ascii="微软雅黑"/>
          <w:sz w:val="20"/>
        </w:rPr>
      </w:pPr>
      <w:r>
        <w:rPr>
          <w:rFonts w:ascii="微软雅黑"/>
          <w:sz w:val="20"/>
        </w:rPr>
        <w:drawing>
          <wp:inline distT="0" distB="0" distL="0" distR="0">
            <wp:extent cx="4428490" cy="6115050"/>
            <wp:effectExtent l="0" t="0" r="0" b="0"/>
            <wp:docPr id="14" name="Image 14"/>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9" cstate="print"/>
                    <a:stretch>
                      <a:fillRect/>
                    </a:stretch>
                  </pic:blipFill>
                  <pic:spPr>
                    <a:xfrm>
                      <a:off x="0" y="0"/>
                      <a:ext cx="4428608" cy="6115050"/>
                    </a:xfrm>
                    <a:prstGeom prst="rect">
                      <a:avLst/>
                    </a:prstGeom>
                  </pic:spPr>
                </pic:pic>
              </a:graphicData>
            </a:graphic>
          </wp:inline>
        </w:drawing>
      </w:r>
    </w:p>
    <w:p w14:paraId="62617406">
      <w:pPr>
        <w:pStyle w:val="2"/>
        <w:ind w:left="0"/>
        <w:rPr>
          <w:rFonts w:ascii="微软雅黑"/>
          <w:b/>
          <w:sz w:val="20"/>
        </w:rPr>
      </w:pPr>
    </w:p>
    <w:p w14:paraId="1267E0B3">
      <w:pPr>
        <w:pStyle w:val="2"/>
        <w:ind w:left="0"/>
        <w:rPr>
          <w:rFonts w:ascii="微软雅黑"/>
          <w:b/>
          <w:sz w:val="21"/>
        </w:rPr>
      </w:pPr>
    </w:p>
    <w:p w14:paraId="2C38A770">
      <w:pPr>
        <w:spacing w:before="0" w:line="543" w:lineRule="exact"/>
        <w:ind w:left="1609" w:right="1133" w:firstLine="0"/>
        <w:jc w:val="center"/>
        <w:rPr>
          <w:rFonts w:ascii="微软雅黑" w:eastAsia="微软雅黑"/>
          <w:b/>
          <w:sz w:val="32"/>
        </w:rPr>
      </w:pPr>
      <w:r>
        <w:rPr>
          <w:rFonts w:ascii="微软雅黑" w:eastAsia="微软雅黑"/>
          <w:b/>
          <w:spacing w:val="-4"/>
          <w:sz w:val="32"/>
        </w:rPr>
        <w:t>二、部门收入总表</w:t>
      </w:r>
    </w:p>
    <w:p w14:paraId="2C3A8923">
      <w:pPr>
        <w:spacing w:after="0" w:line="543" w:lineRule="exact"/>
        <w:jc w:val="center"/>
        <w:rPr>
          <w:rFonts w:ascii="微软雅黑" w:eastAsia="微软雅黑"/>
          <w:sz w:val="32"/>
        </w:rPr>
        <w:sectPr>
          <w:pgSz w:w="11910" w:h="16840"/>
          <w:pgMar w:top="1920" w:right="1320" w:bottom="1720" w:left="1480" w:header="0" w:footer="1532" w:gutter="0"/>
          <w:cols w:space="720" w:num="1"/>
        </w:sectPr>
      </w:pPr>
    </w:p>
    <w:p w14:paraId="067CE7B4">
      <w:pPr>
        <w:pStyle w:val="2"/>
        <w:spacing w:before="14"/>
        <w:ind w:left="0"/>
        <w:rPr>
          <w:rFonts w:ascii="微软雅黑"/>
          <w:b/>
          <w:sz w:val="21"/>
        </w:rPr>
      </w:pPr>
    </w:p>
    <w:p w14:paraId="178C47A1">
      <w:pPr>
        <w:pStyle w:val="2"/>
        <w:ind w:left="328"/>
        <w:rPr>
          <w:rFonts w:ascii="微软雅黑"/>
          <w:sz w:val="20"/>
        </w:rPr>
      </w:pPr>
      <w:r>
        <w:rPr>
          <w:rFonts w:ascii="微软雅黑"/>
          <w:sz w:val="20"/>
        </w:rPr>
        <w:drawing>
          <wp:inline distT="0" distB="0" distL="0" distR="0">
            <wp:extent cx="5393055" cy="1605915"/>
            <wp:effectExtent l="0" t="0" r="0" b="0"/>
            <wp:docPr id="15" name="Image 15"/>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20" cstate="print"/>
                    <a:stretch>
                      <a:fillRect/>
                    </a:stretch>
                  </pic:blipFill>
                  <pic:spPr>
                    <a:xfrm>
                      <a:off x="0" y="0"/>
                      <a:ext cx="5393261" cy="1605915"/>
                    </a:xfrm>
                    <a:prstGeom prst="rect">
                      <a:avLst/>
                    </a:prstGeom>
                  </pic:spPr>
                </pic:pic>
              </a:graphicData>
            </a:graphic>
          </wp:inline>
        </w:drawing>
      </w:r>
    </w:p>
    <w:p w14:paraId="5CDC254A">
      <w:pPr>
        <w:pStyle w:val="2"/>
        <w:spacing w:before="4"/>
        <w:ind w:left="0"/>
        <w:rPr>
          <w:rFonts w:ascii="微软雅黑"/>
          <w:b/>
          <w:sz w:val="19"/>
        </w:rPr>
      </w:pPr>
    </w:p>
    <w:p w14:paraId="45A4E1FB">
      <w:pPr>
        <w:spacing w:before="0" w:line="542" w:lineRule="exact"/>
        <w:ind w:left="1609" w:right="1133" w:firstLine="0"/>
        <w:jc w:val="center"/>
        <w:rPr>
          <w:rFonts w:ascii="微软雅黑" w:eastAsia="微软雅黑"/>
          <w:b/>
          <w:sz w:val="32"/>
        </w:rPr>
      </w:pPr>
      <w:r>
        <w:rPr>
          <w:rFonts w:ascii="微软雅黑" w:eastAsia="微软雅黑"/>
          <w:b/>
          <w:spacing w:val="-3"/>
          <w:sz w:val="32"/>
        </w:rPr>
        <w:t>三、部门支出总表、</w:t>
      </w:r>
    </w:p>
    <w:p w14:paraId="31507386">
      <w:pPr>
        <w:spacing w:after="0" w:line="542" w:lineRule="exact"/>
        <w:jc w:val="center"/>
        <w:rPr>
          <w:rFonts w:ascii="微软雅黑" w:eastAsia="微软雅黑"/>
          <w:sz w:val="32"/>
        </w:rPr>
        <w:sectPr>
          <w:pgSz w:w="11910" w:h="16840"/>
          <w:pgMar w:top="1920" w:right="1320" w:bottom="1720" w:left="1480" w:header="0" w:footer="1532" w:gutter="0"/>
          <w:cols w:space="720" w:num="1"/>
        </w:sectPr>
      </w:pPr>
    </w:p>
    <w:p w14:paraId="520C6CCA">
      <w:pPr>
        <w:pStyle w:val="2"/>
        <w:spacing w:before="17"/>
        <w:ind w:left="0"/>
        <w:rPr>
          <w:rFonts w:ascii="微软雅黑"/>
          <w:b/>
          <w:sz w:val="23"/>
        </w:rPr>
      </w:pPr>
    </w:p>
    <w:p w14:paraId="1EB639A9">
      <w:pPr>
        <w:pStyle w:val="2"/>
        <w:ind w:left="568"/>
        <w:rPr>
          <w:rFonts w:ascii="微软雅黑"/>
          <w:sz w:val="20"/>
        </w:rPr>
      </w:pPr>
      <w:r>
        <w:rPr>
          <w:rFonts w:ascii="微软雅黑"/>
          <w:sz w:val="20"/>
        </w:rPr>
        <w:drawing>
          <wp:inline distT="0" distB="0" distL="0" distR="0">
            <wp:extent cx="5096510" cy="5843270"/>
            <wp:effectExtent l="0" t="0" r="0" b="0"/>
            <wp:docPr id="16" name="Image 16"/>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21" cstate="print"/>
                    <a:stretch>
                      <a:fillRect/>
                    </a:stretch>
                  </pic:blipFill>
                  <pic:spPr>
                    <a:xfrm>
                      <a:off x="0" y="0"/>
                      <a:ext cx="5097003" cy="5843397"/>
                    </a:xfrm>
                    <a:prstGeom prst="rect">
                      <a:avLst/>
                    </a:prstGeom>
                  </pic:spPr>
                </pic:pic>
              </a:graphicData>
            </a:graphic>
          </wp:inline>
        </w:drawing>
      </w:r>
    </w:p>
    <w:p w14:paraId="1C113201">
      <w:pPr>
        <w:pStyle w:val="2"/>
        <w:ind w:left="0"/>
        <w:rPr>
          <w:rFonts w:ascii="微软雅黑"/>
          <w:b/>
          <w:sz w:val="20"/>
        </w:rPr>
      </w:pPr>
    </w:p>
    <w:p w14:paraId="0CB00C47">
      <w:pPr>
        <w:pStyle w:val="2"/>
        <w:spacing w:before="10"/>
        <w:ind w:left="0"/>
        <w:rPr>
          <w:rFonts w:ascii="微软雅黑"/>
          <w:b/>
          <w:sz w:val="14"/>
        </w:rPr>
      </w:pPr>
    </w:p>
    <w:p w14:paraId="26855555">
      <w:pPr>
        <w:spacing w:before="0" w:line="543" w:lineRule="exact"/>
        <w:ind w:left="1609" w:right="1133" w:firstLine="0"/>
        <w:jc w:val="center"/>
        <w:rPr>
          <w:rFonts w:ascii="微软雅黑" w:eastAsia="微软雅黑"/>
          <w:b/>
          <w:sz w:val="32"/>
        </w:rPr>
      </w:pPr>
      <w:r>
        <w:rPr>
          <w:rFonts w:ascii="微软雅黑" w:eastAsia="微软雅黑"/>
          <w:b/>
          <w:spacing w:val="-3"/>
          <w:sz w:val="32"/>
        </w:rPr>
        <w:t>四、财政拨款收支总表</w:t>
      </w:r>
    </w:p>
    <w:p w14:paraId="646D0C8B">
      <w:pPr>
        <w:spacing w:after="0" w:line="543" w:lineRule="exact"/>
        <w:jc w:val="center"/>
        <w:rPr>
          <w:rFonts w:ascii="微软雅黑" w:eastAsia="微软雅黑"/>
          <w:sz w:val="32"/>
        </w:rPr>
        <w:sectPr>
          <w:pgSz w:w="11910" w:h="16840"/>
          <w:pgMar w:top="1920" w:right="1320" w:bottom="1720" w:left="1480" w:header="0" w:footer="1532" w:gutter="0"/>
          <w:cols w:space="720" w:num="1"/>
        </w:sectPr>
      </w:pPr>
    </w:p>
    <w:p w14:paraId="36142E98">
      <w:pPr>
        <w:pStyle w:val="2"/>
        <w:spacing w:before="10"/>
        <w:ind w:left="0"/>
        <w:rPr>
          <w:rFonts w:ascii="微软雅黑"/>
          <w:b/>
          <w:sz w:val="22"/>
        </w:rPr>
      </w:pPr>
    </w:p>
    <w:p w14:paraId="0BB027B3">
      <w:pPr>
        <w:pStyle w:val="2"/>
        <w:ind w:left="639"/>
        <w:rPr>
          <w:rFonts w:ascii="微软雅黑"/>
          <w:sz w:val="20"/>
        </w:rPr>
      </w:pPr>
      <w:r>
        <w:rPr>
          <w:rFonts w:ascii="微软雅黑"/>
          <w:sz w:val="20"/>
        </w:rPr>
        <w:drawing>
          <wp:inline distT="0" distB="0" distL="0" distR="0">
            <wp:extent cx="4724400" cy="5962650"/>
            <wp:effectExtent l="0" t="0" r="0" b="0"/>
            <wp:docPr id="17" name="Image 17"/>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22" cstate="print"/>
                    <a:stretch>
                      <a:fillRect/>
                    </a:stretch>
                  </pic:blipFill>
                  <pic:spPr>
                    <a:xfrm>
                      <a:off x="0" y="0"/>
                      <a:ext cx="4724483" cy="5962650"/>
                    </a:xfrm>
                    <a:prstGeom prst="rect">
                      <a:avLst/>
                    </a:prstGeom>
                  </pic:spPr>
                </pic:pic>
              </a:graphicData>
            </a:graphic>
          </wp:inline>
        </w:drawing>
      </w:r>
    </w:p>
    <w:p w14:paraId="33DFF544">
      <w:pPr>
        <w:pStyle w:val="2"/>
        <w:spacing w:before="15"/>
        <w:ind w:left="0"/>
        <w:rPr>
          <w:rFonts w:ascii="微软雅黑"/>
          <w:b/>
          <w:sz w:val="25"/>
        </w:rPr>
      </w:pPr>
    </w:p>
    <w:p w14:paraId="33F1EC0B">
      <w:pPr>
        <w:spacing w:before="0" w:line="542" w:lineRule="exact"/>
        <w:ind w:left="1609" w:right="1133" w:firstLine="0"/>
        <w:jc w:val="center"/>
        <w:rPr>
          <w:rFonts w:ascii="微软雅黑" w:eastAsia="微软雅黑"/>
          <w:b/>
          <w:sz w:val="32"/>
        </w:rPr>
      </w:pPr>
      <w:r>
        <w:rPr>
          <w:rFonts w:ascii="微软雅黑" w:eastAsia="微软雅黑"/>
          <w:b/>
          <w:spacing w:val="-3"/>
          <w:sz w:val="32"/>
        </w:rPr>
        <w:t>五、一般公共预算支出表</w:t>
      </w:r>
    </w:p>
    <w:p w14:paraId="24ECC74B">
      <w:pPr>
        <w:spacing w:after="0" w:line="542" w:lineRule="exact"/>
        <w:jc w:val="center"/>
        <w:rPr>
          <w:rFonts w:ascii="微软雅黑" w:eastAsia="微软雅黑"/>
          <w:sz w:val="32"/>
        </w:rPr>
        <w:sectPr>
          <w:pgSz w:w="11910" w:h="16840"/>
          <w:pgMar w:top="1920" w:right="1320" w:bottom="1720" w:left="1480" w:header="0" w:footer="1532" w:gutter="0"/>
          <w:cols w:space="720" w:num="1"/>
        </w:sectPr>
      </w:pPr>
    </w:p>
    <w:p w14:paraId="2374E212">
      <w:pPr>
        <w:pStyle w:val="2"/>
        <w:ind w:left="0"/>
        <w:rPr>
          <w:rFonts w:ascii="微软雅黑"/>
          <w:b/>
          <w:sz w:val="18"/>
        </w:rPr>
      </w:pPr>
    </w:p>
    <w:p w14:paraId="2B084178">
      <w:pPr>
        <w:pStyle w:val="2"/>
        <w:ind w:left="468"/>
        <w:rPr>
          <w:rFonts w:ascii="微软雅黑"/>
          <w:sz w:val="20"/>
        </w:rPr>
      </w:pPr>
      <w:r>
        <w:rPr>
          <w:rFonts w:ascii="微软雅黑"/>
          <w:sz w:val="20"/>
        </w:rPr>
        <w:drawing>
          <wp:inline distT="0" distB="0" distL="0" distR="0">
            <wp:extent cx="5114925" cy="4591050"/>
            <wp:effectExtent l="0" t="0" r="0" b="0"/>
            <wp:docPr id="18" name="Image 18"/>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23" cstate="print"/>
                    <a:stretch>
                      <a:fillRect/>
                    </a:stretch>
                  </pic:blipFill>
                  <pic:spPr>
                    <a:xfrm>
                      <a:off x="0" y="0"/>
                      <a:ext cx="5115292" cy="4591050"/>
                    </a:xfrm>
                    <a:prstGeom prst="rect">
                      <a:avLst/>
                    </a:prstGeom>
                  </pic:spPr>
                </pic:pic>
              </a:graphicData>
            </a:graphic>
          </wp:inline>
        </w:drawing>
      </w:r>
    </w:p>
    <w:p w14:paraId="0C2F7934">
      <w:pPr>
        <w:pStyle w:val="2"/>
        <w:ind w:left="0"/>
        <w:rPr>
          <w:rFonts w:ascii="微软雅黑"/>
          <w:b/>
          <w:sz w:val="20"/>
        </w:rPr>
      </w:pPr>
    </w:p>
    <w:p w14:paraId="055C9C57">
      <w:pPr>
        <w:pStyle w:val="2"/>
        <w:ind w:left="0"/>
        <w:rPr>
          <w:rFonts w:ascii="微软雅黑"/>
          <w:b/>
          <w:sz w:val="24"/>
        </w:rPr>
      </w:pPr>
    </w:p>
    <w:p w14:paraId="3957B349">
      <w:pPr>
        <w:spacing w:before="0" w:line="542" w:lineRule="exact"/>
        <w:ind w:left="1611" w:right="1133" w:firstLine="0"/>
        <w:jc w:val="center"/>
        <w:rPr>
          <w:rFonts w:ascii="微软雅黑" w:eastAsia="微软雅黑"/>
          <w:b/>
          <w:sz w:val="32"/>
        </w:rPr>
      </w:pPr>
      <w:r>
        <w:rPr>
          <w:spacing w:val="-2"/>
          <w:sz w:val="32"/>
        </w:rPr>
        <w:t>六、</w:t>
      </w:r>
      <w:r>
        <w:rPr>
          <w:rFonts w:ascii="微软雅黑" w:eastAsia="微软雅黑"/>
          <w:b/>
          <w:spacing w:val="-3"/>
          <w:sz w:val="32"/>
        </w:rPr>
        <w:t>一般公共预算基本支出表</w:t>
      </w:r>
    </w:p>
    <w:p w14:paraId="61A3B574">
      <w:pPr>
        <w:spacing w:after="0" w:line="542" w:lineRule="exact"/>
        <w:jc w:val="center"/>
        <w:rPr>
          <w:rFonts w:ascii="微软雅黑" w:eastAsia="微软雅黑"/>
          <w:sz w:val="32"/>
        </w:rPr>
        <w:sectPr>
          <w:pgSz w:w="11910" w:h="16840"/>
          <w:pgMar w:top="1920" w:right="1320" w:bottom="1720" w:left="1480" w:header="0" w:footer="1532" w:gutter="0"/>
          <w:cols w:space="720" w:num="1"/>
        </w:sectPr>
      </w:pPr>
    </w:p>
    <w:p w14:paraId="3BB74819">
      <w:pPr>
        <w:pStyle w:val="2"/>
        <w:spacing w:before="9"/>
        <w:ind w:left="0"/>
        <w:rPr>
          <w:rFonts w:ascii="微软雅黑"/>
          <w:b/>
          <w:sz w:val="25"/>
        </w:rPr>
      </w:pPr>
    </w:p>
    <w:p w14:paraId="408D80DC">
      <w:pPr>
        <w:pStyle w:val="2"/>
        <w:ind w:left="335"/>
        <w:rPr>
          <w:rFonts w:ascii="微软雅黑"/>
          <w:sz w:val="20"/>
        </w:rPr>
      </w:pPr>
      <w:r>
        <w:rPr>
          <w:rFonts w:ascii="微软雅黑"/>
          <w:sz w:val="20"/>
        </w:rPr>
        <w:drawing>
          <wp:inline distT="0" distB="0" distL="0" distR="0">
            <wp:extent cx="5199380" cy="6115050"/>
            <wp:effectExtent l="0" t="0" r="0" b="0"/>
            <wp:docPr id="19" name="Image 19"/>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24" cstate="print"/>
                    <a:stretch>
                      <a:fillRect/>
                    </a:stretch>
                  </pic:blipFill>
                  <pic:spPr>
                    <a:xfrm>
                      <a:off x="0" y="0"/>
                      <a:ext cx="5199868" cy="6115050"/>
                    </a:xfrm>
                    <a:prstGeom prst="rect">
                      <a:avLst/>
                    </a:prstGeom>
                  </pic:spPr>
                </pic:pic>
              </a:graphicData>
            </a:graphic>
          </wp:inline>
        </w:drawing>
      </w:r>
    </w:p>
    <w:p w14:paraId="1E9D5191">
      <w:pPr>
        <w:pStyle w:val="2"/>
        <w:ind w:left="0"/>
        <w:rPr>
          <w:rFonts w:ascii="微软雅黑"/>
          <w:b/>
          <w:sz w:val="20"/>
        </w:rPr>
      </w:pPr>
    </w:p>
    <w:p w14:paraId="26EB3AC6">
      <w:pPr>
        <w:pStyle w:val="2"/>
        <w:spacing w:before="14"/>
        <w:ind w:left="0"/>
        <w:rPr>
          <w:rFonts w:ascii="微软雅黑"/>
          <w:b/>
          <w:sz w:val="23"/>
        </w:rPr>
      </w:pPr>
    </w:p>
    <w:p w14:paraId="1EC481C5">
      <w:pPr>
        <w:spacing w:before="0" w:line="553" w:lineRule="exact"/>
        <w:ind w:left="1609" w:right="1133" w:firstLine="0"/>
        <w:jc w:val="center"/>
        <w:rPr>
          <w:rFonts w:ascii="微软雅黑" w:hAnsi="微软雅黑" w:eastAsia="微软雅黑"/>
          <w:b/>
          <w:sz w:val="32"/>
        </w:rPr>
      </w:pPr>
      <w:r>
        <w:rPr>
          <w:rFonts w:ascii="微软雅黑" w:hAnsi="微软雅黑" w:eastAsia="微软雅黑"/>
          <w:b/>
          <w:spacing w:val="-2"/>
          <w:sz w:val="32"/>
        </w:rPr>
        <w:t>七、一般公共预算</w:t>
      </w:r>
      <w:r>
        <w:rPr>
          <w:rFonts w:ascii="Times New Roman" w:hAnsi="Times New Roman" w:eastAsia="Times New Roman"/>
          <w:b/>
          <w:spacing w:val="-2"/>
          <w:sz w:val="32"/>
        </w:rPr>
        <w:t>“</w:t>
      </w:r>
      <w:r>
        <w:rPr>
          <w:rFonts w:ascii="微软雅黑" w:hAnsi="微软雅黑" w:eastAsia="微软雅黑"/>
          <w:b/>
          <w:spacing w:val="-2"/>
          <w:sz w:val="32"/>
        </w:rPr>
        <w:t>三公</w:t>
      </w:r>
      <w:r>
        <w:rPr>
          <w:rFonts w:ascii="Times New Roman" w:hAnsi="Times New Roman" w:eastAsia="Times New Roman"/>
          <w:b/>
          <w:spacing w:val="-2"/>
          <w:sz w:val="32"/>
        </w:rPr>
        <w:t>”</w:t>
      </w:r>
      <w:r>
        <w:rPr>
          <w:rFonts w:ascii="微软雅黑" w:hAnsi="微软雅黑" w:eastAsia="微软雅黑"/>
          <w:b/>
          <w:spacing w:val="-4"/>
          <w:sz w:val="32"/>
        </w:rPr>
        <w:t>经费支出表</w:t>
      </w:r>
    </w:p>
    <w:p w14:paraId="3DE4998D">
      <w:pPr>
        <w:spacing w:after="0" w:line="553" w:lineRule="exact"/>
        <w:jc w:val="center"/>
        <w:rPr>
          <w:rFonts w:ascii="微软雅黑" w:hAnsi="微软雅黑" w:eastAsia="微软雅黑"/>
          <w:sz w:val="32"/>
        </w:rPr>
        <w:sectPr>
          <w:pgSz w:w="11910" w:h="16840"/>
          <w:pgMar w:top="1920" w:right="1320" w:bottom="1720" w:left="1480" w:header="0" w:footer="1532" w:gutter="0"/>
          <w:cols w:space="720" w:num="1"/>
        </w:sectPr>
      </w:pPr>
    </w:p>
    <w:p w14:paraId="1EFC6301">
      <w:pPr>
        <w:pStyle w:val="2"/>
        <w:ind w:left="0"/>
        <w:rPr>
          <w:rFonts w:ascii="微软雅黑"/>
          <w:b/>
          <w:sz w:val="20"/>
        </w:rPr>
      </w:pPr>
    </w:p>
    <w:p w14:paraId="164CFB73">
      <w:pPr>
        <w:pStyle w:val="2"/>
        <w:ind w:left="0"/>
        <w:rPr>
          <w:rFonts w:ascii="微软雅黑"/>
          <w:b/>
          <w:sz w:val="10"/>
        </w:rPr>
      </w:pPr>
    </w:p>
    <w:p w14:paraId="22A27405">
      <w:pPr>
        <w:pStyle w:val="2"/>
        <w:ind w:left="247"/>
        <w:rPr>
          <w:rFonts w:ascii="微软雅黑"/>
          <w:sz w:val="20"/>
        </w:rPr>
      </w:pPr>
      <w:r>
        <w:rPr>
          <w:rFonts w:ascii="微软雅黑"/>
          <w:sz w:val="20"/>
        </w:rPr>
        <w:drawing>
          <wp:inline distT="0" distB="0" distL="0" distR="0">
            <wp:extent cx="5305425" cy="808990"/>
            <wp:effectExtent l="0" t="0" r="0" b="0"/>
            <wp:docPr id="20" name="Image 20"/>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25" cstate="print"/>
                    <a:stretch>
                      <a:fillRect/>
                    </a:stretch>
                  </pic:blipFill>
                  <pic:spPr>
                    <a:xfrm>
                      <a:off x="0" y="0"/>
                      <a:ext cx="5305822" cy="809244"/>
                    </a:xfrm>
                    <a:prstGeom prst="rect">
                      <a:avLst/>
                    </a:prstGeom>
                  </pic:spPr>
                </pic:pic>
              </a:graphicData>
            </a:graphic>
          </wp:inline>
        </w:drawing>
      </w:r>
    </w:p>
    <w:p w14:paraId="17BCF1F7">
      <w:pPr>
        <w:pStyle w:val="2"/>
        <w:ind w:left="0"/>
        <w:rPr>
          <w:rFonts w:ascii="微软雅黑"/>
          <w:b/>
          <w:sz w:val="20"/>
        </w:rPr>
      </w:pPr>
    </w:p>
    <w:p w14:paraId="42E42DD9">
      <w:pPr>
        <w:pStyle w:val="2"/>
        <w:spacing w:before="9"/>
        <w:ind w:left="0"/>
        <w:rPr>
          <w:rFonts w:ascii="微软雅黑"/>
          <w:b/>
          <w:sz w:val="24"/>
        </w:rPr>
      </w:pPr>
    </w:p>
    <w:p w14:paraId="497FAE2F">
      <w:pPr>
        <w:spacing w:before="0" w:line="543" w:lineRule="exact"/>
        <w:ind w:left="1609" w:right="1133" w:firstLine="0"/>
        <w:jc w:val="center"/>
        <w:rPr>
          <w:rFonts w:ascii="微软雅黑" w:eastAsia="微软雅黑"/>
          <w:b/>
          <w:sz w:val="32"/>
        </w:rPr>
      </w:pPr>
      <w:r>
        <w:rPr>
          <w:rFonts w:ascii="微软雅黑" w:eastAsia="微软雅黑"/>
          <w:b/>
          <w:spacing w:val="-3"/>
          <w:sz w:val="32"/>
        </w:rPr>
        <w:t>八、政府性基金预算支出表</w:t>
      </w:r>
    </w:p>
    <w:p w14:paraId="035CB3D3">
      <w:pPr>
        <w:pStyle w:val="2"/>
        <w:spacing w:before="16"/>
        <w:ind w:left="0"/>
        <w:rPr>
          <w:rFonts w:ascii="微软雅黑"/>
          <w:b/>
          <w:sz w:val="27"/>
        </w:rPr>
      </w:pPr>
      <w:r>
        <w:drawing>
          <wp:anchor distT="0" distB="0" distL="0" distR="0" simplePos="0" relativeHeight="251664384" behindDoc="1" locked="0" layoutInCell="1" allowOverlap="1">
            <wp:simplePos x="0" y="0"/>
            <wp:positionH relativeFrom="page">
              <wp:posOffset>1153795</wp:posOffset>
            </wp:positionH>
            <wp:positionV relativeFrom="paragraph">
              <wp:posOffset>340995</wp:posOffset>
            </wp:positionV>
            <wp:extent cx="4785360" cy="949960"/>
            <wp:effectExtent l="0" t="0" r="0" b="0"/>
            <wp:wrapTopAndBottom/>
            <wp:docPr id="21" name="Image 21"/>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26" cstate="print"/>
                    <a:stretch>
                      <a:fillRect/>
                    </a:stretch>
                  </pic:blipFill>
                  <pic:spPr>
                    <a:xfrm>
                      <a:off x="0" y="0"/>
                      <a:ext cx="4785579" cy="950118"/>
                    </a:xfrm>
                    <a:prstGeom prst="rect">
                      <a:avLst/>
                    </a:prstGeom>
                  </pic:spPr>
                </pic:pic>
              </a:graphicData>
            </a:graphic>
          </wp:anchor>
        </w:drawing>
      </w:r>
    </w:p>
    <w:p w14:paraId="14C9E575">
      <w:pPr>
        <w:pStyle w:val="2"/>
        <w:ind w:left="0"/>
        <w:rPr>
          <w:rFonts w:ascii="微软雅黑"/>
          <w:b/>
          <w:sz w:val="20"/>
        </w:rPr>
      </w:pPr>
    </w:p>
    <w:p w14:paraId="33C7AE20">
      <w:pPr>
        <w:pStyle w:val="2"/>
        <w:ind w:left="0"/>
        <w:rPr>
          <w:rFonts w:ascii="微软雅黑"/>
          <w:b/>
          <w:sz w:val="20"/>
        </w:rPr>
      </w:pPr>
    </w:p>
    <w:p w14:paraId="0468D566">
      <w:pPr>
        <w:pStyle w:val="2"/>
        <w:ind w:left="0"/>
        <w:rPr>
          <w:rFonts w:ascii="微软雅黑"/>
          <w:b/>
          <w:sz w:val="20"/>
        </w:rPr>
      </w:pPr>
    </w:p>
    <w:p w14:paraId="527A4332">
      <w:pPr>
        <w:pStyle w:val="2"/>
        <w:ind w:left="0"/>
        <w:rPr>
          <w:rFonts w:ascii="微软雅黑"/>
          <w:b/>
          <w:sz w:val="20"/>
        </w:rPr>
      </w:pPr>
    </w:p>
    <w:p w14:paraId="52CED508">
      <w:pPr>
        <w:pStyle w:val="2"/>
        <w:spacing w:before="14"/>
        <w:ind w:left="0"/>
        <w:rPr>
          <w:rFonts w:ascii="微软雅黑"/>
          <w:b/>
          <w:sz w:val="21"/>
        </w:rPr>
      </w:pPr>
    </w:p>
    <w:p w14:paraId="2246656E">
      <w:pPr>
        <w:spacing w:before="0" w:line="542" w:lineRule="exact"/>
        <w:ind w:left="1606" w:right="1133" w:firstLine="0"/>
        <w:jc w:val="center"/>
        <w:rPr>
          <w:rFonts w:ascii="微软雅黑" w:eastAsia="微软雅黑"/>
          <w:b/>
          <w:sz w:val="32"/>
        </w:rPr>
      </w:pPr>
      <w:r>
        <w:rPr>
          <w:rFonts w:ascii="微软雅黑" w:eastAsia="微软雅黑"/>
          <w:b/>
          <w:spacing w:val="-4"/>
          <w:sz w:val="32"/>
        </w:rPr>
        <w:t>九、项目支出表</w:t>
      </w:r>
    </w:p>
    <w:p w14:paraId="742A9DE5">
      <w:pPr>
        <w:pStyle w:val="2"/>
        <w:spacing w:before="4"/>
        <w:ind w:left="0"/>
        <w:rPr>
          <w:rFonts w:ascii="微软雅黑"/>
          <w:b/>
          <w:sz w:val="20"/>
        </w:rPr>
      </w:pPr>
      <w:r>
        <w:drawing>
          <wp:anchor distT="0" distB="0" distL="0" distR="0" simplePos="0" relativeHeight="251665408" behindDoc="1" locked="0" layoutInCell="1" allowOverlap="1">
            <wp:simplePos x="0" y="0"/>
            <wp:positionH relativeFrom="page">
              <wp:posOffset>1183005</wp:posOffset>
            </wp:positionH>
            <wp:positionV relativeFrom="paragraph">
              <wp:posOffset>252095</wp:posOffset>
            </wp:positionV>
            <wp:extent cx="5258435" cy="2475230"/>
            <wp:effectExtent l="0" t="0" r="0" b="0"/>
            <wp:wrapTopAndBottom/>
            <wp:docPr id="22" name="Image 22"/>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27" cstate="print"/>
                    <a:stretch>
                      <a:fillRect/>
                    </a:stretch>
                  </pic:blipFill>
                  <pic:spPr>
                    <a:xfrm>
                      <a:off x="0" y="0"/>
                      <a:ext cx="5258378" cy="2474976"/>
                    </a:xfrm>
                    <a:prstGeom prst="rect">
                      <a:avLst/>
                    </a:prstGeom>
                  </pic:spPr>
                </pic:pic>
              </a:graphicData>
            </a:graphic>
          </wp:anchor>
        </w:drawing>
      </w:r>
    </w:p>
    <w:p w14:paraId="0A2FD47D">
      <w:pPr>
        <w:pStyle w:val="2"/>
        <w:spacing w:before="12"/>
        <w:ind w:left="0"/>
        <w:rPr>
          <w:rFonts w:ascii="微软雅黑"/>
          <w:b/>
          <w:sz w:val="13"/>
        </w:rPr>
      </w:pPr>
    </w:p>
    <w:p w14:paraId="040E36B2">
      <w:pPr>
        <w:spacing w:before="0" w:line="542" w:lineRule="exact"/>
        <w:ind w:left="1609" w:right="1133" w:firstLine="0"/>
        <w:jc w:val="center"/>
        <w:rPr>
          <w:rFonts w:ascii="微软雅黑" w:eastAsia="微软雅黑"/>
          <w:b/>
          <w:sz w:val="32"/>
        </w:rPr>
      </w:pPr>
      <w:r>
        <w:rPr>
          <w:rFonts w:ascii="微软雅黑" w:eastAsia="微软雅黑"/>
          <w:b/>
          <w:spacing w:val="-3"/>
          <w:sz w:val="32"/>
        </w:rPr>
        <w:t>十、政府采购预算表</w:t>
      </w:r>
    </w:p>
    <w:p w14:paraId="0D84DF73">
      <w:pPr>
        <w:spacing w:after="0" w:line="542" w:lineRule="exact"/>
        <w:jc w:val="center"/>
        <w:rPr>
          <w:rFonts w:ascii="微软雅黑" w:eastAsia="微软雅黑"/>
          <w:sz w:val="32"/>
        </w:rPr>
        <w:sectPr>
          <w:pgSz w:w="11910" w:h="16840"/>
          <w:pgMar w:top="1920" w:right="1320" w:bottom="1720" w:left="1480" w:header="0" w:footer="1532" w:gutter="0"/>
          <w:cols w:space="720" w:num="1"/>
        </w:sectPr>
      </w:pPr>
    </w:p>
    <w:p w14:paraId="088DCB20">
      <w:pPr>
        <w:pStyle w:val="2"/>
        <w:spacing w:before="12"/>
        <w:ind w:left="0"/>
        <w:rPr>
          <w:rFonts w:ascii="微软雅黑"/>
          <w:b/>
          <w:sz w:val="5"/>
        </w:rPr>
      </w:pPr>
    </w:p>
    <w:p w14:paraId="0A1A35F1">
      <w:pPr>
        <w:pStyle w:val="2"/>
        <w:ind w:left="108"/>
        <w:rPr>
          <w:rFonts w:ascii="微软雅黑"/>
          <w:sz w:val="20"/>
        </w:rPr>
      </w:pPr>
      <w:r>
        <w:rPr>
          <w:rFonts w:ascii="微软雅黑"/>
          <w:sz w:val="20"/>
        </w:rPr>
        <w:drawing>
          <wp:inline distT="0" distB="0" distL="0" distR="0">
            <wp:extent cx="5528945" cy="975360"/>
            <wp:effectExtent l="0" t="0" r="0" b="0"/>
            <wp:docPr id="23" name="Image 23"/>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28" cstate="print"/>
                    <a:stretch>
                      <a:fillRect/>
                    </a:stretch>
                  </pic:blipFill>
                  <pic:spPr>
                    <a:xfrm>
                      <a:off x="0" y="0"/>
                      <a:ext cx="5529321" cy="975455"/>
                    </a:xfrm>
                    <a:prstGeom prst="rect">
                      <a:avLst/>
                    </a:prstGeom>
                  </pic:spPr>
                </pic:pic>
              </a:graphicData>
            </a:graphic>
          </wp:inline>
        </w:drawing>
      </w:r>
    </w:p>
    <w:sectPr>
      <w:pgSz w:w="11910" w:h="16840"/>
      <w:pgMar w:top="1920" w:right="1320" w:bottom="1720" w:left="1480" w:header="0" w:footer="1532"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Microsoft JhengHei">
    <w:panose1 w:val="020B0604030504040204"/>
    <w:charset w:val="88"/>
    <w:family w:val="swiss"/>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087F4">
    <w:pPr>
      <w:pStyle w:val="2"/>
      <w:spacing w:line="14" w:lineRule="auto"/>
      <w:ind w:left="0"/>
      <w:rPr>
        <w:sz w:val="20"/>
      </w:rPr>
    </w:pPr>
    <w:r>
      <mc:AlternateContent>
        <mc:Choice Requires="wps">
          <w:drawing>
            <wp:anchor distT="0" distB="0" distL="0" distR="0" simplePos="0" relativeHeight="251659264" behindDoc="1" locked="0" layoutInCell="1" allowOverlap="1">
              <wp:simplePos x="0" y="0"/>
              <wp:positionH relativeFrom="page">
                <wp:posOffset>5935345</wp:posOffset>
              </wp:positionH>
              <wp:positionV relativeFrom="page">
                <wp:posOffset>9579610</wp:posOffset>
              </wp:positionV>
              <wp:extent cx="482600" cy="194310"/>
              <wp:effectExtent l="0" t="0" r="0" b="0"/>
              <wp:wrapNone/>
              <wp:docPr id="1" name="Textbox 1"/>
              <wp:cNvGraphicFramePr/>
              <a:graphic xmlns:a="http://schemas.openxmlformats.org/drawingml/2006/main">
                <a:graphicData uri="http://schemas.microsoft.com/office/word/2010/wordprocessingShape">
                  <wps:wsp>
                    <wps:cNvSpPr txBox="1"/>
                    <wps:spPr>
                      <a:xfrm>
                        <a:off x="0" y="0"/>
                        <a:ext cx="482600" cy="194310"/>
                      </a:xfrm>
                      <a:prstGeom prst="rect">
                        <a:avLst/>
                      </a:prstGeom>
                    </wps:spPr>
                    <wps:txbx>
                      <w:txbxContent>
                        <w:p w14:paraId="6818A30F">
                          <w:pPr>
                            <w:spacing w:before="10"/>
                            <w:ind w:left="20" w:right="0" w:firstLine="0"/>
                            <w:jc w:val="left"/>
                            <w:rPr>
                              <w:rFonts w:ascii="Times New Roman" w:hAnsi="Times New Roman"/>
                              <w:sz w:val="24"/>
                            </w:rPr>
                          </w:pPr>
                          <w:r>
                            <w:rPr>
                              <w:rFonts w:ascii="Times New Roman" w:hAnsi="Times New Roman"/>
                              <w:sz w:val="24"/>
                            </w:rPr>
                            <w:t xml:space="preserve">— </w:t>
                          </w:r>
                          <w:r>
                            <w:rPr>
                              <w:rFonts w:ascii="Times New Roman" w:hAnsi="Times New Roman"/>
                              <w:sz w:val="24"/>
                            </w:rPr>
                            <w:fldChar w:fldCharType="begin"/>
                          </w:r>
                          <w:r>
                            <w:rPr>
                              <w:rFonts w:ascii="Times New Roman" w:hAnsi="Times New Roman"/>
                              <w:sz w:val="24"/>
                            </w:rPr>
                            <w:instrText xml:space="preserve"> PAGE </w:instrText>
                          </w:r>
                          <w:r>
                            <w:rPr>
                              <w:rFonts w:ascii="Times New Roman" w:hAnsi="Times New Roman"/>
                              <w:sz w:val="24"/>
                            </w:rPr>
                            <w:fldChar w:fldCharType="separate"/>
                          </w:r>
                          <w:r>
                            <w:rPr>
                              <w:rFonts w:ascii="Times New Roman" w:hAnsi="Times New Roman"/>
                              <w:sz w:val="24"/>
                            </w:rPr>
                            <w:t>1</w:t>
                          </w:r>
                          <w:r>
                            <w:rPr>
                              <w:rFonts w:ascii="Times New Roman" w:hAnsi="Times New Roman"/>
                              <w:sz w:val="24"/>
                            </w:rPr>
                            <w:fldChar w:fldCharType="end"/>
                          </w:r>
                          <w:r>
                            <w:rPr>
                              <w:rFonts w:ascii="Times New Roman" w:hAnsi="Times New Roman"/>
                              <w:sz w:val="24"/>
                            </w:rPr>
                            <w:t xml:space="preserve"> </w:t>
                          </w:r>
                          <w:r>
                            <w:rPr>
                              <w:rFonts w:ascii="Times New Roman" w:hAnsi="Times New Roman"/>
                              <w:spacing w:val="-10"/>
                              <w:sz w:val="24"/>
                            </w:rPr>
                            <w:t>—</w:t>
                          </w:r>
                        </w:p>
                      </w:txbxContent>
                    </wps:txbx>
                    <wps:bodyPr wrap="square" lIns="0" tIns="0" rIns="0" bIns="0" rtlCol="0">
                      <a:noAutofit/>
                    </wps:bodyPr>
                  </wps:wsp>
                </a:graphicData>
              </a:graphic>
            </wp:anchor>
          </w:drawing>
        </mc:Choice>
        <mc:Fallback>
          <w:pict>
            <v:shape id="Textbox 1" o:spid="_x0000_s1026" o:spt="202" type="#_x0000_t202" style="position:absolute;left:0pt;margin-left:467.35pt;margin-top:754.3pt;height:15.3pt;width:38pt;mso-position-horizontal-relative:page;mso-position-vertical-relative:page;z-index:-251657216;mso-width-relative:page;mso-height-relative:page;" filled="f" stroked="f" coordsize="21600,21600" o:gfxdata="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LA53n9oAAAAOAQAADwAAAAAAAAABACAAAAAiAAAAZHJzL2Rvd25yZXYueG1sUEsBAhQAFAAAAAgA&#10;h07iQDMsJCOxAQAAcwMAAA4AAAAAAAAAAQAgAAAAKQEAAGRycy9lMm9Eb2MueG1sUEsFBgAAAAAG&#10;AAYAWQEAAEwFAAAAAA==&#10;">
              <v:fill on="f" focussize="0,0"/>
              <v:stroke on="f"/>
              <v:imagedata o:title=""/>
              <o:lock v:ext="edit" aspectratio="f"/>
              <v:textbox inset="0mm,0mm,0mm,0mm">
                <w:txbxContent>
                  <w:p w14:paraId="6818A30F">
                    <w:pPr>
                      <w:spacing w:before="10"/>
                      <w:ind w:left="20" w:right="0" w:firstLine="0"/>
                      <w:jc w:val="left"/>
                      <w:rPr>
                        <w:rFonts w:ascii="Times New Roman" w:hAnsi="Times New Roman"/>
                        <w:sz w:val="24"/>
                      </w:rPr>
                    </w:pPr>
                    <w:r>
                      <w:rPr>
                        <w:rFonts w:ascii="Times New Roman" w:hAnsi="Times New Roman"/>
                        <w:sz w:val="24"/>
                      </w:rPr>
                      <w:t xml:space="preserve">— </w:t>
                    </w:r>
                    <w:r>
                      <w:rPr>
                        <w:rFonts w:ascii="Times New Roman" w:hAnsi="Times New Roman"/>
                        <w:sz w:val="24"/>
                      </w:rPr>
                      <w:fldChar w:fldCharType="begin"/>
                    </w:r>
                    <w:r>
                      <w:rPr>
                        <w:rFonts w:ascii="Times New Roman" w:hAnsi="Times New Roman"/>
                        <w:sz w:val="24"/>
                      </w:rPr>
                      <w:instrText xml:space="preserve"> PAGE </w:instrText>
                    </w:r>
                    <w:r>
                      <w:rPr>
                        <w:rFonts w:ascii="Times New Roman" w:hAnsi="Times New Roman"/>
                        <w:sz w:val="24"/>
                      </w:rPr>
                      <w:fldChar w:fldCharType="separate"/>
                    </w:r>
                    <w:r>
                      <w:rPr>
                        <w:rFonts w:ascii="Times New Roman" w:hAnsi="Times New Roman"/>
                        <w:sz w:val="24"/>
                      </w:rPr>
                      <w:t>1</w:t>
                    </w:r>
                    <w:r>
                      <w:rPr>
                        <w:rFonts w:ascii="Times New Roman" w:hAnsi="Times New Roman"/>
                        <w:sz w:val="24"/>
                      </w:rPr>
                      <w:fldChar w:fldCharType="end"/>
                    </w:r>
                    <w:r>
                      <w:rPr>
                        <w:rFonts w:ascii="Times New Roman" w:hAnsi="Times New Roman"/>
                        <w:sz w:val="24"/>
                      </w:rPr>
                      <w:t xml:space="preserve"> </w:t>
                    </w:r>
                    <w:r>
                      <w:rPr>
                        <w:rFonts w:ascii="Times New Roman" w:hAnsi="Times New Roman"/>
                        <w:spacing w:val="-10"/>
                        <w:sz w:val="24"/>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198790">
    <w:pPr>
      <w:pStyle w:val="2"/>
      <w:spacing w:line="14" w:lineRule="auto"/>
      <w:ind w:left="0"/>
      <w:rPr>
        <w:sz w:val="20"/>
      </w:rPr>
    </w:pPr>
    <w:r>
      <mc:AlternateContent>
        <mc:Choice Requires="wps">
          <w:drawing>
            <wp:anchor distT="0" distB="0" distL="0" distR="0" simplePos="0" relativeHeight="251660288" behindDoc="1" locked="0" layoutInCell="1" allowOverlap="1">
              <wp:simplePos x="0" y="0"/>
              <wp:positionH relativeFrom="page">
                <wp:posOffset>994410</wp:posOffset>
              </wp:positionH>
              <wp:positionV relativeFrom="page">
                <wp:posOffset>9579610</wp:posOffset>
              </wp:positionV>
              <wp:extent cx="482600" cy="194310"/>
              <wp:effectExtent l="0" t="0" r="0" b="0"/>
              <wp:wrapNone/>
              <wp:docPr id="2" name="Textbox 2"/>
              <wp:cNvGraphicFramePr/>
              <a:graphic xmlns:a="http://schemas.openxmlformats.org/drawingml/2006/main">
                <a:graphicData uri="http://schemas.microsoft.com/office/word/2010/wordprocessingShape">
                  <wps:wsp>
                    <wps:cNvSpPr txBox="1"/>
                    <wps:spPr>
                      <a:xfrm>
                        <a:off x="0" y="0"/>
                        <a:ext cx="482600" cy="194310"/>
                      </a:xfrm>
                      <a:prstGeom prst="rect">
                        <a:avLst/>
                      </a:prstGeom>
                    </wps:spPr>
                    <wps:txbx>
                      <w:txbxContent>
                        <w:p w14:paraId="35EAFAF0">
                          <w:pPr>
                            <w:spacing w:before="10"/>
                            <w:ind w:left="20" w:right="0" w:firstLine="0"/>
                            <w:jc w:val="left"/>
                            <w:rPr>
                              <w:rFonts w:ascii="Times New Roman" w:hAnsi="Times New Roman"/>
                              <w:sz w:val="24"/>
                            </w:rPr>
                          </w:pPr>
                          <w:r>
                            <w:rPr>
                              <w:rFonts w:ascii="Times New Roman" w:hAnsi="Times New Roman"/>
                              <w:sz w:val="24"/>
                            </w:rPr>
                            <w:t xml:space="preserve">— </w:t>
                          </w:r>
                          <w:r>
                            <w:rPr>
                              <w:rFonts w:ascii="Times New Roman" w:hAnsi="Times New Roman"/>
                              <w:sz w:val="24"/>
                            </w:rPr>
                            <w:fldChar w:fldCharType="begin"/>
                          </w:r>
                          <w:r>
                            <w:rPr>
                              <w:rFonts w:ascii="Times New Roman" w:hAnsi="Times New Roman"/>
                              <w:sz w:val="24"/>
                            </w:rPr>
                            <w:instrText xml:space="preserve"> PAGE </w:instrText>
                          </w:r>
                          <w:r>
                            <w:rPr>
                              <w:rFonts w:ascii="Times New Roman" w:hAnsi="Times New Roman"/>
                              <w:sz w:val="24"/>
                            </w:rPr>
                            <w:fldChar w:fldCharType="separate"/>
                          </w:r>
                          <w:r>
                            <w:rPr>
                              <w:rFonts w:ascii="Times New Roman" w:hAnsi="Times New Roman"/>
                              <w:sz w:val="24"/>
                            </w:rPr>
                            <w:t>2</w:t>
                          </w:r>
                          <w:r>
                            <w:rPr>
                              <w:rFonts w:ascii="Times New Roman" w:hAnsi="Times New Roman"/>
                              <w:sz w:val="24"/>
                            </w:rPr>
                            <w:fldChar w:fldCharType="end"/>
                          </w:r>
                          <w:r>
                            <w:rPr>
                              <w:rFonts w:ascii="Times New Roman" w:hAnsi="Times New Roman"/>
                              <w:sz w:val="24"/>
                            </w:rPr>
                            <w:t xml:space="preserve"> </w:t>
                          </w:r>
                          <w:r>
                            <w:rPr>
                              <w:rFonts w:ascii="Times New Roman" w:hAnsi="Times New Roman"/>
                              <w:spacing w:val="-10"/>
                              <w:sz w:val="24"/>
                            </w:rPr>
                            <w:t>—</w:t>
                          </w:r>
                        </w:p>
                      </w:txbxContent>
                    </wps:txbx>
                    <wps:bodyPr wrap="square" lIns="0" tIns="0" rIns="0" bIns="0" rtlCol="0">
                      <a:noAutofit/>
                    </wps:bodyPr>
                  </wps:wsp>
                </a:graphicData>
              </a:graphic>
            </wp:anchor>
          </w:drawing>
        </mc:Choice>
        <mc:Fallback>
          <w:pict>
            <v:shape id="Textbox 2" o:spid="_x0000_s1026" o:spt="202" type="#_x0000_t202" style="position:absolute;left:0pt;margin-left:78.3pt;margin-top:754.3pt;height:15.3pt;width:38pt;mso-position-horizontal-relative:page;mso-position-vertical-relative:page;z-index:-251656192;mso-width-relative:page;mso-height-relative:page;" filled="f" stroked="f" coordsize="21600,21600" o:gfxdata="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DPL&#10;STbYAAAADQEAAA8AAAAAAAAAAQAgAAAAIgAAAGRycy9kb3ducmV2LnhtbFBLAQIUABQAAAAIAIdO&#10;4kCbxyKfsQEAAHMDAAAOAAAAAAAAAAEAIAAAACcBAABkcnMvZTJvRG9jLnhtbFBLBQYAAAAABgAG&#10;AFkBAABKBQAAAAA=&#10;">
              <v:fill on="f" focussize="0,0"/>
              <v:stroke on="f"/>
              <v:imagedata o:title=""/>
              <o:lock v:ext="edit" aspectratio="f"/>
              <v:textbox inset="0mm,0mm,0mm,0mm">
                <w:txbxContent>
                  <w:p w14:paraId="35EAFAF0">
                    <w:pPr>
                      <w:spacing w:before="10"/>
                      <w:ind w:left="20" w:right="0" w:firstLine="0"/>
                      <w:jc w:val="left"/>
                      <w:rPr>
                        <w:rFonts w:ascii="Times New Roman" w:hAnsi="Times New Roman"/>
                        <w:sz w:val="24"/>
                      </w:rPr>
                    </w:pPr>
                    <w:r>
                      <w:rPr>
                        <w:rFonts w:ascii="Times New Roman" w:hAnsi="Times New Roman"/>
                        <w:sz w:val="24"/>
                      </w:rPr>
                      <w:t xml:space="preserve">— </w:t>
                    </w:r>
                    <w:r>
                      <w:rPr>
                        <w:rFonts w:ascii="Times New Roman" w:hAnsi="Times New Roman"/>
                        <w:sz w:val="24"/>
                      </w:rPr>
                      <w:fldChar w:fldCharType="begin"/>
                    </w:r>
                    <w:r>
                      <w:rPr>
                        <w:rFonts w:ascii="Times New Roman" w:hAnsi="Times New Roman"/>
                        <w:sz w:val="24"/>
                      </w:rPr>
                      <w:instrText xml:space="preserve"> PAGE </w:instrText>
                    </w:r>
                    <w:r>
                      <w:rPr>
                        <w:rFonts w:ascii="Times New Roman" w:hAnsi="Times New Roman"/>
                        <w:sz w:val="24"/>
                      </w:rPr>
                      <w:fldChar w:fldCharType="separate"/>
                    </w:r>
                    <w:r>
                      <w:rPr>
                        <w:rFonts w:ascii="Times New Roman" w:hAnsi="Times New Roman"/>
                        <w:sz w:val="24"/>
                      </w:rPr>
                      <w:t>2</w:t>
                    </w:r>
                    <w:r>
                      <w:rPr>
                        <w:rFonts w:ascii="Times New Roman" w:hAnsi="Times New Roman"/>
                        <w:sz w:val="24"/>
                      </w:rPr>
                      <w:fldChar w:fldCharType="end"/>
                    </w:r>
                    <w:r>
                      <w:rPr>
                        <w:rFonts w:ascii="Times New Roman" w:hAnsi="Times New Roman"/>
                        <w:sz w:val="24"/>
                      </w:rPr>
                      <w:t xml:space="preserve"> </w:t>
                    </w:r>
                    <w:r>
                      <w:rPr>
                        <w:rFonts w:ascii="Times New Roman" w:hAnsi="Times New Roman"/>
                        <w:spacing w:val="-10"/>
                        <w:sz w:val="24"/>
                      </w:rPr>
                      <w:t>—</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41ADB2">
    <w:pPr>
      <w:pStyle w:val="2"/>
      <w:spacing w:line="14" w:lineRule="auto"/>
      <w:ind w:left="0"/>
      <w:rPr>
        <w:sz w:val="20"/>
      </w:rPr>
    </w:pPr>
    <w:r>
      <mc:AlternateContent>
        <mc:Choice Requires="wps">
          <w:drawing>
            <wp:anchor distT="0" distB="0" distL="0" distR="0" simplePos="0" relativeHeight="251661312" behindDoc="1" locked="0" layoutInCell="1" allowOverlap="1">
              <wp:simplePos x="0" y="0"/>
              <wp:positionH relativeFrom="page">
                <wp:posOffset>5935345</wp:posOffset>
              </wp:positionH>
              <wp:positionV relativeFrom="page">
                <wp:posOffset>9579610</wp:posOffset>
              </wp:positionV>
              <wp:extent cx="553085" cy="194310"/>
              <wp:effectExtent l="0" t="0" r="0" b="0"/>
              <wp:wrapNone/>
              <wp:docPr id="4" name="Textbox 4"/>
              <wp:cNvGraphicFramePr/>
              <a:graphic xmlns:a="http://schemas.openxmlformats.org/drawingml/2006/main">
                <a:graphicData uri="http://schemas.microsoft.com/office/word/2010/wordprocessingShape">
                  <wps:wsp>
                    <wps:cNvSpPr txBox="1"/>
                    <wps:spPr>
                      <a:xfrm>
                        <a:off x="0" y="0"/>
                        <a:ext cx="553085" cy="194310"/>
                      </a:xfrm>
                      <a:prstGeom prst="rect">
                        <a:avLst/>
                      </a:prstGeom>
                    </wps:spPr>
                    <wps:txbx>
                      <w:txbxContent>
                        <w:p w14:paraId="4DEDAD3D">
                          <w:pPr>
                            <w:spacing w:before="10"/>
                            <w:ind w:left="20" w:right="0" w:firstLine="0"/>
                            <w:jc w:val="left"/>
                            <w:rPr>
                              <w:rFonts w:ascii="Times New Roman" w:hAnsi="Times New Roman"/>
                              <w:sz w:val="24"/>
                            </w:rPr>
                          </w:pPr>
                          <w:r>
                            <w:rPr>
                              <w:rFonts w:ascii="Times New Roman" w:hAnsi="Times New Roman"/>
                              <w:sz w:val="24"/>
                            </w:rPr>
                            <w:t xml:space="preserve">— </w:t>
                          </w:r>
                          <w:r>
                            <w:rPr>
                              <w:rFonts w:ascii="Times New Roman" w:hAnsi="Times New Roman"/>
                              <w:sz w:val="24"/>
                            </w:rPr>
                            <w:fldChar w:fldCharType="begin"/>
                          </w:r>
                          <w:r>
                            <w:rPr>
                              <w:rFonts w:ascii="Times New Roman" w:hAnsi="Times New Roman"/>
                              <w:sz w:val="24"/>
                            </w:rPr>
                            <w:instrText xml:space="preserve"> PAGE </w:instrText>
                          </w:r>
                          <w:r>
                            <w:rPr>
                              <w:rFonts w:ascii="Times New Roman" w:hAnsi="Times New Roman"/>
                              <w:sz w:val="24"/>
                            </w:rPr>
                            <w:fldChar w:fldCharType="separate"/>
                          </w:r>
                          <w:r>
                            <w:rPr>
                              <w:rFonts w:ascii="Times New Roman" w:hAnsi="Times New Roman"/>
                              <w:sz w:val="24"/>
                            </w:rPr>
                            <w:t>11</w:t>
                          </w:r>
                          <w:r>
                            <w:rPr>
                              <w:rFonts w:ascii="Times New Roman" w:hAnsi="Times New Roman"/>
                              <w:sz w:val="24"/>
                            </w:rPr>
                            <w:fldChar w:fldCharType="end"/>
                          </w:r>
                          <w:r>
                            <w:rPr>
                              <w:rFonts w:ascii="Times New Roman" w:hAnsi="Times New Roman"/>
                              <w:spacing w:val="-5"/>
                              <w:sz w:val="24"/>
                            </w:rPr>
                            <w:t xml:space="preserve"> </w:t>
                          </w:r>
                          <w:r>
                            <w:rPr>
                              <w:rFonts w:ascii="Times New Roman" w:hAnsi="Times New Roman"/>
                              <w:spacing w:val="-10"/>
                              <w:sz w:val="24"/>
                            </w:rPr>
                            <w:t>—</w:t>
                          </w:r>
                        </w:p>
                      </w:txbxContent>
                    </wps:txbx>
                    <wps:bodyPr wrap="square" lIns="0" tIns="0" rIns="0" bIns="0" rtlCol="0">
                      <a:noAutofit/>
                    </wps:bodyPr>
                  </wps:wsp>
                </a:graphicData>
              </a:graphic>
            </wp:anchor>
          </w:drawing>
        </mc:Choice>
        <mc:Fallback>
          <w:pict>
            <v:shape id="Textbox 4" o:spid="_x0000_s1026" o:spt="202" type="#_x0000_t202" style="position:absolute;left:0pt;margin-left:467.35pt;margin-top:754.3pt;height:15.3pt;width:43.55pt;mso-position-horizontal-relative:page;mso-position-vertical-relative:page;z-index:-251655168;mso-width-relative:page;mso-height-relative:page;" filled="f" stroked="f" coordsize="21600,21600" o:gfxdata="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SBiF7NsAAAAOAQAADwAAAAAAAAABACAAAAAiAAAAZHJzL2Rvd25yZXYueG1sUEsBAhQAFAAA&#10;AAgAh07iQFAMTHGzAQAAcwMAAA4AAAAAAAAAAQAgAAAAKgEAAGRycy9lMm9Eb2MueG1sUEsFBgAA&#10;AAAGAAYAWQEAAE8FAAAAAA==&#10;">
              <v:fill on="f" focussize="0,0"/>
              <v:stroke on="f"/>
              <v:imagedata o:title=""/>
              <o:lock v:ext="edit" aspectratio="f"/>
              <v:textbox inset="0mm,0mm,0mm,0mm">
                <w:txbxContent>
                  <w:p w14:paraId="4DEDAD3D">
                    <w:pPr>
                      <w:spacing w:before="10"/>
                      <w:ind w:left="20" w:right="0" w:firstLine="0"/>
                      <w:jc w:val="left"/>
                      <w:rPr>
                        <w:rFonts w:ascii="Times New Roman" w:hAnsi="Times New Roman"/>
                        <w:sz w:val="24"/>
                      </w:rPr>
                    </w:pPr>
                    <w:r>
                      <w:rPr>
                        <w:rFonts w:ascii="Times New Roman" w:hAnsi="Times New Roman"/>
                        <w:sz w:val="24"/>
                      </w:rPr>
                      <w:t xml:space="preserve">— </w:t>
                    </w:r>
                    <w:r>
                      <w:rPr>
                        <w:rFonts w:ascii="Times New Roman" w:hAnsi="Times New Roman"/>
                        <w:sz w:val="24"/>
                      </w:rPr>
                      <w:fldChar w:fldCharType="begin"/>
                    </w:r>
                    <w:r>
                      <w:rPr>
                        <w:rFonts w:ascii="Times New Roman" w:hAnsi="Times New Roman"/>
                        <w:sz w:val="24"/>
                      </w:rPr>
                      <w:instrText xml:space="preserve"> PAGE </w:instrText>
                    </w:r>
                    <w:r>
                      <w:rPr>
                        <w:rFonts w:ascii="Times New Roman" w:hAnsi="Times New Roman"/>
                        <w:sz w:val="24"/>
                      </w:rPr>
                      <w:fldChar w:fldCharType="separate"/>
                    </w:r>
                    <w:r>
                      <w:rPr>
                        <w:rFonts w:ascii="Times New Roman" w:hAnsi="Times New Roman"/>
                        <w:sz w:val="24"/>
                      </w:rPr>
                      <w:t>11</w:t>
                    </w:r>
                    <w:r>
                      <w:rPr>
                        <w:rFonts w:ascii="Times New Roman" w:hAnsi="Times New Roman"/>
                        <w:sz w:val="24"/>
                      </w:rPr>
                      <w:fldChar w:fldCharType="end"/>
                    </w:r>
                    <w:r>
                      <w:rPr>
                        <w:rFonts w:ascii="Times New Roman" w:hAnsi="Times New Roman"/>
                        <w:spacing w:val="-5"/>
                        <w:sz w:val="24"/>
                      </w:rPr>
                      <w:t xml:space="preserve"> </w:t>
                    </w:r>
                    <w:r>
                      <w:rPr>
                        <w:rFonts w:ascii="Times New Roman" w:hAnsi="Times New Roman"/>
                        <w:spacing w:val="-10"/>
                        <w:sz w:val="24"/>
                      </w:rPr>
                      <w:t>—</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113C6D">
    <w:pPr>
      <w:pStyle w:val="2"/>
      <w:spacing w:line="14" w:lineRule="auto"/>
      <w:ind w:left="0"/>
      <w:rPr>
        <w:sz w:val="20"/>
      </w:rPr>
    </w:pPr>
    <w:r>
      <mc:AlternateContent>
        <mc:Choice Requires="wps">
          <w:drawing>
            <wp:anchor distT="0" distB="0" distL="0" distR="0" simplePos="0" relativeHeight="251660288" behindDoc="1" locked="0" layoutInCell="1" allowOverlap="1">
              <wp:simplePos x="0" y="0"/>
              <wp:positionH relativeFrom="page">
                <wp:posOffset>994410</wp:posOffset>
              </wp:positionH>
              <wp:positionV relativeFrom="page">
                <wp:posOffset>9579610</wp:posOffset>
              </wp:positionV>
              <wp:extent cx="558800" cy="194310"/>
              <wp:effectExtent l="0" t="0" r="0" b="0"/>
              <wp:wrapNone/>
              <wp:docPr id="3" name="Textbox 3"/>
              <wp:cNvGraphicFramePr/>
              <a:graphic xmlns:a="http://schemas.openxmlformats.org/drawingml/2006/main">
                <a:graphicData uri="http://schemas.microsoft.com/office/word/2010/wordprocessingShape">
                  <wps:wsp>
                    <wps:cNvSpPr txBox="1"/>
                    <wps:spPr>
                      <a:xfrm>
                        <a:off x="0" y="0"/>
                        <a:ext cx="558800" cy="194310"/>
                      </a:xfrm>
                      <a:prstGeom prst="rect">
                        <a:avLst/>
                      </a:prstGeom>
                    </wps:spPr>
                    <wps:txbx>
                      <w:txbxContent>
                        <w:p w14:paraId="322ED23F">
                          <w:pPr>
                            <w:spacing w:before="10"/>
                            <w:ind w:left="20" w:right="0" w:firstLine="0"/>
                            <w:jc w:val="left"/>
                            <w:rPr>
                              <w:rFonts w:ascii="Times New Roman" w:hAnsi="Times New Roman"/>
                              <w:sz w:val="24"/>
                            </w:rPr>
                          </w:pPr>
                          <w:r>
                            <w:rPr>
                              <w:rFonts w:ascii="Times New Roman" w:hAnsi="Times New Roman"/>
                              <w:sz w:val="24"/>
                            </w:rPr>
                            <w:t xml:space="preserve">— </w:t>
                          </w:r>
                          <w:r>
                            <w:rPr>
                              <w:rFonts w:ascii="Times New Roman" w:hAnsi="Times New Roman"/>
                              <w:sz w:val="24"/>
                            </w:rPr>
                            <w:fldChar w:fldCharType="begin"/>
                          </w:r>
                          <w:r>
                            <w:rPr>
                              <w:rFonts w:ascii="Times New Roman" w:hAnsi="Times New Roman"/>
                              <w:sz w:val="24"/>
                            </w:rPr>
                            <w:instrText xml:space="preserve"> PAGE </w:instrText>
                          </w:r>
                          <w:r>
                            <w:rPr>
                              <w:rFonts w:ascii="Times New Roman" w:hAnsi="Times New Roman"/>
                              <w:sz w:val="24"/>
                            </w:rPr>
                            <w:fldChar w:fldCharType="separate"/>
                          </w:r>
                          <w:r>
                            <w:rPr>
                              <w:rFonts w:ascii="Times New Roman" w:hAnsi="Times New Roman"/>
                              <w:sz w:val="24"/>
                            </w:rPr>
                            <w:t>10</w:t>
                          </w:r>
                          <w:r>
                            <w:rPr>
                              <w:rFonts w:ascii="Times New Roman" w:hAnsi="Times New Roman"/>
                              <w:sz w:val="24"/>
                            </w:rPr>
                            <w:fldChar w:fldCharType="end"/>
                          </w:r>
                          <w:r>
                            <w:rPr>
                              <w:rFonts w:ascii="Times New Roman" w:hAnsi="Times New Roman"/>
                              <w:sz w:val="24"/>
                            </w:rPr>
                            <w:t xml:space="preserve"> </w:t>
                          </w:r>
                          <w:r>
                            <w:rPr>
                              <w:rFonts w:ascii="Times New Roman" w:hAnsi="Times New Roman"/>
                              <w:spacing w:val="-10"/>
                              <w:sz w:val="24"/>
                            </w:rPr>
                            <w:t>—</w:t>
                          </w:r>
                        </w:p>
                      </w:txbxContent>
                    </wps:txbx>
                    <wps:bodyPr wrap="square" lIns="0" tIns="0" rIns="0" bIns="0" rtlCol="0">
                      <a:noAutofit/>
                    </wps:bodyPr>
                  </wps:wsp>
                </a:graphicData>
              </a:graphic>
            </wp:anchor>
          </w:drawing>
        </mc:Choice>
        <mc:Fallback>
          <w:pict>
            <v:shape id="Textbox 3" o:spid="_x0000_s1026" o:spt="202" type="#_x0000_t202" style="position:absolute;left:0pt;margin-left:78.3pt;margin-top:754.3pt;height:15.3pt;width:44pt;mso-position-horizontal-relative:page;mso-position-vertical-relative:page;z-index:-251656192;mso-width-relative:page;mso-height-relative:page;" filled="f" stroked="f" coordsize="21600,21600" o:gfxdata="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A0&#10;G7yX2AAAAA0BAAAPAAAAAAAAAAEAIAAAACIAAABkcnMvZG93bnJldi54bWxQSwECFAAUAAAACACH&#10;TuJAM6MmtLIBAABzAwAADgAAAAAAAAABACAAAAAnAQAAZHJzL2Uyb0RvYy54bWxQSwUGAAAAAAYA&#10;BgBZAQAASwUAAAAA&#10;">
              <v:fill on="f" focussize="0,0"/>
              <v:stroke on="f"/>
              <v:imagedata o:title=""/>
              <o:lock v:ext="edit" aspectratio="f"/>
              <v:textbox inset="0mm,0mm,0mm,0mm">
                <w:txbxContent>
                  <w:p w14:paraId="322ED23F">
                    <w:pPr>
                      <w:spacing w:before="10"/>
                      <w:ind w:left="20" w:right="0" w:firstLine="0"/>
                      <w:jc w:val="left"/>
                      <w:rPr>
                        <w:rFonts w:ascii="Times New Roman" w:hAnsi="Times New Roman"/>
                        <w:sz w:val="24"/>
                      </w:rPr>
                    </w:pPr>
                    <w:r>
                      <w:rPr>
                        <w:rFonts w:ascii="Times New Roman" w:hAnsi="Times New Roman"/>
                        <w:sz w:val="24"/>
                      </w:rPr>
                      <w:t xml:space="preserve">— </w:t>
                    </w:r>
                    <w:r>
                      <w:rPr>
                        <w:rFonts w:ascii="Times New Roman" w:hAnsi="Times New Roman"/>
                        <w:sz w:val="24"/>
                      </w:rPr>
                      <w:fldChar w:fldCharType="begin"/>
                    </w:r>
                    <w:r>
                      <w:rPr>
                        <w:rFonts w:ascii="Times New Roman" w:hAnsi="Times New Roman"/>
                        <w:sz w:val="24"/>
                      </w:rPr>
                      <w:instrText xml:space="preserve"> PAGE </w:instrText>
                    </w:r>
                    <w:r>
                      <w:rPr>
                        <w:rFonts w:ascii="Times New Roman" w:hAnsi="Times New Roman"/>
                        <w:sz w:val="24"/>
                      </w:rPr>
                      <w:fldChar w:fldCharType="separate"/>
                    </w:r>
                    <w:r>
                      <w:rPr>
                        <w:rFonts w:ascii="Times New Roman" w:hAnsi="Times New Roman"/>
                        <w:sz w:val="24"/>
                      </w:rPr>
                      <w:t>10</w:t>
                    </w:r>
                    <w:r>
                      <w:rPr>
                        <w:rFonts w:ascii="Times New Roman" w:hAnsi="Times New Roman"/>
                        <w:sz w:val="24"/>
                      </w:rPr>
                      <w:fldChar w:fldCharType="end"/>
                    </w:r>
                    <w:r>
                      <w:rPr>
                        <w:rFonts w:ascii="Times New Roman" w:hAnsi="Times New Roman"/>
                        <w:sz w:val="24"/>
                      </w:rPr>
                      <w:t xml:space="preserve"> </w:t>
                    </w:r>
                    <w:r>
                      <w:rPr>
                        <w:rFonts w:ascii="Times New Roman" w:hAnsi="Times New Roman"/>
                        <w:spacing w:val="-10"/>
                        <w:sz w:val="24"/>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multilevel"/>
    <w:tmpl w:val="CF092B84"/>
    <w:lvl w:ilvl="0" w:tentative="0">
      <w:start w:val="1"/>
      <w:numFmt w:val="decimal"/>
      <w:lvlText w:val="%1."/>
      <w:lvlJc w:val="left"/>
      <w:pPr>
        <w:ind w:left="106" w:hanging="312"/>
        <w:jc w:val="left"/>
      </w:pPr>
      <w:rPr>
        <w:rFonts w:hint="default" w:ascii="宋体" w:hAnsi="宋体" w:eastAsia="宋体" w:cs="宋体"/>
        <w:b w:val="0"/>
        <w:bCs w:val="0"/>
        <w:i w:val="0"/>
        <w:iCs w:val="0"/>
        <w:color w:val="333333"/>
        <w:spacing w:val="1"/>
        <w:w w:val="98"/>
        <w:sz w:val="29"/>
        <w:szCs w:val="29"/>
        <w:lang w:val="en-US" w:eastAsia="zh-CN" w:bidi="ar-SA"/>
      </w:rPr>
    </w:lvl>
    <w:lvl w:ilvl="1" w:tentative="0">
      <w:start w:val="0"/>
      <w:numFmt w:val="bullet"/>
      <w:lvlText w:val="•"/>
      <w:lvlJc w:val="left"/>
      <w:pPr>
        <w:ind w:left="1000" w:hanging="312"/>
      </w:pPr>
      <w:rPr>
        <w:rFonts w:hint="default"/>
        <w:lang w:val="en-US" w:eastAsia="zh-CN" w:bidi="ar-SA"/>
      </w:rPr>
    </w:lvl>
    <w:lvl w:ilvl="2" w:tentative="0">
      <w:start w:val="0"/>
      <w:numFmt w:val="bullet"/>
      <w:lvlText w:val="•"/>
      <w:lvlJc w:val="left"/>
      <w:pPr>
        <w:ind w:left="1901" w:hanging="312"/>
      </w:pPr>
      <w:rPr>
        <w:rFonts w:hint="default"/>
        <w:lang w:val="en-US" w:eastAsia="zh-CN" w:bidi="ar-SA"/>
      </w:rPr>
    </w:lvl>
    <w:lvl w:ilvl="3" w:tentative="0">
      <w:start w:val="0"/>
      <w:numFmt w:val="bullet"/>
      <w:lvlText w:val="•"/>
      <w:lvlJc w:val="left"/>
      <w:pPr>
        <w:ind w:left="2801" w:hanging="312"/>
      </w:pPr>
      <w:rPr>
        <w:rFonts w:hint="default"/>
        <w:lang w:val="en-US" w:eastAsia="zh-CN" w:bidi="ar-SA"/>
      </w:rPr>
    </w:lvl>
    <w:lvl w:ilvl="4" w:tentative="0">
      <w:start w:val="0"/>
      <w:numFmt w:val="bullet"/>
      <w:lvlText w:val="•"/>
      <w:lvlJc w:val="left"/>
      <w:pPr>
        <w:ind w:left="3702" w:hanging="312"/>
      </w:pPr>
      <w:rPr>
        <w:rFonts w:hint="default"/>
        <w:lang w:val="en-US" w:eastAsia="zh-CN" w:bidi="ar-SA"/>
      </w:rPr>
    </w:lvl>
    <w:lvl w:ilvl="5" w:tentative="0">
      <w:start w:val="0"/>
      <w:numFmt w:val="bullet"/>
      <w:lvlText w:val="•"/>
      <w:lvlJc w:val="left"/>
      <w:pPr>
        <w:ind w:left="4603" w:hanging="312"/>
      </w:pPr>
      <w:rPr>
        <w:rFonts w:hint="default"/>
        <w:lang w:val="en-US" w:eastAsia="zh-CN" w:bidi="ar-SA"/>
      </w:rPr>
    </w:lvl>
    <w:lvl w:ilvl="6" w:tentative="0">
      <w:start w:val="0"/>
      <w:numFmt w:val="bullet"/>
      <w:lvlText w:val="•"/>
      <w:lvlJc w:val="left"/>
      <w:pPr>
        <w:ind w:left="5503" w:hanging="312"/>
      </w:pPr>
      <w:rPr>
        <w:rFonts w:hint="default"/>
        <w:lang w:val="en-US" w:eastAsia="zh-CN" w:bidi="ar-SA"/>
      </w:rPr>
    </w:lvl>
    <w:lvl w:ilvl="7" w:tentative="0">
      <w:start w:val="0"/>
      <w:numFmt w:val="bullet"/>
      <w:lvlText w:val="•"/>
      <w:lvlJc w:val="left"/>
      <w:pPr>
        <w:ind w:left="6404" w:hanging="312"/>
      </w:pPr>
      <w:rPr>
        <w:rFonts w:hint="default"/>
        <w:lang w:val="en-US" w:eastAsia="zh-CN" w:bidi="ar-SA"/>
      </w:rPr>
    </w:lvl>
    <w:lvl w:ilvl="8" w:tentative="0">
      <w:start w:val="0"/>
      <w:numFmt w:val="bullet"/>
      <w:lvlText w:val="•"/>
      <w:lvlJc w:val="left"/>
      <w:pPr>
        <w:ind w:left="7304" w:hanging="312"/>
      </w:pPr>
      <w:rPr>
        <w:rFonts w:hint="default"/>
        <w:lang w:val="en-US" w:eastAsia="zh-CN" w:bidi="ar-SA"/>
      </w:rPr>
    </w:lvl>
  </w:abstractNum>
  <w:abstractNum w:abstractNumId="1">
    <w:nsid w:val="0053208E"/>
    <w:multiLevelType w:val="multilevel"/>
    <w:tmpl w:val="0053208E"/>
    <w:lvl w:ilvl="0" w:tentative="0">
      <w:start w:val="1"/>
      <w:numFmt w:val="decimal"/>
      <w:lvlText w:val="%1."/>
      <w:lvlJc w:val="left"/>
      <w:pPr>
        <w:ind w:left="106" w:hanging="315"/>
        <w:jc w:val="left"/>
      </w:pPr>
      <w:rPr>
        <w:rFonts w:hint="default" w:ascii="宋体" w:hAnsi="宋体" w:eastAsia="宋体" w:cs="宋体"/>
        <w:b w:val="0"/>
        <w:bCs w:val="0"/>
        <w:i w:val="0"/>
        <w:iCs w:val="0"/>
        <w:color w:val="333333"/>
        <w:spacing w:val="1"/>
        <w:w w:val="98"/>
        <w:sz w:val="29"/>
        <w:szCs w:val="29"/>
        <w:lang w:val="en-US" w:eastAsia="zh-CN" w:bidi="ar-SA"/>
      </w:rPr>
    </w:lvl>
    <w:lvl w:ilvl="1" w:tentative="0">
      <w:start w:val="0"/>
      <w:numFmt w:val="bullet"/>
      <w:lvlText w:val="•"/>
      <w:lvlJc w:val="left"/>
      <w:pPr>
        <w:ind w:left="1000" w:hanging="315"/>
      </w:pPr>
      <w:rPr>
        <w:rFonts w:hint="default"/>
        <w:lang w:val="en-US" w:eastAsia="zh-CN" w:bidi="ar-SA"/>
      </w:rPr>
    </w:lvl>
    <w:lvl w:ilvl="2" w:tentative="0">
      <w:start w:val="0"/>
      <w:numFmt w:val="bullet"/>
      <w:lvlText w:val="•"/>
      <w:lvlJc w:val="left"/>
      <w:pPr>
        <w:ind w:left="1901" w:hanging="315"/>
      </w:pPr>
      <w:rPr>
        <w:rFonts w:hint="default"/>
        <w:lang w:val="en-US" w:eastAsia="zh-CN" w:bidi="ar-SA"/>
      </w:rPr>
    </w:lvl>
    <w:lvl w:ilvl="3" w:tentative="0">
      <w:start w:val="0"/>
      <w:numFmt w:val="bullet"/>
      <w:lvlText w:val="•"/>
      <w:lvlJc w:val="left"/>
      <w:pPr>
        <w:ind w:left="2801" w:hanging="315"/>
      </w:pPr>
      <w:rPr>
        <w:rFonts w:hint="default"/>
        <w:lang w:val="en-US" w:eastAsia="zh-CN" w:bidi="ar-SA"/>
      </w:rPr>
    </w:lvl>
    <w:lvl w:ilvl="4" w:tentative="0">
      <w:start w:val="0"/>
      <w:numFmt w:val="bullet"/>
      <w:lvlText w:val="•"/>
      <w:lvlJc w:val="left"/>
      <w:pPr>
        <w:ind w:left="3702" w:hanging="315"/>
      </w:pPr>
      <w:rPr>
        <w:rFonts w:hint="default"/>
        <w:lang w:val="en-US" w:eastAsia="zh-CN" w:bidi="ar-SA"/>
      </w:rPr>
    </w:lvl>
    <w:lvl w:ilvl="5" w:tentative="0">
      <w:start w:val="0"/>
      <w:numFmt w:val="bullet"/>
      <w:lvlText w:val="•"/>
      <w:lvlJc w:val="left"/>
      <w:pPr>
        <w:ind w:left="4603" w:hanging="315"/>
      </w:pPr>
      <w:rPr>
        <w:rFonts w:hint="default"/>
        <w:lang w:val="en-US" w:eastAsia="zh-CN" w:bidi="ar-SA"/>
      </w:rPr>
    </w:lvl>
    <w:lvl w:ilvl="6" w:tentative="0">
      <w:start w:val="0"/>
      <w:numFmt w:val="bullet"/>
      <w:lvlText w:val="•"/>
      <w:lvlJc w:val="left"/>
      <w:pPr>
        <w:ind w:left="5503" w:hanging="315"/>
      </w:pPr>
      <w:rPr>
        <w:rFonts w:hint="default"/>
        <w:lang w:val="en-US" w:eastAsia="zh-CN" w:bidi="ar-SA"/>
      </w:rPr>
    </w:lvl>
    <w:lvl w:ilvl="7" w:tentative="0">
      <w:start w:val="0"/>
      <w:numFmt w:val="bullet"/>
      <w:lvlText w:val="•"/>
      <w:lvlJc w:val="left"/>
      <w:pPr>
        <w:ind w:left="6404" w:hanging="315"/>
      </w:pPr>
      <w:rPr>
        <w:rFonts w:hint="default"/>
        <w:lang w:val="en-US" w:eastAsia="zh-CN" w:bidi="ar-SA"/>
      </w:rPr>
    </w:lvl>
    <w:lvl w:ilvl="8" w:tentative="0">
      <w:start w:val="0"/>
      <w:numFmt w:val="bullet"/>
      <w:lvlText w:val="•"/>
      <w:lvlJc w:val="left"/>
      <w:pPr>
        <w:ind w:left="7304" w:hanging="315"/>
      </w:pPr>
      <w:rPr>
        <w:rFonts w:hint="default"/>
        <w:lang w:val="en-US" w:eastAsia="zh-CN" w:bidi="ar-SA"/>
      </w:rPr>
    </w:lvl>
  </w:abstractNum>
  <w:abstractNum w:abstractNumId="2">
    <w:nsid w:val="59ADCABA"/>
    <w:multiLevelType w:val="multilevel"/>
    <w:tmpl w:val="59ADCABA"/>
    <w:lvl w:ilvl="0" w:tentative="0">
      <w:start w:val="1"/>
      <w:numFmt w:val="decimal"/>
      <w:lvlText w:val="%1."/>
      <w:lvlJc w:val="left"/>
      <w:pPr>
        <w:ind w:left="106" w:hanging="242"/>
        <w:jc w:val="left"/>
      </w:pPr>
      <w:rPr>
        <w:rFonts w:hint="default" w:ascii="Times New Roman" w:hAnsi="Times New Roman" w:eastAsia="Times New Roman" w:cs="Times New Roman"/>
        <w:b w:val="0"/>
        <w:bCs w:val="0"/>
        <w:i w:val="0"/>
        <w:iCs w:val="0"/>
        <w:spacing w:val="-1"/>
        <w:w w:val="97"/>
        <w:sz w:val="30"/>
        <w:szCs w:val="30"/>
        <w:lang w:val="en-US" w:eastAsia="zh-CN" w:bidi="ar-SA"/>
      </w:rPr>
    </w:lvl>
    <w:lvl w:ilvl="1" w:tentative="0">
      <w:start w:val="0"/>
      <w:numFmt w:val="bullet"/>
      <w:lvlText w:val="•"/>
      <w:lvlJc w:val="left"/>
      <w:pPr>
        <w:ind w:left="1000" w:hanging="242"/>
      </w:pPr>
      <w:rPr>
        <w:rFonts w:hint="default"/>
        <w:lang w:val="en-US" w:eastAsia="zh-CN" w:bidi="ar-SA"/>
      </w:rPr>
    </w:lvl>
    <w:lvl w:ilvl="2" w:tentative="0">
      <w:start w:val="0"/>
      <w:numFmt w:val="bullet"/>
      <w:lvlText w:val="•"/>
      <w:lvlJc w:val="left"/>
      <w:pPr>
        <w:ind w:left="1901" w:hanging="242"/>
      </w:pPr>
      <w:rPr>
        <w:rFonts w:hint="default"/>
        <w:lang w:val="en-US" w:eastAsia="zh-CN" w:bidi="ar-SA"/>
      </w:rPr>
    </w:lvl>
    <w:lvl w:ilvl="3" w:tentative="0">
      <w:start w:val="0"/>
      <w:numFmt w:val="bullet"/>
      <w:lvlText w:val="•"/>
      <w:lvlJc w:val="left"/>
      <w:pPr>
        <w:ind w:left="2801" w:hanging="242"/>
      </w:pPr>
      <w:rPr>
        <w:rFonts w:hint="default"/>
        <w:lang w:val="en-US" w:eastAsia="zh-CN" w:bidi="ar-SA"/>
      </w:rPr>
    </w:lvl>
    <w:lvl w:ilvl="4" w:tentative="0">
      <w:start w:val="0"/>
      <w:numFmt w:val="bullet"/>
      <w:lvlText w:val="•"/>
      <w:lvlJc w:val="left"/>
      <w:pPr>
        <w:ind w:left="3702" w:hanging="242"/>
      </w:pPr>
      <w:rPr>
        <w:rFonts w:hint="default"/>
        <w:lang w:val="en-US" w:eastAsia="zh-CN" w:bidi="ar-SA"/>
      </w:rPr>
    </w:lvl>
    <w:lvl w:ilvl="5" w:tentative="0">
      <w:start w:val="0"/>
      <w:numFmt w:val="bullet"/>
      <w:lvlText w:val="•"/>
      <w:lvlJc w:val="left"/>
      <w:pPr>
        <w:ind w:left="4603" w:hanging="242"/>
      </w:pPr>
      <w:rPr>
        <w:rFonts w:hint="default"/>
        <w:lang w:val="en-US" w:eastAsia="zh-CN" w:bidi="ar-SA"/>
      </w:rPr>
    </w:lvl>
    <w:lvl w:ilvl="6" w:tentative="0">
      <w:start w:val="0"/>
      <w:numFmt w:val="bullet"/>
      <w:lvlText w:val="•"/>
      <w:lvlJc w:val="left"/>
      <w:pPr>
        <w:ind w:left="5503" w:hanging="242"/>
      </w:pPr>
      <w:rPr>
        <w:rFonts w:hint="default"/>
        <w:lang w:val="en-US" w:eastAsia="zh-CN" w:bidi="ar-SA"/>
      </w:rPr>
    </w:lvl>
    <w:lvl w:ilvl="7" w:tentative="0">
      <w:start w:val="0"/>
      <w:numFmt w:val="bullet"/>
      <w:lvlText w:val="•"/>
      <w:lvlJc w:val="left"/>
      <w:pPr>
        <w:ind w:left="6404" w:hanging="242"/>
      </w:pPr>
      <w:rPr>
        <w:rFonts w:hint="default"/>
        <w:lang w:val="en-US" w:eastAsia="zh-CN" w:bidi="ar-SA"/>
      </w:rPr>
    </w:lvl>
    <w:lvl w:ilvl="8" w:tentative="0">
      <w:start w:val="0"/>
      <w:numFmt w:val="bullet"/>
      <w:lvlText w:val="•"/>
      <w:lvlJc w:val="left"/>
      <w:pPr>
        <w:ind w:left="7304" w:hanging="242"/>
      </w:pPr>
      <w:rPr>
        <w:rFonts w:hint="default"/>
        <w:lang w:val="en-US" w:eastAsia="zh-CN" w:bidi="ar-S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720"/>
  <w:evenAndOddHeaders w:val="1"/>
  <w:drawingGridHorizontalSpacing w:val="110"/>
  <w:displayHorizontalDrawingGridEvery w:val="2"/>
  <w:characterSpacingControl w:val="doNotCompress"/>
  <w:footnotePr>
    <w:footnote w:id="0"/>
    <w:footnote w:id="1"/>
  </w:footnotePr>
  <w:endnotePr>
    <w:endnote w:id="0"/>
    <w:endnote w:id="1"/>
  </w:endnotePr>
  <w:compat>
    <w:ulTrailSpace/>
    <w:shapeLayoutLikeWW8/>
    <w:useFELayout/>
    <w:compatSetting w:name="compatibilityMode" w:uri="http://schemas.microsoft.com/office/word" w:val="14"/>
  </w:compat>
  <w:rsids>
    <w:rsidRoot w:val="00000000"/>
    <w:rsid w:val="3EFF01F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en-US" w:eastAsia="zh-CN" w:bidi="ar-SA"/>
    </w:rPr>
  </w:style>
  <w:style w:type="character" w:default="1" w:styleId="5">
    <w:name w:val="Default Paragraph Font"/>
    <w:semiHidden/>
    <w:unhideWhenUsed/>
    <w:uiPriority w:val="1"/>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qFormat/>
    <w:uiPriority w:val="1"/>
    <w:pPr>
      <w:ind w:left="106"/>
    </w:pPr>
    <w:rPr>
      <w:rFonts w:ascii="宋体" w:hAnsi="宋体" w:eastAsia="宋体" w:cs="宋体"/>
      <w:sz w:val="31"/>
      <w:szCs w:val="31"/>
      <w:lang w:val="en-US" w:eastAsia="zh-CN" w:bidi="ar-SA"/>
    </w:rPr>
  </w:style>
  <w:style w:type="paragraph" w:styleId="3">
    <w:name w:val="Title"/>
    <w:basedOn w:val="1"/>
    <w:qFormat/>
    <w:uiPriority w:val="1"/>
    <w:pPr>
      <w:ind w:right="157"/>
      <w:jc w:val="center"/>
    </w:pPr>
    <w:rPr>
      <w:rFonts w:ascii="微软雅黑" w:hAnsi="微软雅黑" w:eastAsia="微软雅黑" w:cs="微软雅黑"/>
      <w:sz w:val="40"/>
      <w:szCs w:val="40"/>
      <w:lang w:val="en-US" w:eastAsia="zh-CN" w:bidi="ar-SA"/>
    </w:rPr>
  </w:style>
  <w:style w:type="table" w:customStyle="1" w:styleId="6">
    <w:name w:val="Table Normal"/>
    <w:semiHidden/>
    <w:unhideWhenUsed/>
    <w:qFormat/>
    <w:uiPriority w:val="2"/>
    <w:tblPr>
      <w:tblCellMar>
        <w:top w:w="0" w:type="dxa"/>
        <w:left w:w="0" w:type="dxa"/>
        <w:bottom w:w="0" w:type="dxa"/>
        <w:right w:w="0" w:type="dxa"/>
      </w:tblCellMar>
    </w:tblPr>
  </w:style>
  <w:style w:type="paragraph" w:styleId="7">
    <w:name w:val="List Paragraph"/>
    <w:basedOn w:val="1"/>
    <w:qFormat/>
    <w:uiPriority w:val="1"/>
    <w:pPr>
      <w:spacing w:before="1"/>
      <w:ind w:left="106" w:right="266" w:firstLine="621"/>
    </w:pPr>
    <w:rPr>
      <w:rFonts w:ascii="宋体" w:hAnsi="宋体" w:eastAsia="宋体" w:cs="宋体"/>
      <w:lang w:val="en-US" w:eastAsia="zh-CN" w:bidi="ar-SA"/>
    </w:rPr>
  </w:style>
  <w:style w:type="paragraph" w:customStyle="1" w:styleId="8">
    <w:name w:val="Table Paragraph"/>
    <w:basedOn w:val="1"/>
    <w:qFormat/>
    <w:uiPriority w:val="1"/>
    <w:rPr>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1" Type="http://schemas.openxmlformats.org/officeDocument/2006/relationships/fontTable" Target="fontTable.xml"/><Relationship Id="rId30" Type="http://schemas.openxmlformats.org/officeDocument/2006/relationships/numbering" Target="numbering.xml"/><Relationship Id="rId3" Type="http://schemas.openxmlformats.org/officeDocument/2006/relationships/footnotes" Target="footnotes.xml"/><Relationship Id="rId29" Type="http://schemas.openxmlformats.org/officeDocument/2006/relationships/customXml" Target="../customXml/item1.xml"/><Relationship Id="rId28" Type="http://schemas.openxmlformats.org/officeDocument/2006/relationships/image" Target="media/image19.jpeg"/><Relationship Id="rId27" Type="http://schemas.openxmlformats.org/officeDocument/2006/relationships/image" Target="media/image18.jpeg"/><Relationship Id="rId26" Type="http://schemas.openxmlformats.org/officeDocument/2006/relationships/image" Target="media/image17.jpeg"/><Relationship Id="rId25" Type="http://schemas.openxmlformats.org/officeDocument/2006/relationships/image" Target="media/image16.jpeg"/><Relationship Id="rId24" Type="http://schemas.openxmlformats.org/officeDocument/2006/relationships/image" Target="media/image15.jpeg"/><Relationship Id="rId23" Type="http://schemas.openxmlformats.org/officeDocument/2006/relationships/image" Target="media/image14.jpeg"/><Relationship Id="rId22" Type="http://schemas.openxmlformats.org/officeDocument/2006/relationships/image" Target="media/image13.jpeg"/><Relationship Id="rId21" Type="http://schemas.openxmlformats.org/officeDocument/2006/relationships/image" Target="media/image12.jpeg"/><Relationship Id="rId20" Type="http://schemas.openxmlformats.org/officeDocument/2006/relationships/image" Target="media/image11.jpeg"/><Relationship Id="rId2" Type="http://schemas.openxmlformats.org/officeDocument/2006/relationships/settings" Target="settings.xml"/><Relationship Id="rId19" Type="http://schemas.openxmlformats.org/officeDocument/2006/relationships/image" Target="media/image10.jpeg"/><Relationship Id="rId18" Type="http://schemas.openxmlformats.org/officeDocument/2006/relationships/image" Target="media/image9.jpeg"/><Relationship Id="rId17" Type="http://schemas.openxmlformats.org/officeDocument/2006/relationships/image" Target="media/image8.jpeg"/><Relationship Id="rId16" Type="http://schemas.openxmlformats.org/officeDocument/2006/relationships/image" Target="media/image7.jpeg"/><Relationship Id="rId15" Type="http://schemas.openxmlformats.org/officeDocument/2006/relationships/image" Target="media/image6.jpeg"/><Relationship Id="rId14" Type="http://schemas.openxmlformats.org/officeDocument/2006/relationships/image" Target="media/image5.jpeg"/><Relationship Id="rId13" Type="http://schemas.openxmlformats.org/officeDocument/2006/relationships/image" Target="media/image4.jpeg"/><Relationship Id="rId12" Type="http://schemas.openxmlformats.org/officeDocument/2006/relationships/image" Target="media/image3.jpeg"/><Relationship Id="rId11" Type="http://schemas.openxmlformats.org/officeDocument/2006/relationships/image" Target="media/image2.jpeg"/><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34</Pages>
  <Words>6902</Words>
  <Characters>7376</Characters>
  <TotalTime>0</TotalTime>
  <ScaleCrop>false</ScaleCrop>
  <LinksUpToDate>false</LinksUpToDate>
  <CharactersWithSpaces>7619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2026-10-13T08:37:00Z</dcterms:created>
  <dc:creator>微软用户</dc:creator>
  <cp:lastModifiedBy>丽丽</cp:lastModifiedBy>
  <dcterms:modified xsi:type="dcterms:W3CDTF">2026-10-13T08:37:59Z</dcterms:modified>
  <dc:title>市财政局关于下达2010年市直部门预算的通知</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2025-03-03T00:00:00Z</vt:filetime>
  </property>
  <property fmtid="{D5CDD505-2E9C-101B-9397-08002B2CF9AE}" pid="3" name="Creator">
    <vt:lpwstr>WPS 文字</vt:lpwstr>
  </property>
  <property fmtid="{D5CDD505-2E9C-101B-9397-08002B2CF9AE}" pid="4" name="LastSaved">
    <vt:filetime>2026-10-13T00:00:00Z</vt:filetime>
  </property>
  <property fmtid="{D5CDD505-2E9C-101B-9397-08002B2CF9AE}" pid="5" name="SourceModified">
    <vt:lpwstr>D:20250303114125+08'00'</vt:lpwstr>
  </property>
  <property fmtid="{D5CDD505-2E9C-101B-9397-08002B2CF9AE}" pid="6" name="KSOTemplateDocerSaveRecord">
    <vt:lpwstr>eyJoZGlkIjoiMzYyYWJlNGVjOTlhNWNkZDc5OTVlMTI3YjViMTA1NjMiLCJ1c2VySWQiOiI5NDU5NTAwMTgifQ==</vt:lpwstr>
  </property>
  <property fmtid="{D5CDD505-2E9C-101B-9397-08002B2CF9AE}" pid="7" name="KSOProductBuildVer">
    <vt:lpwstr>2052-12.1.0.28505</vt:lpwstr>
  </property>
  <property fmtid="{D5CDD505-2E9C-101B-9397-08002B2CF9AE}" pid="8" name="ICV">
    <vt:lpwstr>F8FB0F122C8F4503B1116E8F273CA43D_13</vt:lpwstr>
  </property>
</Properties>
</file>