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68DF1">
      <w:pPr>
        <w:pStyle w:val="2"/>
        <w:spacing w:before="2"/>
        <w:rPr>
          <w:rFonts w:ascii="Times New Roman"/>
          <w:sz w:val="21"/>
        </w:rPr>
      </w:pPr>
    </w:p>
    <w:p w14:paraId="672D2CF1">
      <w:pPr>
        <w:pStyle w:val="3"/>
        <w:spacing w:before="64"/>
      </w:pPr>
      <w:r>
        <w:rPr>
          <w:spacing w:val="-11"/>
        </w:rPr>
        <w:t xml:space="preserve">随州高新区应急管理局 </w:t>
      </w:r>
      <w:r>
        <w:rPr>
          <w:spacing w:val="-2"/>
        </w:rPr>
        <w:t>2025</w:t>
      </w:r>
      <w:r>
        <w:rPr>
          <w:spacing w:val="-20"/>
        </w:rPr>
        <w:t xml:space="preserve"> 年部门预算</w:t>
      </w:r>
    </w:p>
    <w:p w14:paraId="765D519C">
      <w:pPr>
        <w:pStyle w:val="2"/>
        <w:spacing w:before="11"/>
        <w:rPr>
          <w:sz w:val="56"/>
        </w:rPr>
      </w:pPr>
    </w:p>
    <w:p w14:paraId="5515F6B7">
      <w:pPr>
        <w:pStyle w:val="3"/>
        <w:tabs>
          <w:tab w:val="left" w:pos="998"/>
        </w:tabs>
      </w:pPr>
      <w:r>
        <w:rPr>
          <w:spacing w:val="-10"/>
        </w:rPr>
        <w:t>目</w:t>
      </w:r>
      <w:r>
        <w:tab/>
      </w:r>
      <w:r>
        <w:rPr>
          <w:spacing w:val="-10"/>
        </w:rPr>
        <w:t>录</w:t>
      </w:r>
    </w:p>
    <w:p w14:paraId="74A0A1D3">
      <w:pPr>
        <w:pStyle w:val="2"/>
        <w:spacing w:before="1"/>
        <w:rPr>
          <w:sz w:val="63"/>
        </w:rPr>
      </w:pPr>
    </w:p>
    <w:p w14:paraId="6F9B088E">
      <w:pPr>
        <w:pStyle w:val="2"/>
        <w:spacing w:line="364" w:lineRule="auto"/>
        <w:ind w:left="2628" w:right="2033" w:hanging="1337"/>
      </w:pPr>
      <w:r>
        <w:t>第一部分 随州高新区应急管理局预算公开情况说明</w:t>
      </w:r>
      <w:r>
        <w:rPr>
          <w:spacing w:val="-2"/>
        </w:rPr>
        <w:t>一、部门（单位）主要职责</w:t>
      </w:r>
    </w:p>
    <w:p w14:paraId="0E99B3A6">
      <w:pPr>
        <w:pStyle w:val="2"/>
        <w:spacing w:line="404" w:lineRule="exact"/>
        <w:ind w:left="2628"/>
      </w:pPr>
      <w:r>
        <w:rPr>
          <w:spacing w:val="-5"/>
        </w:rPr>
        <w:t>二、机构设置情况</w:t>
      </w:r>
    </w:p>
    <w:p w14:paraId="30A8D1C7">
      <w:pPr>
        <w:pStyle w:val="2"/>
        <w:spacing w:before="209" w:line="364" w:lineRule="auto"/>
        <w:ind w:left="2628" w:right="3896"/>
      </w:pPr>
      <w:r>
        <w:rPr>
          <w:spacing w:val="-2"/>
        </w:rPr>
        <w:t>三、预算收支及增减变化情况四、机关运行经费安排情况</w:t>
      </w:r>
    </w:p>
    <w:p w14:paraId="345FE277">
      <w:pPr>
        <w:pStyle w:val="2"/>
        <w:spacing w:line="362" w:lineRule="auto"/>
        <w:ind w:left="2628" w:right="1335"/>
      </w:pPr>
      <w:r>
        <w:rPr>
          <w:spacing w:val="-2"/>
        </w:rPr>
        <w:t>五、一般公共预算“三公”经费及增减变化情况六、政府采购预算安排情况</w:t>
      </w:r>
    </w:p>
    <w:p w14:paraId="0F9FDA2E">
      <w:pPr>
        <w:pStyle w:val="2"/>
        <w:ind w:left="2628"/>
      </w:pPr>
      <w:r>
        <w:rPr>
          <w:spacing w:val="-5"/>
        </w:rPr>
        <w:t>七、国有资产占用情况</w:t>
      </w:r>
    </w:p>
    <w:p w14:paraId="04C466B1">
      <w:pPr>
        <w:pStyle w:val="2"/>
        <w:spacing w:before="206" w:line="362" w:lineRule="auto"/>
        <w:ind w:left="2628" w:right="4215"/>
      </w:pPr>
      <w:r>
        <w:rPr>
          <w:spacing w:val="-2"/>
        </w:rPr>
        <w:t>八、重点项目预算绩效情况九、其他情况说明</w:t>
      </w:r>
    </w:p>
    <w:p w14:paraId="73FC3973">
      <w:pPr>
        <w:pStyle w:val="2"/>
        <w:spacing w:before="3"/>
        <w:ind w:left="2628"/>
      </w:pPr>
      <w:r>
        <w:rPr>
          <w:spacing w:val="-5"/>
        </w:rPr>
        <w:t>十、专业名词解释</w:t>
      </w:r>
    </w:p>
    <w:p w14:paraId="687F91EE">
      <w:pPr>
        <w:pStyle w:val="2"/>
        <w:spacing w:before="209" w:line="362" w:lineRule="auto"/>
        <w:ind w:left="2604" w:right="1234" w:hanging="1313"/>
      </w:pPr>
      <w:r>
        <w:t>第二部分</w:t>
      </w:r>
      <w:r>
        <w:rPr>
          <w:spacing w:val="43"/>
          <w:w w:val="150"/>
        </w:rPr>
        <w:t xml:space="preserve"> </w:t>
      </w:r>
      <w:r>
        <w:rPr>
          <w:spacing w:val="-8"/>
        </w:rPr>
        <w:t xml:space="preserve">随州高新区应急管理局 </w:t>
      </w:r>
      <w:r>
        <w:t>2025</w:t>
      </w:r>
      <w:r>
        <w:rPr>
          <w:spacing w:val="-11"/>
        </w:rPr>
        <w:t xml:space="preserve"> 年部门预算公开表</w:t>
      </w:r>
      <w:r>
        <w:rPr>
          <w:spacing w:val="-2"/>
        </w:rPr>
        <w:t>一、部门收支预算总表</w:t>
      </w:r>
    </w:p>
    <w:p w14:paraId="2CBEA23C">
      <w:pPr>
        <w:pStyle w:val="2"/>
        <w:spacing w:before="3" w:line="362" w:lineRule="auto"/>
        <w:ind w:left="2604" w:right="5521"/>
      </w:pPr>
      <w:r>
        <w:rPr>
          <w:spacing w:val="-2"/>
        </w:rPr>
        <w:t>二、部门收入总表</w:t>
      </w:r>
      <w:r>
        <w:rPr>
          <w:spacing w:val="-5"/>
        </w:rPr>
        <w:t>三、部门支出总表</w:t>
      </w:r>
    </w:p>
    <w:p w14:paraId="0D6AD229">
      <w:pPr>
        <w:pStyle w:val="2"/>
        <w:spacing w:line="364" w:lineRule="auto"/>
        <w:ind w:left="2604" w:right="4561"/>
      </w:pPr>
      <w:r>
        <w:rPr>
          <w:spacing w:val="-2"/>
        </w:rPr>
        <w:t>四、财政拨款收支总表 五、一般公共预算支出表</w:t>
      </w:r>
    </w:p>
    <w:p w14:paraId="0D3233E6">
      <w:pPr>
        <w:spacing w:after="0" w:line="364" w:lineRule="auto"/>
        <w:sectPr>
          <w:footerReference r:id="rId5" w:type="default"/>
          <w:footerReference r:id="rId6" w:type="even"/>
          <w:type w:val="continuous"/>
          <w:pgSz w:w="11910" w:h="16840"/>
          <w:pgMar w:top="1920" w:right="340" w:bottom="1380" w:left="880" w:header="0" w:footer="1191" w:gutter="0"/>
          <w:pgNumType w:start="1"/>
          <w:cols w:space="720" w:num="1"/>
        </w:sectPr>
      </w:pPr>
    </w:p>
    <w:p w14:paraId="46008CCC">
      <w:pPr>
        <w:pStyle w:val="2"/>
        <w:spacing w:before="31"/>
        <w:ind w:left="2604"/>
      </w:pPr>
      <w:r>
        <w:rPr>
          <w:spacing w:val="-5"/>
        </w:rPr>
        <w:t>六、一般公共预算基本支出表</w:t>
      </w:r>
    </w:p>
    <w:p w14:paraId="409FC23B">
      <w:pPr>
        <w:pStyle w:val="2"/>
        <w:spacing w:before="209" w:line="362" w:lineRule="auto"/>
        <w:ind w:left="2604" w:right="2641"/>
      </w:pPr>
      <w:r>
        <w:rPr>
          <w:spacing w:val="-2"/>
        </w:rPr>
        <w:t>七、一般公共预算“三公”经费支出表八、政府性基金预算支出表</w:t>
      </w:r>
    </w:p>
    <w:p w14:paraId="0900DDF3">
      <w:pPr>
        <w:pStyle w:val="2"/>
        <w:spacing w:before="2"/>
        <w:ind w:left="2604"/>
      </w:pPr>
      <w:r>
        <w:rPr>
          <w:spacing w:val="-5"/>
        </w:rPr>
        <w:t>九、项目支出表</w:t>
      </w:r>
    </w:p>
    <w:p w14:paraId="280D4E46">
      <w:pPr>
        <w:pStyle w:val="2"/>
        <w:spacing w:before="210"/>
        <w:ind w:left="2604"/>
      </w:pPr>
      <w:r>
        <w:rPr>
          <w:spacing w:val="-5"/>
        </w:rPr>
        <w:t>十、政府采购预算表</w:t>
      </w:r>
    </w:p>
    <w:p w14:paraId="3DB0D485">
      <w:pPr>
        <w:spacing w:after="0"/>
        <w:sectPr>
          <w:pgSz w:w="11910" w:h="16840"/>
          <w:pgMar w:top="1660" w:right="340" w:bottom="1380" w:left="880" w:header="0" w:footer="1191" w:gutter="0"/>
          <w:cols w:space="720" w:num="1"/>
        </w:sectPr>
      </w:pPr>
    </w:p>
    <w:p w14:paraId="73FC1034">
      <w:pPr>
        <w:pStyle w:val="2"/>
        <w:spacing w:before="37"/>
        <w:ind w:right="540"/>
        <w:jc w:val="center"/>
      </w:pPr>
      <w:r>
        <w:rPr>
          <w:spacing w:val="-5"/>
        </w:rPr>
        <w:t>第一部分 随州高新区应急管理局预算公开情况说明</w:t>
      </w:r>
    </w:p>
    <w:p w14:paraId="696B5473">
      <w:pPr>
        <w:pStyle w:val="2"/>
      </w:pPr>
    </w:p>
    <w:p w14:paraId="0FC3BBC6">
      <w:pPr>
        <w:pStyle w:val="2"/>
        <w:spacing w:before="8"/>
        <w:rPr>
          <w:sz w:val="26"/>
        </w:rPr>
      </w:pPr>
    </w:p>
    <w:p w14:paraId="70CC7CBD">
      <w:pPr>
        <w:pStyle w:val="2"/>
        <w:spacing w:before="1"/>
        <w:ind w:left="1292"/>
      </w:pPr>
      <w:r>
        <w:rPr>
          <w:spacing w:val="-4"/>
        </w:rPr>
        <w:t>一、部门（单位）</w:t>
      </w:r>
      <w:r>
        <w:rPr>
          <w:spacing w:val="-6"/>
        </w:rPr>
        <w:t>主要职责</w:t>
      </w:r>
    </w:p>
    <w:p w14:paraId="6FAC3D49">
      <w:pPr>
        <w:pStyle w:val="2"/>
        <w:spacing w:before="168" w:line="338" w:lineRule="auto"/>
        <w:ind w:left="651" w:right="1189" w:firstLine="640"/>
        <w:jc w:val="both"/>
      </w:pPr>
      <w:r>
        <w:rPr>
          <w:rFonts w:ascii="Times New Roman" w:eastAsia="Times New Roman"/>
          <w:spacing w:val="-2"/>
        </w:rPr>
        <w:t>1</w:t>
      </w:r>
      <w:r>
        <w:rPr>
          <w:spacing w:val="-2"/>
        </w:rPr>
        <w:t>、高新区应急管理局主要职责是负责全区应急管理工作，</w:t>
      </w:r>
      <w:r>
        <w:rPr>
          <w:spacing w:val="-13"/>
        </w:rPr>
        <w:t>指导各地、各部门应对安全生产类、自然灾害类等突发事件和综合防灾减灾救灾工作。负责全区安全生产综合监督管理和危化行</w:t>
      </w:r>
      <w:r>
        <w:rPr>
          <w:spacing w:val="-2"/>
        </w:rPr>
        <w:t>业安全生产监督管理工作；</w:t>
      </w:r>
    </w:p>
    <w:p w14:paraId="3F0A6EF2">
      <w:pPr>
        <w:pStyle w:val="2"/>
        <w:spacing w:before="8" w:line="340" w:lineRule="auto"/>
        <w:ind w:left="651" w:right="1189" w:firstLine="640"/>
      </w:pPr>
      <w:r>
        <w:rPr>
          <w:rFonts w:ascii="Times New Roman" w:eastAsia="Times New Roman"/>
          <w:spacing w:val="-2"/>
        </w:rPr>
        <w:t>2</w:t>
      </w:r>
      <w:r>
        <w:rPr>
          <w:spacing w:val="-2"/>
        </w:rPr>
        <w:t>、承担区自然灾害和事故灾难应急、安全生产、减灾救灾等议事协调和指挥机构的日常工作；</w:t>
      </w:r>
    </w:p>
    <w:p w14:paraId="4B55CE58">
      <w:pPr>
        <w:pStyle w:val="2"/>
        <w:spacing w:line="340" w:lineRule="auto"/>
        <w:ind w:left="651" w:right="1189" w:firstLine="640"/>
      </w:pPr>
      <w:r>
        <w:rPr>
          <w:rFonts w:ascii="Times New Roman" w:eastAsia="Times New Roman"/>
          <w:spacing w:val="-2"/>
        </w:rPr>
        <w:t>3</w:t>
      </w:r>
      <w:r>
        <w:rPr>
          <w:spacing w:val="-2"/>
        </w:rPr>
        <w:t>、组织指导协调全区安全生产类、自然灾害类等突发事件应急救援。协助上级组织特别重大灾害应急处置工作。</w:t>
      </w:r>
    </w:p>
    <w:p w14:paraId="0D66D420">
      <w:pPr>
        <w:pStyle w:val="2"/>
        <w:spacing w:line="407" w:lineRule="exact"/>
        <w:ind w:left="1292"/>
      </w:pPr>
      <w:r>
        <w:rPr>
          <w:spacing w:val="-5"/>
        </w:rPr>
        <w:t>二、机构设置情况</w:t>
      </w:r>
    </w:p>
    <w:p w14:paraId="3DE46F04">
      <w:pPr>
        <w:pStyle w:val="2"/>
        <w:spacing w:before="164"/>
        <w:ind w:left="1292"/>
      </w:pPr>
      <w:r>
        <w:rPr>
          <w:spacing w:val="-17"/>
        </w:rPr>
        <w:t xml:space="preserve">行政编制 </w:t>
      </w:r>
      <w:r>
        <w:rPr>
          <w:rFonts w:ascii="Times New Roman" w:hAnsi="Times New Roman" w:eastAsia="Times New Roman"/>
        </w:rPr>
        <w:t>2</w:t>
      </w:r>
      <w:r>
        <w:rPr>
          <w:rFonts w:ascii="Times New Roman" w:hAnsi="Times New Roman" w:eastAsia="Times New Roman"/>
          <w:spacing w:val="-20"/>
        </w:rPr>
        <w:t xml:space="preserve"> </w:t>
      </w:r>
      <w:r>
        <w:t>名，“以钱养事”</w:t>
      </w:r>
      <w:r>
        <w:rPr>
          <w:rFonts w:ascii="Times New Roman" w:hAnsi="Times New Roman" w:eastAsia="Times New Roman"/>
        </w:rPr>
        <w:t>1</w:t>
      </w:r>
      <w:r>
        <w:rPr>
          <w:rFonts w:ascii="Times New Roman" w:hAnsi="Times New Roman" w:eastAsia="Times New Roman"/>
          <w:spacing w:val="-19"/>
        </w:rPr>
        <w:t xml:space="preserve"> </w:t>
      </w:r>
      <w:r>
        <w:t>名，</w:t>
      </w:r>
      <w:r>
        <w:rPr>
          <w:rFonts w:ascii="Times New Roman" w:hAnsi="Times New Roman" w:eastAsia="Times New Roman"/>
        </w:rPr>
        <w:t>2</w:t>
      </w:r>
      <w:r>
        <w:rPr>
          <w:rFonts w:ascii="Times New Roman" w:hAnsi="Times New Roman" w:eastAsia="Times New Roman"/>
          <w:spacing w:val="-13"/>
        </w:rPr>
        <w:t xml:space="preserve"> </w:t>
      </w:r>
      <w:r>
        <w:rPr>
          <w:spacing w:val="-2"/>
        </w:rPr>
        <w:t>名劳务派遣。</w:t>
      </w:r>
    </w:p>
    <w:p w14:paraId="7A79C977">
      <w:pPr>
        <w:pStyle w:val="2"/>
        <w:spacing w:before="170"/>
        <w:ind w:left="1292"/>
      </w:pPr>
      <w:r>
        <w:rPr>
          <w:spacing w:val="-5"/>
        </w:rPr>
        <w:t>三、预算收支及增减变化情况</w:t>
      </w:r>
    </w:p>
    <w:p w14:paraId="64DF083D">
      <w:pPr>
        <w:pStyle w:val="2"/>
        <w:spacing w:before="171"/>
        <w:ind w:left="1292"/>
      </w:pPr>
      <w:r>
        <w:rPr>
          <w:spacing w:val="-4"/>
        </w:rPr>
        <w:t>（一）</w:t>
      </w:r>
      <w:r>
        <w:rPr>
          <w:spacing w:val="-5"/>
        </w:rPr>
        <w:t>收入预算情况</w:t>
      </w:r>
    </w:p>
    <w:p w14:paraId="02ED6ABD">
      <w:pPr>
        <w:pStyle w:val="2"/>
        <w:spacing w:before="169"/>
        <w:ind w:left="1292"/>
      </w:pPr>
      <w:r>
        <w:rPr>
          <w:rFonts w:ascii="Times New Roman" w:eastAsia="Times New Roman"/>
          <w:spacing w:val="-2"/>
        </w:rPr>
        <w:t>2025</w:t>
      </w:r>
      <w:r>
        <w:rPr>
          <w:rFonts w:ascii="Times New Roman" w:eastAsia="Times New Roman"/>
          <w:spacing w:val="2"/>
        </w:rPr>
        <w:t xml:space="preserve"> </w:t>
      </w:r>
      <w:r>
        <w:rPr>
          <w:spacing w:val="-15"/>
        </w:rPr>
        <w:t xml:space="preserve">年收入预算 </w:t>
      </w:r>
      <w:r>
        <w:rPr>
          <w:rFonts w:ascii="Times New Roman" w:eastAsia="Times New Roman"/>
          <w:spacing w:val="-2"/>
        </w:rPr>
        <w:t>56.6</w:t>
      </w:r>
      <w:r>
        <w:rPr>
          <w:rFonts w:ascii="Times New Roman" w:eastAsia="Times New Roman"/>
          <w:spacing w:val="3"/>
        </w:rPr>
        <w:t xml:space="preserve"> </w:t>
      </w:r>
      <w:r>
        <w:rPr>
          <w:spacing w:val="-9"/>
        </w:rPr>
        <w:t xml:space="preserve">万元，收入较上年增加 </w:t>
      </w:r>
      <w:r>
        <w:rPr>
          <w:rFonts w:ascii="Times New Roman" w:eastAsia="Times New Roman"/>
          <w:spacing w:val="-2"/>
        </w:rPr>
        <w:t>12%</w:t>
      </w:r>
      <w:r>
        <w:rPr>
          <w:spacing w:val="-4"/>
        </w:rPr>
        <w:t>，其中：</w:t>
      </w:r>
    </w:p>
    <w:p w14:paraId="61F18CA5">
      <w:pPr>
        <w:pStyle w:val="2"/>
        <w:spacing w:before="170"/>
        <w:ind w:left="651"/>
      </w:pPr>
      <w:r>
        <w:rPr>
          <w:spacing w:val="-11"/>
        </w:rPr>
        <w:t xml:space="preserve">一般公共预算财政拨款 </w:t>
      </w:r>
      <w:r>
        <w:rPr>
          <w:rFonts w:ascii="Times New Roman" w:eastAsia="Times New Roman"/>
          <w:spacing w:val="-4"/>
        </w:rPr>
        <w:t>56.6</w:t>
      </w:r>
      <w:r>
        <w:rPr>
          <w:rFonts w:ascii="Times New Roman" w:eastAsia="Times New Roman"/>
          <w:spacing w:val="2"/>
        </w:rPr>
        <w:t xml:space="preserve"> </w:t>
      </w:r>
      <w:r>
        <w:rPr>
          <w:spacing w:val="-10"/>
        </w:rPr>
        <w:t xml:space="preserve">万元，纳入专户的非税收入 </w:t>
      </w:r>
      <w:r>
        <w:rPr>
          <w:rFonts w:ascii="Times New Roman" w:eastAsia="Times New Roman"/>
          <w:spacing w:val="-4"/>
        </w:rPr>
        <w:t>0</w:t>
      </w:r>
      <w:r>
        <w:rPr>
          <w:rFonts w:ascii="Times New Roman" w:eastAsia="Times New Roman"/>
          <w:spacing w:val="2"/>
        </w:rPr>
        <w:t xml:space="preserve"> </w:t>
      </w:r>
      <w:r>
        <w:rPr>
          <w:spacing w:val="-6"/>
        </w:rPr>
        <w:t>万元，</w:t>
      </w:r>
    </w:p>
    <w:p w14:paraId="3F41F121">
      <w:pPr>
        <w:pStyle w:val="2"/>
        <w:spacing w:before="171"/>
        <w:ind w:left="651"/>
      </w:pPr>
      <w:r>
        <w:rPr>
          <w:spacing w:val="-8"/>
        </w:rPr>
        <w:t xml:space="preserve">政府性基金预算财政拨款收入 </w:t>
      </w:r>
      <w:r>
        <w:rPr>
          <w:rFonts w:ascii="Times New Roman" w:eastAsia="Times New Roman"/>
          <w:spacing w:val="-2"/>
        </w:rPr>
        <w:t>0</w:t>
      </w:r>
      <w:r>
        <w:rPr>
          <w:rFonts w:ascii="Times New Roman" w:eastAsia="Times New Roman"/>
          <w:spacing w:val="-15"/>
        </w:rPr>
        <w:t xml:space="preserve"> </w:t>
      </w:r>
      <w:r>
        <w:rPr>
          <w:spacing w:val="-20"/>
        </w:rPr>
        <w:t xml:space="preserve">万元，其他收入 </w:t>
      </w:r>
      <w:r>
        <w:rPr>
          <w:rFonts w:ascii="Times New Roman" w:eastAsia="Times New Roman"/>
          <w:spacing w:val="-2"/>
        </w:rPr>
        <w:t>0</w:t>
      </w:r>
      <w:r>
        <w:rPr>
          <w:rFonts w:ascii="Times New Roman" w:eastAsia="Times New Roman"/>
          <w:spacing w:val="-5"/>
        </w:rPr>
        <w:t xml:space="preserve"> </w:t>
      </w:r>
      <w:r>
        <w:rPr>
          <w:spacing w:val="-14"/>
        </w:rPr>
        <w:t>万元，增加原</w:t>
      </w:r>
    </w:p>
    <w:p w14:paraId="516B0625">
      <w:pPr>
        <w:pStyle w:val="2"/>
        <w:spacing w:before="169"/>
        <w:ind w:left="651"/>
      </w:pPr>
      <w:r>
        <w:rPr>
          <w:spacing w:val="-9"/>
        </w:rPr>
        <w:t xml:space="preserve">因是专家查隐患经费增加 </w:t>
      </w:r>
      <w:r>
        <w:rPr>
          <w:rFonts w:ascii="Times New Roman" w:eastAsia="Times New Roman"/>
          <w:spacing w:val="-2"/>
        </w:rPr>
        <w:t>6</w:t>
      </w:r>
      <w:r>
        <w:rPr>
          <w:rFonts w:ascii="Times New Roman" w:eastAsia="Times New Roman"/>
          <w:spacing w:val="-5"/>
        </w:rPr>
        <w:t xml:space="preserve"> </w:t>
      </w:r>
      <w:r>
        <w:rPr>
          <w:spacing w:val="-10"/>
        </w:rPr>
        <w:t>万</w:t>
      </w:r>
    </w:p>
    <w:p w14:paraId="47A9843D">
      <w:pPr>
        <w:pStyle w:val="2"/>
        <w:spacing w:before="170"/>
        <w:ind w:left="1292"/>
      </w:pPr>
      <w:r>
        <w:rPr>
          <w:spacing w:val="-4"/>
        </w:rPr>
        <w:t>（二）</w:t>
      </w:r>
      <w:r>
        <w:rPr>
          <w:spacing w:val="-5"/>
        </w:rPr>
        <w:t>支出预算情况</w:t>
      </w:r>
    </w:p>
    <w:p w14:paraId="3F3E25B9">
      <w:pPr>
        <w:pStyle w:val="2"/>
        <w:spacing w:before="171" w:line="338" w:lineRule="auto"/>
        <w:ind w:left="651" w:right="1030" w:firstLine="640"/>
      </w:pPr>
      <w:r>
        <w:rPr>
          <w:rFonts w:ascii="Times New Roman" w:eastAsia="Times New Roman"/>
        </w:rPr>
        <w:t>2025</w:t>
      </w:r>
      <w:r>
        <w:rPr>
          <w:rFonts w:ascii="Times New Roman" w:eastAsia="Times New Roman"/>
          <w:spacing w:val="-20"/>
        </w:rPr>
        <w:t xml:space="preserve"> </w:t>
      </w:r>
      <w:r>
        <w:rPr>
          <w:spacing w:val="-12"/>
        </w:rPr>
        <w:t xml:space="preserve">年支出预算数 </w:t>
      </w:r>
      <w:r>
        <w:rPr>
          <w:rFonts w:ascii="Times New Roman" w:eastAsia="Times New Roman"/>
        </w:rPr>
        <w:t>56.60</w:t>
      </w:r>
      <w:r>
        <w:rPr>
          <w:rFonts w:ascii="Times New Roman" w:eastAsia="Times New Roman"/>
          <w:spacing w:val="-18"/>
        </w:rPr>
        <w:t xml:space="preserve"> </w:t>
      </w:r>
      <w:r>
        <w:rPr>
          <w:spacing w:val="-24"/>
        </w:rPr>
        <w:t xml:space="preserve">万元，支出较上年增加 </w:t>
      </w:r>
      <w:r>
        <w:rPr>
          <w:rFonts w:ascii="Times New Roman" w:eastAsia="Times New Roman"/>
        </w:rPr>
        <w:t>12%</w:t>
      </w:r>
      <w:r>
        <w:rPr>
          <w:spacing w:val="-38"/>
        </w:rPr>
        <w:t>。包括：</w:t>
      </w:r>
      <w:r>
        <w:rPr>
          <w:spacing w:val="-1"/>
        </w:rPr>
        <w:t xml:space="preserve">基本支出为 </w:t>
      </w:r>
      <w:r>
        <w:rPr>
          <w:rFonts w:ascii="Times New Roman" w:eastAsia="Times New Roman"/>
        </w:rPr>
        <w:t>0</w:t>
      </w:r>
      <w:r>
        <w:rPr>
          <w:spacing w:val="-1"/>
        </w:rPr>
        <w:t xml:space="preserve">；项目支出为万元，其中：专家隐患 </w:t>
      </w:r>
      <w:r>
        <w:rPr>
          <w:rFonts w:ascii="Times New Roman" w:eastAsia="Times New Roman"/>
        </w:rPr>
        <w:t xml:space="preserve">16 </w:t>
      </w:r>
      <w:r>
        <w:t>万元；安</w:t>
      </w:r>
      <w:r>
        <w:rPr>
          <w:spacing w:val="-10"/>
        </w:rPr>
        <w:t xml:space="preserve">全生产培训 </w:t>
      </w:r>
      <w:r>
        <w:rPr>
          <w:rFonts w:ascii="Times New Roman" w:eastAsia="Times New Roman"/>
        </w:rPr>
        <w:t xml:space="preserve">6 </w:t>
      </w:r>
      <w:r>
        <w:rPr>
          <w:spacing w:val="-5"/>
        </w:rPr>
        <w:t xml:space="preserve">万元；应急指挥中心建设费用 </w:t>
      </w:r>
      <w:r>
        <w:rPr>
          <w:rFonts w:ascii="Times New Roman" w:eastAsia="Times New Roman"/>
        </w:rPr>
        <w:t xml:space="preserve">9.6 </w:t>
      </w:r>
      <w:r>
        <w:t>万元，防汛抗旱</w:t>
      </w:r>
    </w:p>
    <w:p w14:paraId="7EBDE25D">
      <w:pPr>
        <w:spacing w:after="0" w:line="338" w:lineRule="auto"/>
        <w:sectPr>
          <w:pgSz w:w="11910" w:h="16840"/>
          <w:pgMar w:top="1620" w:right="340" w:bottom="1380" w:left="880" w:header="0" w:footer="1191" w:gutter="0"/>
          <w:cols w:space="720" w:num="1"/>
        </w:sectPr>
      </w:pPr>
    </w:p>
    <w:p w14:paraId="53ED90CA">
      <w:pPr>
        <w:pStyle w:val="2"/>
        <w:spacing w:before="37"/>
        <w:ind w:left="651"/>
      </w:pPr>
      <w:r>
        <w:rPr>
          <w:rFonts w:ascii="Times New Roman" w:eastAsia="Times New Roman"/>
          <w:spacing w:val="-4"/>
        </w:rPr>
        <w:t>10</w:t>
      </w:r>
      <w:r>
        <w:rPr>
          <w:rFonts w:ascii="Times New Roman" w:eastAsia="Times New Roman"/>
          <w:spacing w:val="3"/>
        </w:rPr>
        <w:t xml:space="preserve"> </w:t>
      </w:r>
      <w:r>
        <w:rPr>
          <w:spacing w:val="-9"/>
        </w:rPr>
        <w:t xml:space="preserve">万元，应急管理和安全生产工作经费 </w:t>
      </w:r>
      <w:r>
        <w:rPr>
          <w:rFonts w:ascii="Times New Roman" w:eastAsia="Times New Roman"/>
          <w:spacing w:val="-4"/>
        </w:rPr>
        <w:t>15</w:t>
      </w:r>
      <w:r>
        <w:rPr>
          <w:rFonts w:ascii="Times New Roman" w:eastAsia="Times New Roman"/>
          <w:spacing w:val="1"/>
        </w:rPr>
        <w:t xml:space="preserve"> </w:t>
      </w:r>
      <w:r>
        <w:rPr>
          <w:spacing w:val="-5"/>
        </w:rPr>
        <w:t>万元，增加原因是专</w:t>
      </w:r>
    </w:p>
    <w:p w14:paraId="50FF1C22">
      <w:pPr>
        <w:pStyle w:val="2"/>
        <w:spacing w:before="171"/>
        <w:ind w:left="651"/>
      </w:pPr>
      <w:r>
        <w:rPr>
          <w:spacing w:val="-11"/>
        </w:rPr>
        <w:t xml:space="preserve">家查隐患经费增加 </w:t>
      </w:r>
      <w:r>
        <w:rPr>
          <w:rFonts w:ascii="Times New Roman" w:eastAsia="Times New Roman"/>
          <w:spacing w:val="-2"/>
        </w:rPr>
        <w:t>6</w:t>
      </w:r>
      <w:r>
        <w:rPr>
          <w:rFonts w:ascii="Times New Roman" w:eastAsia="Times New Roman"/>
          <w:spacing w:val="-7"/>
        </w:rPr>
        <w:t xml:space="preserve"> </w:t>
      </w:r>
      <w:r>
        <w:rPr>
          <w:spacing w:val="-6"/>
        </w:rPr>
        <w:t>万。</w:t>
      </w:r>
    </w:p>
    <w:p w14:paraId="46E47EB4">
      <w:pPr>
        <w:pStyle w:val="2"/>
        <w:spacing w:before="171"/>
        <w:ind w:left="1292"/>
      </w:pPr>
      <w:r>
        <w:rPr>
          <w:spacing w:val="-4"/>
        </w:rPr>
        <w:t>（三）</w:t>
      </w:r>
      <w:r>
        <w:rPr>
          <w:spacing w:val="-5"/>
        </w:rPr>
        <w:t>财政拨款支出情况</w:t>
      </w:r>
    </w:p>
    <w:p w14:paraId="35A3A275">
      <w:pPr>
        <w:pStyle w:val="2"/>
        <w:spacing w:before="168"/>
        <w:ind w:left="1292"/>
      </w:pPr>
      <w:r>
        <w:rPr>
          <w:rFonts w:ascii="Times New Roman" w:eastAsia="Times New Roman"/>
        </w:rPr>
        <w:t>2025</w:t>
      </w:r>
      <w:r>
        <w:rPr>
          <w:rFonts w:ascii="Times New Roman" w:eastAsia="Times New Roman"/>
          <w:spacing w:val="5"/>
        </w:rPr>
        <w:t xml:space="preserve"> </w:t>
      </w:r>
      <w:r>
        <w:rPr>
          <w:spacing w:val="-11"/>
        </w:rPr>
        <w:t xml:space="preserve">年支出预算数 </w:t>
      </w:r>
      <w:r>
        <w:rPr>
          <w:rFonts w:ascii="Times New Roman" w:eastAsia="Times New Roman"/>
        </w:rPr>
        <w:t>56.60</w:t>
      </w:r>
      <w:r>
        <w:rPr>
          <w:rFonts w:ascii="Times New Roman" w:eastAsia="Times New Roman"/>
          <w:spacing w:val="5"/>
        </w:rPr>
        <w:t xml:space="preserve"> </w:t>
      </w:r>
      <w:r>
        <w:rPr>
          <w:spacing w:val="1"/>
        </w:rPr>
        <w:t xml:space="preserve">万元，支出较上年增加 </w:t>
      </w:r>
      <w:r>
        <w:rPr>
          <w:rFonts w:ascii="Times New Roman" w:eastAsia="Times New Roman"/>
        </w:rPr>
        <w:t>12%</w:t>
      </w:r>
      <w:r>
        <w:rPr>
          <w:spacing w:val="-5"/>
        </w:rPr>
        <w:t>，增</w:t>
      </w:r>
    </w:p>
    <w:p w14:paraId="21D6E8C2">
      <w:pPr>
        <w:pStyle w:val="2"/>
        <w:spacing w:before="171"/>
        <w:ind w:left="651"/>
      </w:pPr>
      <w:r>
        <w:rPr>
          <w:spacing w:val="-8"/>
        </w:rPr>
        <w:t xml:space="preserve">加原因是专家查隐患经费增加 </w:t>
      </w:r>
      <w:r>
        <w:rPr>
          <w:rFonts w:ascii="Times New Roman" w:eastAsia="Times New Roman"/>
          <w:spacing w:val="-2"/>
        </w:rPr>
        <w:t>6</w:t>
      </w:r>
      <w:r>
        <w:rPr>
          <w:rFonts w:ascii="Times New Roman" w:eastAsia="Times New Roman"/>
          <w:spacing w:val="-9"/>
        </w:rPr>
        <w:t xml:space="preserve"> </w:t>
      </w:r>
      <w:r>
        <w:rPr>
          <w:spacing w:val="-6"/>
        </w:rPr>
        <w:t>万。</w:t>
      </w:r>
    </w:p>
    <w:p w14:paraId="0254A407">
      <w:pPr>
        <w:pStyle w:val="2"/>
        <w:spacing w:before="171"/>
        <w:ind w:left="1292"/>
      </w:pPr>
      <w:r>
        <w:rPr>
          <w:spacing w:val="-4"/>
        </w:rPr>
        <w:t>（四）</w:t>
      </w:r>
      <w:r>
        <w:rPr>
          <w:spacing w:val="-5"/>
        </w:rPr>
        <w:t>政府性基金情况</w:t>
      </w:r>
    </w:p>
    <w:p w14:paraId="6F57F57D">
      <w:pPr>
        <w:pStyle w:val="2"/>
        <w:spacing w:before="128"/>
        <w:ind w:left="1292"/>
        <w:rPr>
          <w:sz w:val="36"/>
        </w:rPr>
      </w:pPr>
      <w:r>
        <w:rPr>
          <w:rFonts w:ascii="Times New Roman" w:eastAsia="Times New Roman"/>
          <w:spacing w:val="-2"/>
        </w:rPr>
        <w:t>2025</w:t>
      </w:r>
      <w:r>
        <w:rPr>
          <w:rFonts w:ascii="Times New Roman" w:eastAsia="Times New Roman"/>
          <w:spacing w:val="-11"/>
        </w:rPr>
        <w:t xml:space="preserve"> </w:t>
      </w:r>
      <w:r>
        <w:rPr>
          <w:spacing w:val="-2"/>
        </w:rPr>
        <w:t>年本部门无政府性基金收支预算。与上年持平</w:t>
      </w:r>
      <w:r>
        <w:rPr>
          <w:spacing w:val="-10"/>
          <w:sz w:val="36"/>
        </w:rPr>
        <w:t>。</w:t>
      </w:r>
    </w:p>
    <w:p w14:paraId="47781435">
      <w:pPr>
        <w:pStyle w:val="2"/>
        <w:spacing w:before="160"/>
        <w:ind w:left="1292"/>
      </w:pPr>
      <w:r>
        <w:rPr>
          <w:spacing w:val="-4"/>
        </w:rPr>
        <w:t>（🖂）</w:t>
      </w:r>
      <w:r>
        <w:rPr>
          <w:spacing w:val="-5"/>
        </w:rPr>
        <w:t>国有资本经营预算情况</w:t>
      </w:r>
    </w:p>
    <w:p w14:paraId="42649FD8">
      <w:pPr>
        <w:pStyle w:val="2"/>
        <w:spacing w:before="170"/>
        <w:ind w:left="1292"/>
      </w:pPr>
      <w:r>
        <w:rPr>
          <w:rFonts w:ascii="Times New Roman" w:eastAsia="Times New Roman"/>
          <w:spacing w:val="-2"/>
        </w:rPr>
        <w:t>2025</w:t>
      </w:r>
      <w:r>
        <w:rPr>
          <w:rFonts w:ascii="Times New Roman" w:eastAsia="Times New Roman"/>
          <w:spacing w:val="-10"/>
        </w:rPr>
        <w:t xml:space="preserve"> </w:t>
      </w:r>
      <w:r>
        <w:rPr>
          <w:spacing w:val="-3"/>
        </w:rPr>
        <w:t>年本部门无国有资本经营收支预算，与上年持平。</w:t>
      </w:r>
    </w:p>
    <w:p w14:paraId="02329198">
      <w:pPr>
        <w:pStyle w:val="2"/>
        <w:spacing w:before="169"/>
        <w:ind w:left="1292"/>
      </w:pPr>
      <w:r>
        <w:rPr>
          <w:spacing w:val="-5"/>
        </w:rPr>
        <w:t>四、机关运行经费安排情况</w:t>
      </w:r>
    </w:p>
    <w:p w14:paraId="7A1915B5">
      <w:pPr>
        <w:pStyle w:val="2"/>
        <w:spacing w:before="171" w:line="340" w:lineRule="auto"/>
        <w:ind w:left="651" w:right="1189" w:firstLine="640"/>
      </w:pPr>
      <w:r>
        <w:rPr>
          <w:rFonts w:ascii="Times New Roman" w:eastAsia="Times New Roman"/>
        </w:rPr>
        <w:t xml:space="preserve">2025 </w:t>
      </w:r>
      <w:r>
        <w:rPr>
          <w:spacing w:val="-4"/>
        </w:rPr>
        <w:t xml:space="preserve">年本年机关运行公共预算的公用经费 </w:t>
      </w:r>
      <w:r>
        <w:rPr>
          <w:rFonts w:ascii="Times New Roman" w:eastAsia="Times New Roman"/>
        </w:rPr>
        <w:t xml:space="preserve">0 </w:t>
      </w:r>
      <w:r>
        <w:t>万元，与上年</w:t>
      </w:r>
      <w:r>
        <w:rPr>
          <w:spacing w:val="-4"/>
        </w:rPr>
        <w:t>持平。</w:t>
      </w:r>
    </w:p>
    <w:p w14:paraId="7F20F59C">
      <w:pPr>
        <w:pStyle w:val="2"/>
        <w:spacing w:line="405" w:lineRule="exact"/>
        <w:ind w:left="1292"/>
      </w:pPr>
      <w:r>
        <w:rPr>
          <w:spacing w:val="-4"/>
        </w:rPr>
        <w:t>五、一般公共预算</w:t>
      </w:r>
      <w:r>
        <w:rPr>
          <w:rFonts w:ascii="Times New Roman" w:hAnsi="Times New Roman" w:eastAsia="Times New Roman"/>
          <w:spacing w:val="-4"/>
        </w:rPr>
        <w:t>“</w:t>
      </w:r>
      <w:r>
        <w:rPr>
          <w:spacing w:val="-4"/>
        </w:rPr>
        <w:t>三公</w:t>
      </w:r>
      <w:r>
        <w:rPr>
          <w:rFonts w:ascii="Times New Roman" w:hAnsi="Times New Roman" w:eastAsia="Times New Roman"/>
          <w:spacing w:val="-4"/>
        </w:rPr>
        <w:t>”</w:t>
      </w:r>
      <w:r>
        <w:rPr>
          <w:spacing w:val="-5"/>
        </w:rPr>
        <w:t>经费及增减变化情况</w:t>
      </w:r>
    </w:p>
    <w:p w14:paraId="61B3D5C5">
      <w:pPr>
        <w:pStyle w:val="2"/>
        <w:spacing w:before="170"/>
        <w:ind w:left="1292"/>
      </w:pPr>
      <w:r>
        <w:rPr>
          <w:rFonts w:ascii="Times New Roman" w:hAnsi="Times New Roman" w:eastAsia="Times New Roman"/>
          <w:spacing w:val="-2"/>
        </w:rPr>
        <w:t>2025</w:t>
      </w:r>
      <w:r>
        <w:rPr>
          <w:rFonts w:ascii="Times New Roman" w:hAnsi="Times New Roman" w:eastAsia="Times New Roman"/>
          <w:spacing w:val="-11"/>
        </w:rPr>
        <w:t xml:space="preserve"> </w:t>
      </w:r>
      <w:r>
        <w:rPr>
          <w:spacing w:val="-3"/>
        </w:rPr>
        <w:t>年本部门无三公”经费预算情况，与上年持平。</w:t>
      </w:r>
    </w:p>
    <w:p w14:paraId="60BC535C">
      <w:pPr>
        <w:pStyle w:val="2"/>
        <w:spacing w:before="171"/>
        <w:ind w:left="1292"/>
      </w:pPr>
      <w:r>
        <w:rPr>
          <w:spacing w:val="-5"/>
        </w:rPr>
        <w:t>六、政府采购预算安排情况</w:t>
      </w:r>
    </w:p>
    <w:p w14:paraId="5304CE17">
      <w:pPr>
        <w:pStyle w:val="2"/>
        <w:spacing w:before="169"/>
        <w:ind w:left="1292"/>
      </w:pPr>
      <w:r>
        <w:rPr>
          <w:rFonts w:ascii="Times New Roman" w:eastAsia="Times New Roman"/>
          <w:spacing w:val="-2"/>
        </w:rPr>
        <w:t>2025</w:t>
      </w:r>
      <w:r>
        <w:rPr>
          <w:rFonts w:ascii="Times New Roman" w:eastAsia="Times New Roman"/>
          <w:spacing w:val="-7"/>
        </w:rPr>
        <w:t xml:space="preserve"> </w:t>
      </w:r>
      <w:r>
        <w:rPr>
          <w:spacing w:val="-3"/>
        </w:rPr>
        <w:t>年本部门无政府采购情况，与上年持平。</w:t>
      </w:r>
    </w:p>
    <w:p w14:paraId="02288215">
      <w:pPr>
        <w:pStyle w:val="2"/>
        <w:spacing w:before="170"/>
        <w:ind w:left="1292"/>
      </w:pPr>
      <w:r>
        <w:rPr>
          <w:spacing w:val="-5"/>
        </w:rPr>
        <w:t>七、国有资产占用情况</w:t>
      </w:r>
    </w:p>
    <w:p w14:paraId="27C27BA2">
      <w:pPr>
        <w:pStyle w:val="2"/>
        <w:spacing w:before="171"/>
        <w:ind w:left="1292"/>
      </w:pPr>
      <w:r>
        <w:rPr>
          <w:rFonts w:ascii="Times New Roman" w:eastAsia="Times New Roman"/>
          <w:spacing w:val="-2"/>
        </w:rPr>
        <w:t>2025</w:t>
      </w:r>
      <w:r>
        <w:rPr>
          <w:rFonts w:ascii="Times New Roman" w:eastAsia="Times New Roman"/>
          <w:spacing w:val="-10"/>
        </w:rPr>
        <w:t xml:space="preserve"> </w:t>
      </w:r>
      <w:r>
        <w:rPr>
          <w:spacing w:val="-3"/>
        </w:rPr>
        <w:t>年本部门无国有资产占用情况，与上年持平。</w:t>
      </w:r>
    </w:p>
    <w:p w14:paraId="3CA78EA7">
      <w:pPr>
        <w:pStyle w:val="2"/>
        <w:spacing w:before="169"/>
        <w:ind w:left="1292"/>
      </w:pPr>
      <w:r>
        <w:rPr>
          <w:spacing w:val="-5"/>
        </w:rPr>
        <w:t>八、重点项目预算绩效情况</w:t>
      </w:r>
    </w:p>
    <w:p w14:paraId="1456D97A">
      <w:pPr>
        <w:pStyle w:val="2"/>
        <w:spacing w:before="170"/>
        <w:ind w:left="1292"/>
      </w:pPr>
      <w:r>
        <w:rPr>
          <w:spacing w:val="-4"/>
        </w:rPr>
        <w:t>（一）</w:t>
      </w:r>
      <w:r>
        <w:rPr>
          <w:spacing w:val="-5"/>
        </w:rPr>
        <w:t>部门整体绩效目标编制情况</w:t>
      </w:r>
    </w:p>
    <w:p w14:paraId="06866552">
      <w:pPr>
        <w:pStyle w:val="2"/>
        <w:spacing w:before="171" w:line="338" w:lineRule="auto"/>
        <w:ind w:left="651" w:right="1191" w:firstLine="640"/>
        <w:jc w:val="both"/>
      </w:pPr>
      <w:r>
        <w:rPr>
          <w:spacing w:val="-2"/>
        </w:rPr>
        <w:t>整体目标：</w:t>
      </w:r>
      <w:r>
        <w:rPr>
          <w:rFonts w:ascii="Times New Roman" w:eastAsia="Times New Roman"/>
          <w:spacing w:val="-2"/>
        </w:rPr>
        <w:t>1</w:t>
      </w:r>
      <w:r>
        <w:rPr>
          <w:spacing w:val="-2"/>
        </w:rPr>
        <w:t>、全面排查区安全风险点、危险源，并对安全风险进行辨识评估；</w:t>
      </w:r>
      <w:r>
        <w:rPr>
          <w:rFonts w:ascii="Times New Roman" w:eastAsia="Times New Roman"/>
          <w:spacing w:val="-2"/>
        </w:rPr>
        <w:t>2</w:t>
      </w:r>
      <w:r>
        <w:rPr>
          <w:spacing w:val="-2"/>
        </w:rPr>
        <w:t>、检查危化、工贸企业，确保安全生产隐患问题得到及时发现和督促整改；</w:t>
      </w:r>
      <w:r>
        <w:rPr>
          <w:rFonts w:ascii="Times New Roman" w:eastAsia="Times New Roman"/>
          <w:spacing w:val="-2"/>
        </w:rPr>
        <w:t>3</w:t>
      </w:r>
      <w:r>
        <w:rPr>
          <w:spacing w:val="-3"/>
        </w:rPr>
        <w:t>、深入开展安全生产大排查</w:t>
      </w:r>
    </w:p>
    <w:p w14:paraId="6C80EE61">
      <w:pPr>
        <w:spacing w:after="0" w:line="338" w:lineRule="auto"/>
        <w:jc w:val="both"/>
        <w:sectPr>
          <w:pgSz w:w="11910" w:h="16840"/>
          <w:pgMar w:top="1620" w:right="340" w:bottom="1380" w:left="880" w:header="0" w:footer="1191" w:gutter="0"/>
          <w:cols w:space="720" w:num="1"/>
        </w:sectPr>
      </w:pPr>
    </w:p>
    <w:p w14:paraId="46AFD7A1">
      <w:pPr>
        <w:pStyle w:val="2"/>
        <w:spacing w:before="37" w:line="338" w:lineRule="auto"/>
        <w:ind w:left="651" w:right="1189"/>
        <w:jc w:val="both"/>
      </w:pPr>
      <w:r>
        <w:rPr>
          <w:spacing w:val="-2"/>
        </w:rPr>
        <w:t>大整治和专项整治三年行动，加强安全生产检查；</w:t>
      </w:r>
      <w:r>
        <w:rPr>
          <w:rFonts w:ascii="Times New Roman" w:hAnsi="Times New Roman" w:eastAsia="Times New Roman"/>
          <w:spacing w:val="-2"/>
        </w:rPr>
        <w:t>4</w:t>
      </w:r>
      <w:r>
        <w:rPr>
          <w:spacing w:val="-2"/>
        </w:rPr>
        <w:t xml:space="preserve">、扎实开展 </w:t>
      </w:r>
      <w:r>
        <w:rPr>
          <w:spacing w:val="-6"/>
        </w:rPr>
        <w:t>“安全生产月”活动，服务项目建设，指导新、改、扩建项目完</w:t>
      </w:r>
      <w:r>
        <w:rPr>
          <w:spacing w:val="-2"/>
        </w:rPr>
        <w:t>成安全设施“三同时”审批手续；</w:t>
      </w:r>
      <w:r>
        <w:rPr>
          <w:rFonts w:ascii="Times New Roman" w:hAnsi="Times New Roman" w:eastAsia="Times New Roman"/>
          <w:spacing w:val="-2"/>
        </w:rPr>
        <w:t>5</w:t>
      </w:r>
      <w:r>
        <w:rPr>
          <w:spacing w:val="-2"/>
        </w:rPr>
        <w:t>、组织开展应急救援，督促企业编制事故应急预案并开展应急；</w:t>
      </w:r>
      <w:r>
        <w:rPr>
          <w:rFonts w:ascii="Times New Roman" w:hAnsi="Times New Roman" w:eastAsia="Times New Roman"/>
          <w:spacing w:val="-2"/>
        </w:rPr>
        <w:t>6</w:t>
      </w:r>
      <w:r>
        <w:rPr>
          <w:spacing w:val="-2"/>
        </w:rPr>
        <w:t>、全力做好</w:t>
      </w:r>
      <w:r>
        <w:rPr>
          <w:spacing w:val="-11"/>
        </w:rPr>
        <w:t>防汛抗旱和森林防灭火工作，确保生产安全事故四项指标同比上</w:t>
      </w:r>
      <w:r>
        <w:rPr>
          <w:spacing w:val="-2"/>
        </w:rPr>
        <w:t>年下降；</w:t>
      </w:r>
      <w:r>
        <w:rPr>
          <w:rFonts w:ascii="Times New Roman" w:hAnsi="Times New Roman" w:eastAsia="Times New Roman"/>
          <w:spacing w:val="-2"/>
        </w:rPr>
        <w:t>7</w:t>
      </w:r>
      <w:r>
        <w:rPr>
          <w:spacing w:val="-2"/>
        </w:rPr>
        <w:t>、负责安全生产综合监督管理工作，保障安全生产举报奖励工作；</w:t>
      </w:r>
      <w:r>
        <w:rPr>
          <w:rFonts w:ascii="Times New Roman" w:hAnsi="Times New Roman" w:eastAsia="Times New Roman"/>
          <w:spacing w:val="-2"/>
        </w:rPr>
        <w:t>8</w:t>
      </w:r>
      <w:r>
        <w:rPr>
          <w:spacing w:val="-2"/>
        </w:rPr>
        <w:t>、负责应急管理、安全生产宣传教育和培训工作。</w:t>
      </w:r>
    </w:p>
    <w:p w14:paraId="123EE58B">
      <w:pPr>
        <w:pStyle w:val="2"/>
        <w:spacing w:before="17" w:line="338" w:lineRule="auto"/>
        <w:ind w:left="651" w:right="1073" w:firstLine="640"/>
      </w:pPr>
      <w:r>
        <w:rPr>
          <w:spacing w:val="-6"/>
        </w:rPr>
        <w:t xml:space="preserve">产出指标：项目支出经费 </w:t>
      </w:r>
      <w:r>
        <w:rPr>
          <w:rFonts w:ascii="Times New Roman" w:hAnsi="Times New Roman" w:eastAsia="Times New Roman"/>
        </w:rPr>
        <w:t xml:space="preserve">56.60 </w:t>
      </w:r>
      <w:r>
        <w:rPr>
          <w:spacing w:val="-7"/>
        </w:rPr>
        <w:t xml:space="preserve">万元；产出进度指标 </w:t>
      </w:r>
      <w:r>
        <w:rPr>
          <w:rFonts w:ascii="Times New Roman" w:hAnsi="Times New Roman" w:eastAsia="Times New Roman"/>
        </w:rPr>
        <w:t xml:space="preserve">100 </w:t>
      </w:r>
      <w:r>
        <w:t>社</w:t>
      </w:r>
      <w:r>
        <w:rPr>
          <w:spacing w:val="-2"/>
        </w:rPr>
        <w:t>会效益指标：通过项目的实施，确保资金使用效益，保障各项工作进展顺利，树立应急良好社会形象。环境效益指标为“好”；可持续影响指标为“好”；服务对象满意度指标为“满意”。</w:t>
      </w:r>
    </w:p>
    <w:p w14:paraId="0C35EA0C">
      <w:pPr>
        <w:pStyle w:val="2"/>
        <w:spacing w:before="6"/>
        <w:ind w:left="1292"/>
      </w:pPr>
      <w:r>
        <w:rPr>
          <w:spacing w:val="-4"/>
        </w:rPr>
        <w:t>（二）</w:t>
      </w:r>
      <w:r>
        <w:rPr>
          <w:spacing w:val="-5"/>
        </w:rPr>
        <w:t>重点项目绩效目标编制情况</w:t>
      </w:r>
    </w:p>
    <w:p w14:paraId="0A6D9EDE">
      <w:pPr>
        <w:pStyle w:val="2"/>
        <w:spacing w:before="171"/>
        <w:ind w:left="1292"/>
      </w:pPr>
      <w:r>
        <w:rPr>
          <w:spacing w:val="-4"/>
        </w:rPr>
        <w:t>（一）</w:t>
      </w:r>
      <w:r>
        <w:rPr>
          <w:spacing w:val="-5"/>
        </w:rPr>
        <w:t>安全生产培训经费</w:t>
      </w:r>
    </w:p>
    <w:p w14:paraId="2934A18C">
      <w:pPr>
        <w:pStyle w:val="2"/>
        <w:spacing w:before="171" w:line="338" w:lineRule="auto"/>
        <w:ind w:left="651" w:right="1030" w:firstLine="640"/>
      </w:pPr>
      <w:r>
        <w:rPr>
          <w:rFonts w:ascii="Times New Roman" w:hAnsi="Times New Roman" w:eastAsia="Times New Roman"/>
          <w:spacing w:val="-4"/>
        </w:rPr>
        <w:t>1</w:t>
      </w:r>
      <w:r>
        <w:rPr>
          <w:spacing w:val="-15"/>
        </w:rPr>
        <w:t>、“安全生产培训”主要内容是：</w:t>
      </w:r>
      <w:r>
        <w:rPr>
          <w:rFonts w:ascii="Times New Roman" w:hAnsi="Times New Roman" w:eastAsia="Times New Roman"/>
          <w:spacing w:val="-4"/>
        </w:rPr>
        <w:t>2025</w:t>
      </w:r>
      <w:r>
        <w:rPr>
          <w:rFonts w:ascii="Times New Roman" w:hAnsi="Times New Roman" w:eastAsia="Times New Roman"/>
          <w:spacing w:val="-16"/>
        </w:rPr>
        <w:t xml:space="preserve"> </w:t>
      </w:r>
      <w:r>
        <w:rPr>
          <w:spacing w:val="-17"/>
        </w:rPr>
        <w:t xml:space="preserve">年预算安排 </w:t>
      </w:r>
      <w:r>
        <w:rPr>
          <w:rFonts w:ascii="Times New Roman" w:hAnsi="Times New Roman" w:eastAsia="Times New Roman"/>
          <w:spacing w:val="-4"/>
        </w:rPr>
        <w:t>6</w:t>
      </w:r>
      <w:r>
        <w:rPr>
          <w:rFonts w:ascii="Times New Roman" w:hAnsi="Times New Roman" w:eastAsia="Times New Roman"/>
          <w:spacing w:val="-9"/>
        </w:rPr>
        <w:t xml:space="preserve"> </w:t>
      </w:r>
      <w:r>
        <w:rPr>
          <w:spacing w:val="-4"/>
        </w:rPr>
        <w:t>万元，</w:t>
      </w:r>
      <w:r>
        <w:t>其中：</w:t>
      </w:r>
      <w:r>
        <w:rPr>
          <w:rFonts w:ascii="Times New Roman" w:hAnsi="Times New Roman" w:eastAsia="Times New Roman"/>
        </w:rPr>
        <w:t xml:space="preserve">6 </w:t>
      </w:r>
      <w:r>
        <w:t>万元资金来源为当年一般公共预算资金。</w:t>
      </w:r>
    </w:p>
    <w:p w14:paraId="39445764">
      <w:pPr>
        <w:pStyle w:val="2"/>
        <w:spacing w:before="2" w:line="338" w:lineRule="auto"/>
        <w:ind w:left="651" w:right="1030" w:firstLine="640"/>
      </w:pPr>
      <w:r>
        <w:rPr>
          <w:rFonts w:ascii="Times New Roman" w:eastAsia="Times New Roman"/>
          <w:spacing w:val="-6"/>
        </w:rPr>
        <w:t>2</w:t>
      </w:r>
      <w:r>
        <w:rPr>
          <w:spacing w:val="-6"/>
        </w:rPr>
        <w:t>、项目绩效总目标是：对企业主要负责人、安全管理人员、</w:t>
      </w:r>
      <w:r>
        <w:rPr>
          <w:spacing w:val="-7"/>
        </w:rPr>
        <w:t>分管安全生产人员等进行年度安全生产相关知识培训；加强安全</w:t>
      </w:r>
      <w:r>
        <w:rPr>
          <w:spacing w:val="-2"/>
        </w:rPr>
        <w:t>生产宣传工作，提高人们对安全生产的认识和重视程度。</w:t>
      </w:r>
    </w:p>
    <w:p w14:paraId="4A8093B5">
      <w:pPr>
        <w:pStyle w:val="2"/>
        <w:spacing w:before="6"/>
        <w:ind w:left="1292"/>
      </w:pPr>
      <w:r>
        <w:rPr>
          <w:rFonts w:ascii="Times New Roman" w:eastAsia="Times New Roman"/>
          <w:spacing w:val="-4"/>
        </w:rPr>
        <w:t>3</w:t>
      </w:r>
      <w:r>
        <w:rPr>
          <w:spacing w:val="-5"/>
        </w:rPr>
        <w:t>、项目绩效指标设置情况：</w:t>
      </w:r>
    </w:p>
    <w:p w14:paraId="64ED62CC">
      <w:pPr>
        <w:pStyle w:val="2"/>
        <w:spacing w:before="171"/>
        <w:ind w:left="1292"/>
      </w:pPr>
      <w:r>
        <w:rPr>
          <w:spacing w:val="-4"/>
        </w:rPr>
        <w:t>产出指标：培训人数≥</w:t>
      </w:r>
      <w:r>
        <w:rPr>
          <w:rFonts w:ascii="Times New Roman" w:hAnsi="Times New Roman" w:eastAsia="Times New Roman"/>
          <w:spacing w:val="-4"/>
        </w:rPr>
        <w:t>400</w:t>
      </w:r>
      <w:r>
        <w:rPr>
          <w:rFonts w:ascii="Times New Roman" w:hAnsi="Times New Roman" w:eastAsia="Times New Roman"/>
          <w:spacing w:val="5"/>
        </w:rPr>
        <w:t xml:space="preserve"> </w:t>
      </w:r>
      <w:r>
        <w:rPr>
          <w:spacing w:val="-5"/>
        </w:rPr>
        <w:t>次以上，指标设立依据是计划标</w:t>
      </w:r>
    </w:p>
    <w:p w14:paraId="04653101">
      <w:pPr>
        <w:pStyle w:val="2"/>
        <w:spacing w:before="12"/>
        <w:rPr>
          <w:sz w:val="8"/>
        </w:rPr>
      </w:pPr>
    </w:p>
    <w:p w14:paraId="75E1F346">
      <w:pPr>
        <w:pStyle w:val="2"/>
        <w:spacing w:before="54"/>
        <w:ind w:right="8743"/>
        <w:jc w:val="center"/>
      </w:pPr>
      <w:r>
        <w:rPr>
          <w:spacing w:val="-8"/>
        </w:rPr>
        <w:t>准。</w:t>
      </w:r>
    </w:p>
    <w:p w14:paraId="70A6D9AE">
      <w:pPr>
        <w:pStyle w:val="2"/>
        <w:spacing w:before="171"/>
        <w:ind w:right="420"/>
        <w:jc w:val="center"/>
      </w:pPr>
      <w:r>
        <w:rPr>
          <w:spacing w:val="-5"/>
        </w:rPr>
        <w:t>效益指标：提升安全技能。指标设立依据是计划标准。</w:t>
      </w:r>
    </w:p>
    <w:p w14:paraId="69687F90">
      <w:pPr>
        <w:spacing w:after="0"/>
        <w:jc w:val="center"/>
        <w:sectPr>
          <w:pgSz w:w="11910" w:h="16840"/>
          <w:pgMar w:top="1620" w:right="340" w:bottom="1380" w:left="880" w:header="0" w:footer="1191" w:gutter="0"/>
          <w:cols w:space="720" w:num="1"/>
        </w:sectPr>
      </w:pPr>
    </w:p>
    <w:p w14:paraId="17BD00F0">
      <w:pPr>
        <w:pStyle w:val="2"/>
        <w:spacing w:before="37" w:line="340" w:lineRule="auto"/>
        <w:ind w:left="651" w:right="1189" w:firstLine="640"/>
      </w:pPr>
      <w:r>
        <w:rPr>
          <w:spacing w:val="-4"/>
        </w:rPr>
        <w:t>满意度指标：服务对象满意率≥</w:t>
      </w:r>
      <w:r>
        <w:rPr>
          <w:rFonts w:ascii="Times New Roman" w:hAnsi="Times New Roman" w:eastAsia="Times New Roman"/>
          <w:spacing w:val="-4"/>
        </w:rPr>
        <w:t>95%</w:t>
      </w:r>
      <w:r>
        <w:rPr>
          <w:spacing w:val="-4"/>
        </w:rPr>
        <w:t>，指标设立依据是计划标准。</w:t>
      </w:r>
    </w:p>
    <w:p w14:paraId="039CCFA5">
      <w:pPr>
        <w:pStyle w:val="2"/>
        <w:spacing w:line="407" w:lineRule="exact"/>
        <w:ind w:left="1292"/>
      </w:pPr>
      <w:r>
        <w:rPr>
          <w:spacing w:val="-4"/>
        </w:rPr>
        <w:t>（二）</w:t>
      </w:r>
      <w:r>
        <w:rPr>
          <w:spacing w:val="-5"/>
        </w:rPr>
        <w:t>应急指挥中心平台建设经费</w:t>
      </w:r>
    </w:p>
    <w:p w14:paraId="1ADA3821">
      <w:pPr>
        <w:pStyle w:val="2"/>
        <w:spacing w:before="168" w:line="340" w:lineRule="auto"/>
        <w:ind w:left="651" w:right="1030" w:firstLine="640"/>
        <w:jc w:val="both"/>
      </w:pPr>
      <w:r>
        <w:t>1、“应急指挥中心平台建设”主要内容是：2025 年预算安</w:t>
      </w:r>
      <w:r>
        <w:rPr>
          <w:spacing w:val="-43"/>
        </w:rPr>
        <w:t xml:space="preserve">排 </w:t>
      </w:r>
      <w:r>
        <w:rPr>
          <w:spacing w:val="-6"/>
        </w:rPr>
        <w:t>9.6</w:t>
      </w:r>
      <w:r>
        <w:rPr>
          <w:spacing w:val="-42"/>
        </w:rPr>
        <w:t xml:space="preserve"> 万元，其中：</w:t>
      </w:r>
      <w:r>
        <w:rPr>
          <w:spacing w:val="19"/>
        </w:rPr>
        <w:t>9.</w:t>
      </w:r>
      <w:r>
        <w:rPr>
          <w:spacing w:val="18"/>
        </w:rPr>
        <w:t>6</w:t>
      </w:r>
      <w:r>
        <w:rPr>
          <w:spacing w:val="-15"/>
        </w:rPr>
        <w:t xml:space="preserve"> 万元资金来源为当年一般公共预算资金。</w:t>
      </w:r>
    </w:p>
    <w:p w14:paraId="1B552BB1">
      <w:pPr>
        <w:pStyle w:val="2"/>
        <w:spacing w:line="338" w:lineRule="auto"/>
        <w:ind w:left="651" w:right="1189" w:firstLine="640"/>
        <w:jc w:val="both"/>
      </w:pPr>
      <w:r>
        <w:rPr>
          <w:spacing w:val="-2"/>
        </w:rPr>
        <w:t>2、项目绩效总目标是：开展生产安全事故应急救援，聘请专家指导参与安全生产类、自然灾害类突发事件的应急处</w:t>
      </w:r>
      <w:r>
        <w:rPr>
          <w:spacing w:val="-6"/>
        </w:rPr>
        <w:t>置、救援等工作，提升应急救援能力有效化解各类险情，严防发</w:t>
      </w:r>
      <w:r>
        <w:rPr>
          <w:spacing w:val="-4"/>
        </w:rPr>
        <w:t>生事故。</w:t>
      </w:r>
    </w:p>
    <w:p w14:paraId="5593F3BD">
      <w:pPr>
        <w:pStyle w:val="2"/>
        <w:spacing w:before="4"/>
        <w:ind w:left="1292"/>
      </w:pPr>
      <w:r>
        <w:rPr>
          <w:spacing w:val="-4"/>
        </w:rPr>
        <w:t>3</w:t>
      </w:r>
      <w:r>
        <w:rPr>
          <w:spacing w:val="-5"/>
        </w:rPr>
        <w:t>、项目绩效指标设置情况：</w:t>
      </w:r>
    </w:p>
    <w:p w14:paraId="105B7DCF">
      <w:pPr>
        <w:pStyle w:val="2"/>
        <w:spacing w:before="170"/>
        <w:ind w:left="1292"/>
      </w:pPr>
      <w:r>
        <w:rPr>
          <w:spacing w:val="-4"/>
        </w:rPr>
        <w:t>产出指标：开展应急</w:t>
      </w:r>
      <w:bookmarkStart w:id="0" w:name="_GoBack"/>
      <w:bookmarkEnd w:id="0"/>
      <w:r>
        <w:rPr>
          <w:spacing w:val="-4"/>
        </w:rPr>
        <w:t>≥2</w:t>
      </w:r>
      <w:r>
        <w:rPr>
          <w:spacing w:val="-13"/>
        </w:rPr>
        <w:t xml:space="preserve"> 以上，指标设立依据是计划标</w:t>
      </w:r>
    </w:p>
    <w:p w14:paraId="273084BC">
      <w:pPr>
        <w:pStyle w:val="2"/>
        <w:spacing w:before="2"/>
        <w:rPr>
          <w:sz w:val="9"/>
        </w:rPr>
      </w:pPr>
    </w:p>
    <w:p w14:paraId="1B5E1D8E">
      <w:pPr>
        <w:pStyle w:val="2"/>
        <w:spacing w:before="54"/>
        <w:ind w:left="651"/>
      </w:pPr>
      <w:r>
        <w:rPr>
          <w:spacing w:val="-8"/>
        </w:rPr>
        <w:t>准。</w:t>
      </w:r>
    </w:p>
    <w:p w14:paraId="6A2480D5">
      <w:pPr>
        <w:pStyle w:val="2"/>
        <w:spacing w:before="168"/>
        <w:ind w:left="1292"/>
      </w:pPr>
      <w:r>
        <w:rPr>
          <w:spacing w:val="-5"/>
        </w:rPr>
        <w:t>效益指标：提升安全技能。指标设立依据是计划标准。</w:t>
      </w:r>
    </w:p>
    <w:p w14:paraId="171A9EAD">
      <w:pPr>
        <w:pStyle w:val="2"/>
        <w:spacing w:before="171"/>
        <w:ind w:left="1292"/>
      </w:pPr>
      <w:r>
        <w:rPr>
          <w:spacing w:val="-2"/>
        </w:rPr>
        <w:t>满意度指标：服务对象满意率≥90</w:t>
      </w:r>
      <w:r>
        <w:rPr>
          <w:spacing w:val="-3"/>
        </w:rPr>
        <w:t>%，指标设立依据是计划</w:t>
      </w:r>
    </w:p>
    <w:p w14:paraId="47F98743">
      <w:pPr>
        <w:pStyle w:val="2"/>
        <w:spacing w:before="1"/>
        <w:rPr>
          <w:sz w:val="9"/>
        </w:rPr>
      </w:pPr>
    </w:p>
    <w:p w14:paraId="7AA91658">
      <w:pPr>
        <w:pStyle w:val="2"/>
        <w:spacing w:before="55"/>
        <w:ind w:left="651"/>
      </w:pPr>
      <w:r>
        <w:rPr>
          <w:spacing w:val="-7"/>
        </w:rPr>
        <w:t>标准。</w:t>
      </w:r>
    </w:p>
    <w:p w14:paraId="7187E9DA">
      <w:pPr>
        <w:pStyle w:val="2"/>
        <w:spacing w:before="168"/>
        <w:ind w:left="1292"/>
      </w:pPr>
      <w:r>
        <w:rPr>
          <w:spacing w:val="-4"/>
        </w:rPr>
        <w:t>（三）</w:t>
      </w:r>
      <w:r>
        <w:rPr>
          <w:spacing w:val="-5"/>
        </w:rPr>
        <w:t>专家查隐患经费</w:t>
      </w:r>
    </w:p>
    <w:p w14:paraId="4F494B75">
      <w:pPr>
        <w:pStyle w:val="2"/>
        <w:spacing w:before="171" w:line="340" w:lineRule="auto"/>
        <w:ind w:left="651" w:right="1030" w:firstLine="640"/>
        <w:jc w:val="both"/>
      </w:pPr>
      <w:r>
        <w:rPr>
          <w:spacing w:val="-8"/>
        </w:rPr>
        <w:t>1、“专家查隐患”主要内容是：2025</w:t>
      </w:r>
      <w:r>
        <w:rPr>
          <w:spacing w:val="-15"/>
        </w:rPr>
        <w:t xml:space="preserve"> 年预算安排 </w:t>
      </w:r>
      <w:r>
        <w:rPr>
          <w:spacing w:val="-8"/>
        </w:rPr>
        <w:t>16</w:t>
      </w:r>
      <w:r>
        <w:rPr>
          <w:spacing w:val="-14"/>
        </w:rPr>
        <w:t xml:space="preserve"> 万元，</w:t>
      </w:r>
      <w:r>
        <w:t>其中：16</w:t>
      </w:r>
      <w:r>
        <w:rPr>
          <w:spacing w:val="-7"/>
        </w:rPr>
        <w:t xml:space="preserve"> 万元资金来源为当年一般公共预算资金。</w:t>
      </w:r>
    </w:p>
    <w:p w14:paraId="2A8E4684">
      <w:pPr>
        <w:pStyle w:val="2"/>
        <w:spacing w:line="340" w:lineRule="auto"/>
        <w:ind w:left="651" w:right="1189" w:firstLine="640"/>
        <w:jc w:val="both"/>
      </w:pPr>
      <w:r>
        <w:rPr>
          <w:spacing w:val="-2"/>
        </w:rPr>
        <w:t>2、项目绩效总目标是：对通过政府购买服务，聘请省、市</w:t>
      </w:r>
      <w:r>
        <w:rPr>
          <w:spacing w:val="-10"/>
        </w:rPr>
        <w:t xml:space="preserve">安全生产专家参与随机对 </w:t>
      </w:r>
      <w:r>
        <w:rPr>
          <w:spacing w:val="-8"/>
        </w:rPr>
        <w:t>17</w:t>
      </w:r>
      <w:r>
        <w:rPr>
          <w:spacing w:val="-13"/>
        </w:rPr>
        <w:t xml:space="preserve"> 家危险化学品、</w:t>
      </w:r>
      <w:r>
        <w:rPr>
          <w:spacing w:val="-8"/>
        </w:rPr>
        <w:t>90</w:t>
      </w:r>
      <w:r>
        <w:rPr>
          <w:spacing w:val="-13"/>
        </w:rPr>
        <w:t xml:space="preserve"> 家企业等行业开</w:t>
      </w:r>
      <w:r>
        <w:rPr>
          <w:spacing w:val="-6"/>
        </w:rPr>
        <w:t>展安全生产检查，提升检查的针对性、科学性、有效性，帮助指</w:t>
      </w:r>
      <w:r>
        <w:rPr>
          <w:spacing w:val="-10"/>
        </w:rPr>
        <w:t>导企业提升安全管理水平，全面排查治理安全隐患，确保生产安</w:t>
      </w:r>
      <w:r>
        <w:rPr>
          <w:spacing w:val="-6"/>
        </w:rPr>
        <w:t>全。</w:t>
      </w:r>
    </w:p>
    <w:p w14:paraId="75D456E0">
      <w:pPr>
        <w:spacing w:after="0" w:line="340" w:lineRule="auto"/>
        <w:jc w:val="both"/>
        <w:sectPr>
          <w:pgSz w:w="11910" w:h="16840"/>
          <w:pgMar w:top="1620" w:right="340" w:bottom="1380" w:left="880" w:header="0" w:footer="1191" w:gutter="0"/>
          <w:cols w:space="720" w:num="1"/>
        </w:sectPr>
      </w:pPr>
    </w:p>
    <w:p w14:paraId="11393386">
      <w:pPr>
        <w:pStyle w:val="2"/>
        <w:spacing w:before="37"/>
        <w:ind w:left="1292"/>
      </w:pPr>
      <w:r>
        <w:rPr>
          <w:spacing w:val="-4"/>
        </w:rPr>
        <w:t>3</w:t>
      </w:r>
      <w:r>
        <w:rPr>
          <w:spacing w:val="-5"/>
        </w:rPr>
        <w:t>、项目绩效指标设置情况：</w:t>
      </w:r>
    </w:p>
    <w:p w14:paraId="2A4D3A7E">
      <w:pPr>
        <w:pStyle w:val="2"/>
        <w:spacing w:before="171" w:line="340" w:lineRule="auto"/>
        <w:ind w:left="651" w:right="1189" w:firstLine="640"/>
      </w:pPr>
      <w:r>
        <w:rPr>
          <w:spacing w:val="-2"/>
        </w:rPr>
        <w:t>产出指标：开展安全生产检查≥500</w:t>
      </w:r>
      <w:r>
        <w:rPr>
          <w:spacing w:val="-12"/>
        </w:rPr>
        <w:t xml:space="preserve"> 次以上，指标设立依据</w:t>
      </w:r>
      <w:r>
        <w:rPr>
          <w:spacing w:val="-2"/>
        </w:rPr>
        <w:t>是计划标准。</w:t>
      </w:r>
    </w:p>
    <w:p w14:paraId="12A02EDD">
      <w:pPr>
        <w:pStyle w:val="2"/>
        <w:spacing w:line="405" w:lineRule="exact"/>
        <w:ind w:left="1292"/>
      </w:pPr>
      <w:r>
        <w:rPr>
          <w:spacing w:val="-5"/>
        </w:rPr>
        <w:t>效益指标：稳定向好。指标设立依据是计划标准。</w:t>
      </w:r>
    </w:p>
    <w:p w14:paraId="5E08A744">
      <w:pPr>
        <w:pStyle w:val="2"/>
        <w:spacing w:before="171" w:line="340" w:lineRule="auto"/>
        <w:ind w:left="651" w:right="1191" w:firstLine="640"/>
      </w:pPr>
      <w:r>
        <w:rPr>
          <w:spacing w:val="-2"/>
        </w:rPr>
        <w:t>满意度指标：服务对象满意率≥95%，指标设立依据是计划</w:t>
      </w:r>
      <w:r>
        <w:rPr>
          <w:spacing w:val="-4"/>
        </w:rPr>
        <w:t>标准。</w:t>
      </w:r>
    </w:p>
    <w:p w14:paraId="11159DA4">
      <w:pPr>
        <w:pStyle w:val="2"/>
        <w:spacing w:line="405" w:lineRule="exact"/>
        <w:ind w:left="1292"/>
      </w:pPr>
      <w:r>
        <w:rPr>
          <w:spacing w:val="-4"/>
        </w:rPr>
        <w:t>（四）</w:t>
      </w:r>
      <w:r>
        <w:rPr>
          <w:spacing w:val="-5"/>
        </w:rPr>
        <w:t>防汛抗旱经费</w:t>
      </w:r>
    </w:p>
    <w:p w14:paraId="0D7E8732">
      <w:pPr>
        <w:pStyle w:val="2"/>
        <w:spacing w:before="170" w:line="340" w:lineRule="auto"/>
        <w:ind w:left="651" w:right="1191" w:firstLine="640"/>
      </w:pPr>
      <w:r>
        <w:t>1、“防汛抗旱”主要内容是：2025</w:t>
      </w:r>
      <w:r>
        <w:rPr>
          <w:spacing w:val="-16"/>
        </w:rPr>
        <w:t xml:space="preserve"> 年预算安排 </w:t>
      </w:r>
      <w:r>
        <w:t>10</w:t>
      </w:r>
      <w:r>
        <w:rPr>
          <w:spacing w:val="-14"/>
        </w:rPr>
        <w:t xml:space="preserve"> 万元，</w:t>
      </w:r>
      <w:r>
        <w:t>其中：10</w:t>
      </w:r>
      <w:r>
        <w:rPr>
          <w:spacing w:val="-7"/>
        </w:rPr>
        <w:t xml:space="preserve"> 万元资金来源为当年一般公共预算资金。</w:t>
      </w:r>
    </w:p>
    <w:p w14:paraId="2C3ADE6A">
      <w:pPr>
        <w:pStyle w:val="2"/>
        <w:spacing w:line="340" w:lineRule="auto"/>
        <w:ind w:left="651" w:right="1030" w:firstLine="640"/>
      </w:pPr>
      <w:r>
        <w:rPr>
          <w:spacing w:val="-2"/>
        </w:rPr>
        <w:t>2、项目绩效总目标是：通过修订全区防汛抗旱应急预案、</w:t>
      </w:r>
      <w:r>
        <w:rPr>
          <w:spacing w:val="-21"/>
        </w:rPr>
        <w:t>开展汛期检查、备齐防汛物资、加强监测预警及时发布信息等，</w:t>
      </w:r>
      <w:r>
        <w:rPr>
          <w:spacing w:val="-2"/>
        </w:rPr>
        <w:t>做好水旱灾害突发事件的应急准备和处置工作，保证抗洪抢险、</w:t>
      </w:r>
      <w:r>
        <w:rPr>
          <w:spacing w:val="-9"/>
        </w:rPr>
        <w:t>抗旱救灾工作高效有序进行，最大限度减少灾害造成的危害，保</w:t>
      </w:r>
      <w:r>
        <w:rPr>
          <w:spacing w:val="-2"/>
        </w:rPr>
        <w:t>障经济社会全面、协调、可持续发展。</w:t>
      </w:r>
    </w:p>
    <w:p w14:paraId="5134CC88">
      <w:pPr>
        <w:pStyle w:val="2"/>
        <w:spacing w:line="401" w:lineRule="exact"/>
        <w:ind w:left="1292"/>
      </w:pPr>
      <w:r>
        <w:rPr>
          <w:spacing w:val="-4"/>
        </w:rPr>
        <w:t>3</w:t>
      </w:r>
      <w:r>
        <w:rPr>
          <w:spacing w:val="-5"/>
        </w:rPr>
        <w:t>、项目绩效指标设置情况：</w:t>
      </w:r>
    </w:p>
    <w:p w14:paraId="1DFBC0E5">
      <w:pPr>
        <w:pStyle w:val="2"/>
        <w:spacing w:before="164" w:line="340" w:lineRule="auto"/>
        <w:ind w:left="1292" w:right="1073"/>
      </w:pPr>
      <w:r>
        <w:rPr>
          <w:spacing w:val="-3"/>
        </w:rPr>
        <w:t xml:space="preserve">产出指标：专项经费 </w:t>
      </w:r>
      <w:r>
        <w:t>10</w:t>
      </w:r>
      <w:r>
        <w:rPr>
          <w:spacing w:val="-5"/>
        </w:rPr>
        <w:t xml:space="preserve"> 万元，指标设立依据是计划标准。</w:t>
      </w:r>
      <w:r>
        <w:rPr>
          <w:spacing w:val="-2"/>
        </w:rPr>
        <w:t>效益指标：最大限度减轻损失。指标设立依据是计划标准。满意度指标：服务对象满意率≥90%，指标设立依据是计划</w:t>
      </w:r>
    </w:p>
    <w:p w14:paraId="55AD990A">
      <w:pPr>
        <w:pStyle w:val="2"/>
        <w:spacing w:line="403" w:lineRule="exact"/>
        <w:ind w:left="1292"/>
      </w:pPr>
      <w:r>
        <w:rPr>
          <w:spacing w:val="-4"/>
        </w:rPr>
        <w:t>（五）</w:t>
      </w:r>
      <w:r>
        <w:rPr>
          <w:spacing w:val="-5"/>
        </w:rPr>
        <w:t>灾害防治及应急管理工作经费</w:t>
      </w:r>
    </w:p>
    <w:p w14:paraId="7CFF2A10">
      <w:pPr>
        <w:pStyle w:val="2"/>
        <w:spacing w:before="170" w:line="338" w:lineRule="auto"/>
        <w:ind w:left="651" w:right="1190" w:firstLine="640"/>
        <w:jc w:val="both"/>
      </w:pPr>
      <w:r>
        <w:rPr>
          <w:spacing w:val="-4"/>
        </w:rPr>
        <w:t>1、“灾害防治及应急管理工作经费”主要内容是：2025</w:t>
      </w:r>
      <w:r>
        <w:rPr>
          <w:spacing w:val="-20"/>
        </w:rPr>
        <w:t xml:space="preserve"> 年</w:t>
      </w:r>
      <w:r>
        <w:rPr>
          <w:spacing w:val="-12"/>
        </w:rPr>
        <w:t xml:space="preserve">预算安排 </w:t>
      </w:r>
      <w:r>
        <w:rPr>
          <w:spacing w:val="-8"/>
        </w:rPr>
        <w:t>15</w:t>
      </w:r>
      <w:r>
        <w:rPr>
          <w:spacing w:val="-13"/>
        </w:rPr>
        <w:t xml:space="preserve"> 万元，其中：</w:t>
      </w:r>
      <w:r>
        <w:rPr>
          <w:spacing w:val="-8"/>
        </w:rPr>
        <w:t>15</w:t>
      </w:r>
      <w:r>
        <w:rPr>
          <w:spacing w:val="-12"/>
        </w:rPr>
        <w:t xml:space="preserve"> 万元资金来源为当年一般公共预算</w:t>
      </w:r>
      <w:r>
        <w:rPr>
          <w:spacing w:val="-4"/>
        </w:rPr>
        <w:t>资金。</w:t>
      </w:r>
    </w:p>
    <w:p w14:paraId="5AE4DCDF">
      <w:pPr>
        <w:pStyle w:val="2"/>
        <w:spacing w:before="6"/>
        <w:ind w:left="1292"/>
      </w:pPr>
      <w:r>
        <w:rPr>
          <w:spacing w:val="-4"/>
        </w:rPr>
        <w:t>2</w:t>
      </w:r>
      <w:r>
        <w:rPr>
          <w:spacing w:val="-5"/>
        </w:rPr>
        <w:t>、项目绩效总目标是：保障日常工作运转。</w:t>
      </w:r>
    </w:p>
    <w:p w14:paraId="59A8B7F0">
      <w:pPr>
        <w:spacing w:after="0"/>
        <w:sectPr>
          <w:pgSz w:w="11910" w:h="16840"/>
          <w:pgMar w:top="1620" w:right="340" w:bottom="1380" w:left="880" w:header="0" w:footer="1191" w:gutter="0"/>
          <w:cols w:space="720" w:num="1"/>
        </w:sectPr>
      </w:pPr>
    </w:p>
    <w:p w14:paraId="3D2B1A9A">
      <w:pPr>
        <w:pStyle w:val="2"/>
        <w:spacing w:before="37"/>
        <w:ind w:left="1292"/>
      </w:pPr>
      <w:r>
        <w:rPr>
          <w:spacing w:val="-4"/>
        </w:rPr>
        <w:t>3</w:t>
      </w:r>
      <w:r>
        <w:rPr>
          <w:spacing w:val="-5"/>
        </w:rPr>
        <w:t>、项目绩效指标设置情况：</w:t>
      </w:r>
    </w:p>
    <w:p w14:paraId="38431C40">
      <w:pPr>
        <w:pStyle w:val="2"/>
        <w:spacing w:before="171" w:line="338" w:lineRule="auto"/>
        <w:ind w:left="1292" w:right="1073"/>
      </w:pPr>
      <w:r>
        <w:rPr>
          <w:spacing w:val="-3"/>
        </w:rPr>
        <w:t xml:space="preserve">产出指标：专项经费 </w:t>
      </w:r>
      <w:r>
        <w:t>15</w:t>
      </w:r>
      <w:r>
        <w:rPr>
          <w:spacing w:val="-5"/>
        </w:rPr>
        <w:t xml:space="preserve"> 万元，指标设立依据是计划标准。</w:t>
      </w:r>
      <w:r>
        <w:rPr>
          <w:spacing w:val="-2"/>
        </w:rPr>
        <w:t>效益指标：最大限度减轻损失。指标设立依据是计划标准。满意度指标：服务对象满意率≥90%，指标设立依据是计划</w:t>
      </w:r>
    </w:p>
    <w:p w14:paraId="2B5C469E">
      <w:pPr>
        <w:pStyle w:val="2"/>
        <w:spacing w:before="6"/>
        <w:ind w:left="651"/>
      </w:pPr>
      <w:r>
        <w:rPr>
          <w:spacing w:val="-7"/>
        </w:rPr>
        <w:t>标准。</w:t>
      </w:r>
    </w:p>
    <w:p w14:paraId="4B5E93E2">
      <w:pPr>
        <w:pStyle w:val="2"/>
        <w:spacing w:before="170"/>
        <w:ind w:left="1292"/>
      </w:pPr>
      <w:r>
        <w:rPr>
          <w:spacing w:val="-5"/>
        </w:rPr>
        <w:t>九、其他需要说明的情况</w:t>
      </w:r>
    </w:p>
    <w:p w14:paraId="3D77772E">
      <w:pPr>
        <w:pStyle w:val="2"/>
        <w:spacing w:before="169"/>
        <w:ind w:left="1292"/>
      </w:pPr>
      <w:r>
        <w:rPr>
          <w:spacing w:val="-4"/>
        </w:rPr>
        <w:t>（一）</w:t>
      </w:r>
      <w:r>
        <w:rPr>
          <w:spacing w:val="-5"/>
        </w:rPr>
        <w:t>对空表的说明</w:t>
      </w:r>
    </w:p>
    <w:p w14:paraId="3A0AAF8C">
      <w:pPr>
        <w:pStyle w:val="2"/>
        <w:spacing w:before="171"/>
        <w:ind w:left="1292"/>
      </w:pPr>
      <w:r>
        <w:rPr>
          <w:spacing w:val="-22"/>
        </w:rPr>
        <w:t xml:space="preserve">我部门 </w:t>
      </w:r>
      <w:r>
        <w:rPr>
          <w:rFonts w:ascii="Times New Roman" w:eastAsia="Times New Roman"/>
          <w:spacing w:val="-2"/>
        </w:rPr>
        <w:t>2025</w:t>
      </w:r>
      <w:r>
        <w:rPr>
          <w:rFonts w:ascii="Times New Roman" w:eastAsia="Times New Roman"/>
          <w:spacing w:val="-11"/>
        </w:rPr>
        <w:t xml:space="preserve"> </w:t>
      </w:r>
      <w:r>
        <w:rPr>
          <w:spacing w:val="-3"/>
        </w:rPr>
        <w:t>年无国有资本经营预算支出，与上年一致，故</w:t>
      </w:r>
    </w:p>
    <w:p w14:paraId="19FDAC0E">
      <w:pPr>
        <w:pStyle w:val="2"/>
        <w:spacing w:before="170"/>
        <w:ind w:left="1292"/>
      </w:pPr>
      <w:r>
        <w:rPr>
          <w:spacing w:val="-4"/>
        </w:rPr>
        <w:t>（二）</w:t>
      </w:r>
      <w:r>
        <w:rPr>
          <w:spacing w:val="-5"/>
        </w:rPr>
        <w:t>对其他情况的说明</w:t>
      </w:r>
    </w:p>
    <w:p w14:paraId="59C33D7D">
      <w:pPr>
        <w:pStyle w:val="2"/>
        <w:spacing w:before="169"/>
        <w:ind w:left="1292"/>
      </w:pPr>
      <w:r>
        <w:rPr>
          <w:spacing w:val="-5"/>
        </w:rPr>
        <w:t>无其他情况说明</w:t>
      </w:r>
    </w:p>
    <w:p w14:paraId="2281961A">
      <w:pPr>
        <w:pStyle w:val="2"/>
        <w:spacing w:before="171"/>
        <w:ind w:left="1292"/>
      </w:pPr>
      <w:r>
        <w:rPr>
          <w:spacing w:val="-5"/>
        </w:rPr>
        <w:t>十、专业名词解释</w:t>
      </w:r>
    </w:p>
    <w:p w14:paraId="02F05EB7">
      <w:pPr>
        <w:pStyle w:val="7"/>
        <w:numPr>
          <w:ilvl w:val="0"/>
          <w:numId w:val="1"/>
        </w:numPr>
        <w:tabs>
          <w:tab w:val="left" w:pos="1530"/>
        </w:tabs>
        <w:spacing w:before="170" w:after="0" w:line="338" w:lineRule="auto"/>
        <w:ind w:left="651" w:right="1189" w:firstLine="640"/>
        <w:jc w:val="both"/>
        <w:rPr>
          <w:sz w:val="32"/>
        </w:rPr>
      </w:pPr>
      <w:r>
        <w:rPr>
          <w:spacing w:val="-2"/>
          <w:sz w:val="32"/>
        </w:rPr>
        <w:t>机关运行经费：指为保障单位运行使用一般公共预算财政拨款安排的基本支出中的日常公用经费支出。包括办公及印刷</w:t>
      </w:r>
      <w:r>
        <w:rPr>
          <w:spacing w:val="-6"/>
          <w:sz w:val="32"/>
        </w:rPr>
        <w:t>费、邮电费、差旅费、会议费、福利费、日常维修费、专用材料及一般设备购置费、办公用房水电费、办公用房取暖费、办公用</w:t>
      </w:r>
      <w:r>
        <w:rPr>
          <w:spacing w:val="-2"/>
          <w:sz w:val="32"/>
        </w:rPr>
        <w:t>房物业管理费、公务用车运行维护费以及其他费用。</w:t>
      </w:r>
    </w:p>
    <w:p w14:paraId="54DD005D">
      <w:pPr>
        <w:pStyle w:val="7"/>
        <w:numPr>
          <w:ilvl w:val="0"/>
          <w:numId w:val="1"/>
        </w:numPr>
        <w:tabs>
          <w:tab w:val="left" w:pos="1530"/>
        </w:tabs>
        <w:spacing w:before="9" w:after="0" w:line="338" w:lineRule="auto"/>
        <w:ind w:left="651" w:right="1073" w:firstLine="640"/>
        <w:jc w:val="left"/>
        <w:rPr>
          <w:sz w:val="32"/>
        </w:rPr>
      </w:pPr>
      <w:r>
        <w:rPr>
          <w:rFonts w:ascii="Times New Roman" w:hAnsi="Times New Roman" w:eastAsia="Times New Roman"/>
          <w:spacing w:val="-2"/>
          <w:sz w:val="32"/>
        </w:rPr>
        <w:t>“</w:t>
      </w:r>
      <w:r>
        <w:rPr>
          <w:spacing w:val="-2"/>
          <w:sz w:val="32"/>
        </w:rPr>
        <w:t>三公</w:t>
      </w:r>
      <w:r>
        <w:rPr>
          <w:rFonts w:ascii="Times New Roman" w:hAnsi="Times New Roman" w:eastAsia="Times New Roman"/>
          <w:spacing w:val="-2"/>
          <w:sz w:val="32"/>
        </w:rPr>
        <w:t>”</w:t>
      </w:r>
      <w:r>
        <w:rPr>
          <w:spacing w:val="-2"/>
          <w:sz w:val="32"/>
        </w:rPr>
        <w:t>经费：指使用一般公共预算财政拨款安排的因公出国（境）费、公务用车购置及运行维护费和公务接待费。其中，因公出国（境）费用反映单位公务出国（境）的国际旅费、国外城市间交通费、住宿费、伙食费、培训费、公杂费等支出；公务</w:t>
      </w:r>
      <w:r>
        <w:rPr>
          <w:spacing w:val="-7"/>
          <w:sz w:val="32"/>
        </w:rPr>
        <w:t>用车购置及运行维护费反映单位公务用车车辆购置支出</w:t>
      </w:r>
      <w:r>
        <w:rPr>
          <w:spacing w:val="-2"/>
          <w:sz w:val="32"/>
        </w:rPr>
        <w:t>（含车辆购置税、牌照费）、燃料费、维修费、过桥过路费、保险费、安</w:t>
      </w:r>
      <w:r>
        <w:rPr>
          <w:spacing w:val="-13"/>
          <w:sz w:val="32"/>
        </w:rPr>
        <w:t>全奖励费用等支出；公务接待费反映单位按规定开支的各类公务</w:t>
      </w:r>
    </w:p>
    <w:p w14:paraId="5EC05F82">
      <w:pPr>
        <w:spacing w:after="0" w:line="338" w:lineRule="auto"/>
        <w:jc w:val="left"/>
        <w:rPr>
          <w:sz w:val="32"/>
        </w:rPr>
        <w:sectPr>
          <w:pgSz w:w="11910" w:h="16840"/>
          <w:pgMar w:top="1620" w:right="340" w:bottom="1380" w:left="880" w:header="0" w:footer="1191" w:gutter="0"/>
          <w:cols w:space="720" w:num="1"/>
        </w:sectPr>
      </w:pPr>
    </w:p>
    <w:p w14:paraId="5B971AE9">
      <w:pPr>
        <w:pStyle w:val="2"/>
        <w:spacing w:before="37"/>
        <w:ind w:left="651"/>
      </w:pPr>
      <w:r>
        <w:rPr>
          <w:spacing w:val="-4"/>
        </w:rPr>
        <w:t>接待（含外宾接待）</w:t>
      </w:r>
      <w:r>
        <w:rPr>
          <w:spacing w:val="-7"/>
        </w:rPr>
        <w:t>费用。</w:t>
      </w:r>
    </w:p>
    <w:p w14:paraId="5A28F1F6">
      <w:pPr>
        <w:pStyle w:val="7"/>
        <w:numPr>
          <w:ilvl w:val="0"/>
          <w:numId w:val="1"/>
        </w:numPr>
        <w:tabs>
          <w:tab w:val="left" w:pos="1530"/>
        </w:tabs>
        <w:spacing w:before="171" w:after="0" w:line="340" w:lineRule="auto"/>
        <w:ind w:left="651" w:right="1190" w:firstLine="640"/>
        <w:jc w:val="both"/>
        <w:rPr>
          <w:sz w:val="32"/>
        </w:rPr>
      </w:pPr>
      <w:r>
        <w:rPr>
          <w:spacing w:val="-2"/>
          <w:sz w:val="32"/>
        </w:rPr>
        <w:t>政府采购：是指各级国家机关、事业单位和团体组织，使用财政性资金采购依法制定的集中采购目录以内的或者采购限</w:t>
      </w:r>
      <w:r>
        <w:rPr>
          <w:spacing w:val="-12"/>
          <w:sz w:val="32"/>
        </w:rPr>
        <w:t>额标准以上的货物、工程和服务的行为。政府采购不仅是指具体</w:t>
      </w:r>
      <w:r>
        <w:rPr>
          <w:spacing w:val="-6"/>
          <w:sz w:val="32"/>
        </w:rPr>
        <w:t>的采购过程，而且是采购政策、采购程序、采购过程及采购管理</w:t>
      </w:r>
      <w:r>
        <w:rPr>
          <w:spacing w:val="-2"/>
          <w:sz w:val="32"/>
        </w:rPr>
        <w:t>的总称，是一种对公共采购管理的制度，是一种政府行为。</w:t>
      </w:r>
    </w:p>
    <w:p w14:paraId="6A7FBC03">
      <w:pPr>
        <w:pStyle w:val="7"/>
        <w:numPr>
          <w:ilvl w:val="0"/>
          <w:numId w:val="1"/>
        </w:numPr>
        <w:tabs>
          <w:tab w:val="left" w:pos="1530"/>
        </w:tabs>
        <w:spacing w:before="0" w:after="0" w:line="340" w:lineRule="auto"/>
        <w:ind w:left="651" w:right="1189" w:firstLine="640"/>
        <w:jc w:val="left"/>
        <w:rPr>
          <w:sz w:val="32"/>
        </w:rPr>
      </w:pPr>
      <w:r>
        <w:rPr>
          <w:spacing w:val="-2"/>
          <w:sz w:val="32"/>
        </w:rPr>
        <w:t>财政拨款（补助）收入：区级财政预算安排且当年拨付的</w:t>
      </w:r>
      <w:r>
        <w:rPr>
          <w:spacing w:val="-4"/>
          <w:sz w:val="32"/>
        </w:rPr>
        <w:t>资金。</w:t>
      </w:r>
    </w:p>
    <w:p w14:paraId="093500AD">
      <w:pPr>
        <w:pStyle w:val="7"/>
        <w:numPr>
          <w:ilvl w:val="0"/>
          <w:numId w:val="1"/>
        </w:numPr>
        <w:tabs>
          <w:tab w:val="left" w:pos="1530"/>
        </w:tabs>
        <w:spacing w:before="0" w:after="0" w:line="338" w:lineRule="auto"/>
        <w:ind w:left="651" w:right="1191" w:firstLine="640"/>
        <w:jc w:val="left"/>
        <w:rPr>
          <w:sz w:val="32"/>
        </w:rPr>
      </w:pPr>
      <w:r>
        <w:rPr>
          <w:spacing w:val="-2"/>
          <w:sz w:val="32"/>
        </w:rPr>
        <w:t>事业收入：事业单位开展专业业务活动及辅助活动取得的</w:t>
      </w:r>
      <w:r>
        <w:rPr>
          <w:spacing w:val="-4"/>
          <w:sz w:val="32"/>
        </w:rPr>
        <w:t>收入。</w:t>
      </w:r>
    </w:p>
    <w:p w14:paraId="3A37FB10">
      <w:pPr>
        <w:pStyle w:val="7"/>
        <w:numPr>
          <w:ilvl w:val="0"/>
          <w:numId w:val="1"/>
        </w:numPr>
        <w:tabs>
          <w:tab w:val="left" w:pos="1530"/>
        </w:tabs>
        <w:spacing w:before="0" w:after="0" w:line="340" w:lineRule="auto"/>
        <w:ind w:left="651" w:right="1189" w:firstLine="640"/>
        <w:jc w:val="left"/>
        <w:rPr>
          <w:sz w:val="32"/>
        </w:rPr>
      </w:pPr>
      <w:r>
        <w:rPr>
          <w:spacing w:val="-2"/>
          <w:sz w:val="32"/>
        </w:rPr>
        <w:t>事业单位经营收入：事业单位在专业业务活动及其辅助活动之外开展非独立核算经营活动取得的收入。</w:t>
      </w:r>
    </w:p>
    <w:p w14:paraId="3E21C405">
      <w:pPr>
        <w:pStyle w:val="7"/>
        <w:numPr>
          <w:ilvl w:val="0"/>
          <w:numId w:val="1"/>
        </w:numPr>
        <w:tabs>
          <w:tab w:val="left" w:pos="1531"/>
        </w:tabs>
        <w:spacing w:before="0" w:after="0" w:line="405" w:lineRule="exact"/>
        <w:ind w:left="1531" w:right="0" w:hanging="239"/>
        <w:jc w:val="left"/>
        <w:rPr>
          <w:sz w:val="32"/>
        </w:rPr>
      </w:pPr>
      <w:r>
        <w:rPr>
          <w:spacing w:val="-5"/>
          <w:sz w:val="32"/>
        </w:rPr>
        <w:t>其他收入：填列单位取得的除上述收入以外的各项收入。</w:t>
      </w:r>
    </w:p>
    <w:p w14:paraId="3DF0911E">
      <w:pPr>
        <w:pStyle w:val="2"/>
        <w:rPr>
          <w:sz w:val="34"/>
        </w:rPr>
      </w:pPr>
    </w:p>
    <w:p w14:paraId="397E83E2">
      <w:pPr>
        <w:pStyle w:val="2"/>
        <w:spacing w:before="304"/>
        <w:ind w:left="1392"/>
      </w:pPr>
      <w:r>
        <w:rPr>
          <w:spacing w:val="-9"/>
        </w:rPr>
        <w:t xml:space="preserve">第二部分 随州高新区应急管理局 </w:t>
      </w:r>
      <w:r>
        <w:rPr>
          <w:rFonts w:ascii="Times New Roman" w:eastAsia="Times New Roman"/>
          <w:spacing w:val="-2"/>
        </w:rPr>
        <w:t>2025</w:t>
      </w:r>
      <w:r>
        <w:rPr>
          <w:rFonts w:ascii="Times New Roman" w:eastAsia="Times New Roman"/>
          <w:spacing w:val="-3"/>
        </w:rPr>
        <w:t xml:space="preserve"> </w:t>
      </w:r>
      <w:r>
        <w:rPr>
          <w:spacing w:val="-3"/>
        </w:rPr>
        <w:t>年部门预算公开表</w:t>
      </w:r>
    </w:p>
    <w:p w14:paraId="0C4F5D8F">
      <w:pPr>
        <w:pStyle w:val="2"/>
        <w:rPr>
          <w:sz w:val="34"/>
        </w:rPr>
      </w:pPr>
    </w:p>
    <w:p w14:paraId="6738A672">
      <w:pPr>
        <w:pStyle w:val="2"/>
        <w:spacing w:before="6"/>
        <w:rPr>
          <w:sz w:val="24"/>
        </w:rPr>
      </w:pPr>
    </w:p>
    <w:p w14:paraId="08DE29C1">
      <w:pPr>
        <w:pStyle w:val="2"/>
        <w:spacing w:line="338" w:lineRule="auto"/>
        <w:ind w:left="651" w:right="1030" w:firstLine="640"/>
        <w:jc w:val="both"/>
      </w:pPr>
      <w:r>
        <w:t>预算公开表（</w:t>
      </w:r>
      <w:r>
        <w:rPr>
          <w:rFonts w:ascii="Times New Roman" w:hAnsi="Times New Roman" w:eastAsia="Times New Roman"/>
        </w:rPr>
        <w:t>C08</w:t>
      </w:r>
      <w:r>
        <w:rPr>
          <w:rFonts w:ascii="Times New Roman" w:hAnsi="Times New Roman" w:eastAsia="Times New Roman"/>
          <w:spacing w:val="40"/>
        </w:rPr>
        <w:t xml:space="preserve"> </w:t>
      </w:r>
      <w:r>
        <w:rPr>
          <w:spacing w:val="-7"/>
        </w:rPr>
        <w:t xml:space="preserve">随州高新区 </w:t>
      </w:r>
      <w:r>
        <w:rPr>
          <w:rFonts w:ascii="Times New Roman" w:hAnsi="Times New Roman" w:eastAsia="Times New Roman"/>
        </w:rPr>
        <w:t xml:space="preserve">2025 </w:t>
      </w:r>
      <w:r>
        <w:t>年预算公开表）可在预</w:t>
      </w:r>
      <w:r>
        <w:rPr>
          <w:spacing w:val="-11"/>
        </w:rPr>
        <w:t>算管理一体化系统中自动生成，部门汇总报表导出时需把所有二</w:t>
      </w:r>
      <w:r>
        <w:t xml:space="preserve">级单位勾选上。预算公开表共 </w:t>
      </w:r>
      <w:r>
        <w:rPr>
          <w:rFonts w:ascii="Times New Roman" w:hAnsi="Times New Roman" w:eastAsia="Times New Roman"/>
        </w:rPr>
        <w:t>10</w:t>
      </w:r>
      <w:r>
        <w:rPr>
          <w:rFonts w:ascii="Times New Roman" w:hAnsi="Times New Roman" w:eastAsia="Times New Roman"/>
          <w:spacing w:val="40"/>
        </w:rPr>
        <w:t xml:space="preserve"> </w:t>
      </w:r>
      <w:r>
        <w:t>张，包括部门收支预算总表、</w:t>
      </w:r>
      <w:r>
        <w:rPr>
          <w:spacing w:val="-2"/>
        </w:rPr>
        <w:t>部门收入总表、部门支出总表、财政拨款收支总表、一般公共预算支出表、一般公共预算基本支出表、一般公共预算</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w:t>
      </w:r>
      <w:r>
        <w:rPr>
          <w:spacing w:val="-21"/>
        </w:rPr>
        <w:t>支出表、政府性基金预算支出表、项目支出表、政府采购预算表。</w:t>
      </w:r>
    </w:p>
    <w:p w14:paraId="66B1CA01">
      <w:pPr>
        <w:spacing w:after="0" w:line="338" w:lineRule="auto"/>
        <w:jc w:val="both"/>
        <w:sectPr>
          <w:pgSz w:w="11910" w:h="16840"/>
          <w:pgMar w:top="1620" w:right="340" w:bottom="1380" w:left="880" w:header="0" w:footer="1191" w:gutter="0"/>
          <w:cols w:space="720" w:num="1"/>
        </w:sectPr>
      </w:pPr>
    </w:p>
    <w:p w14:paraId="00838771">
      <w:pPr>
        <w:pStyle w:val="2"/>
        <w:spacing w:before="31"/>
        <w:ind w:left="651"/>
      </w:pPr>
      <w:r>
        <w:rPr>
          <w:spacing w:val="-5"/>
        </w:rPr>
        <w:t>一、收入总表</w:t>
      </w:r>
    </w:p>
    <w:p w14:paraId="10495FCE">
      <w:pPr>
        <w:pStyle w:val="2"/>
        <w:rPr>
          <w:sz w:val="20"/>
        </w:rPr>
      </w:pPr>
    </w:p>
    <w:p w14:paraId="6C9C6401">
      <w:pPr>
        <w:pStyle w:val="2"/>
        <w:spacing w:before="10"/>
        <w:rPr>
          <w:sz w:val="23"/>
        </w:rPr>
      </w:pPr>
      <w:r>
        <w:drawing>
          <wp:anchor distT="0" distB="0" distL="0" distR="0" simplePos="0" relativeHeight="251661312" behindDoc="1" locked="0" layoutInCell="1" allowOverlap="1">
            <wp:simplePos x="0" y="0"/>
            <wp:positionH relativeFrom="page">
              <wp:posOffset>1019175</wp:posOffset>
            </wp:positionH>
            <wp:positionV relativeFrom="paragraph">
              <wp:posOffset>208915</wp:posOffset>
            </wp:positionV>
            <wp:extent cx="5311775" cy="7601585"/>
            <wp:effectExtent l="0" t="0" r="0" b="0"/>
            <wp:wrapTopAndBottom/>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311751" cy="7601902"/>
                    </a:xfrm>
                    <a:prstGeom prst="rect">
                      <a:avLst/>
                    </a:prstGeom>
                  </pic:spPr>
                </pic:pic>
              </a:graphicData>
            </a:graphic>
          </wp:anchor>
        </w:drawing>
      </w:r>
    </w:p>
    <w:p w14:paraId="362471F1">
      <w:pPr>
        <w:spacing w:after="0"/>
        <w:rPr>
          <w:sz w:val="23"/>
        </w:rPr>
        <w:sectPr>
          <w:footerReference r:id="rId7" w:type="default"/>
          <w:footerReference r:id="rId8" w:type="even"/>
          <w:pgSz w:w="11910" w:h="16840"/>
          <w:pgMar w:top="1660" w:right="340" w:bottom="1380" w:left="880" w:header="0" w:footer="1191" w:gutter="0"/>
          <w:pgNumType w:start="10"/>
          <w:cols w:space="720" w:num="1"/>
        </w:sectPr>
      </w:pPr>
    </w:p>
    <w:p w14:paraId="383F04BC">
      <w:pPr>
        <w:pStyle w:val="2"/>
        <w:spacing w:before="25"/>
        <w:ind w:left="651"/>
      </w:pPr>
      <w:r>
        <w:rPr>
          <w:spacing w:val="-5"/>
        </w:rPr>
        <w:t>二、部门收入总表</w:t>
      </w:r>
    </w:p>
    <w:p w14:paraId="2DFEBA6A">
      <w:pPr>
        <w:pStyle w:val="2"/>
        <w:spacing w:before="6"/>
        <w:rPr>
          <w:sz w:val="19"/>
        </w:rPr>
      </w:pPr>
      <w:r>
        <w:drawing>
          <wp:anchor distT="0" distB="0" distL="0" distR="0" simplePos="0" relativeHeight="251661312" behindDoc="1" locked="0" layoutInCell="1" allowOverlap="1">
            <wp:simplePos x="0" y="0"/>
            <wp:positionH relativeFrom="page">
              <wp:posOffset>636905</wp:posOffset>
            </wp:positionH>
            <wp:positionV relativeFrom="paragraph">
              <wp:posOffset>173990</wp:posOffset>
            </wp:positionV>
            <wp:extent cx="6405245" cy="859790"/>
            <wp:effectExtent l="0" t="0" r="0" b="0"/>
            <wp:wrapTopAndBottom/>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6404982" cy="859821"/>
                    </a:xfrm>
                    <a:prstGeom prst="rect">
                      <a:avLst/>
                    </a:prstGeom>
                  </pic:spPr>
                </pic:pic>
              </a:graphicData>
            </a:graphic>
          </wp:anchor>
        </w:drawing>
      </w:r>
    </w:p>
    <w:p w14:paraId="506A9FA5">
      <w:pPr>
        <w:pStyle w:val="2"/>
      </w:pPr>
    </w:p>
    <w:p w14:paraId="473917F2">
      <w:pPr>
        <w:pStyle w:val="2"/>
      </w:pPr>
    </w:p>
    <w:p w14:paraId="5933A522">
      <w:pPr>
        <w:pStyle w:val="2"/>
        <w:rPr>
          <w:sz w:val="38"/>
        </w:rPr>
      </w:pPr>
    </w:p>
    <w:p w14:paraId="1DDC278A">
      <w:pPr>
        <w:pStyle w:val="2"/>
        <w:spacing w:before="1"/>
        <w:ind w:left="651"/>
      </w:pPr>
      <w:r>
        <w:rPr>
          <w:spacing w:val="-5"/>
        </w:rPr>
        <w:t>三、部门支出总表</w:t>
      </w:r>
    </w:p>
    <w:p w14:paraId="49CCDD1D">
      <w:pPr>
        <w:pStyle w:val="2"/>
        <w:rPr>
          <w:sz w:val="20"/>
        </w:rPr>
      </w:pPr>
    </w:p>
    <w:p w14:paraId="2F1C4EEC">
      <w:pPr>
        <w:pStyle w:val="2"/>
        <w:spacing w:before="6"/>
        <w:rPr>
          <w:sz w:val="10"/>
        </w:rPr>
      </w:pPr>
      <w:r>
        <w:drawing>
          <wp:anchor distT="0" distB="0" distL="0" distR="0" simplePos="0" relativeHeight="251662336" behindDoc="1" locked="0" layoutInCell="1" allowOverlap="1">
            <wp:simplePos x="0" y="0"/>
            <wp:positionH relativeFrom="page">
              <wp:posOffset>624840</wp:posOffset>
            </wp:positionH>
            <wp:positionV relativeFrom="paragraph">
              <wp:posOffset>100330</wp:posOffset>
            </wp:positionV>
            <wp:extent cx="6275705" cy="1392555"/>
            <wp:effectExtent l="0" t="0" r="0" b="0"/>
            <wp:wrapTopAndBottom/>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6275599" cy="1392554"/>
                    </a:xfrm>
                    <a:prstGeom prst="rect">
                      <a:avLst/>
                    </a:prstGeom>
                  </pic:spPr>
                </pic:pic>
              </a:graphicData>
            </a:graphic>
          </wp:anchor>
        </w:drawing>
      </w:r>
    </w:p>
    <w:p w14:paraId="554C5099">
      <w:pPr>
        <w:spacing w:after="0"/>
        <w:rPr>
          <w:sz w:val="10"/>
        </w:rPr>
        <w:sectPr>
          <w:pgSz w:w="11910" w:h="16840"/>
          <w:pgMar w:top="1680" w:right="340" w:bottom="1380" w:left="880" w:header="0" w:footer="1191" w:gutter="0"/>
          <w:cols w:space="720" w:num="1"/>
        </w:sectPr>
      </w:pPr>
    </w:p>
    <w:p w14:paraId="4AA89602">
      <w:pPr>
        <w:pStyle w:val="2"/>
        <w:spacing w:before="26"/>
        <w:ind w:left="651"/>
      </w:pPr>
      <w:r>
        <w:rPr>
          <w:spacing w:val="-5"/>
        </w:rPr>
        <w:t>四、财政拨款收支总表</w:t>
      </w:r>
    </w:p>
    <w:p w14:paraId="3FBB5833">
      <w:pPr>
        <w:pStyle w:val="2"/>
        <w:rPr>
          <w:sz w:val="20"/>
        </w:rPr>
      </w:pPr>
    </w:p>
    <w:p w14:paraId="3E575C98">
      <w:pPr>
        <w:pStyle w:val="2"/>
        <w:rPr>
          <w:sz w:val="12"/>
        </w:rPr>
      </w:pPr>
      <w:r>
        <w:drawing>
          <wp:anchor distT="0" distB="0" distL="0" distR="0" simplePos="0" relativeHeight="251662336" behindDoc="1" locked="0" layoutInCell="1" allowOverlap="1">
            <wp:simplePos x="0" y="0"/>
            <wp:positionH relativeFrom="page">
              <wp:posOffset>972185</wp:posOffset>
            </wp:positionH>
            <wp:positionV relativeFrom="paragraph">
              <wp:posOffset>113030</wp:posOffset>
            </wp:positionV>
            <wp:extent cx="5666740" cy="7365365"/>
            <wp:effectExtent l="0" t="0" r="0" b="0"/>
            <wp:wrapTopAndBottom/>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5666605" cy="7365682"/>
                    </a:xfrm>
                    <a:prstGeom prst="rect">
                      <a:avLst/>
                    </a:prstGeom>
                  </pic:spPr>
                </pic:pic>
              </a:graphicData>
            </a:graphic>
          </wp:anchor>
        </w:drawing>
      </w:r>
    </w:p>
    <w:p w14:paraId="0DBBC9A7">
      <w:pPr>
        <w:spacing w:after="0"/>
        <w:rPr>
          <w:sz w:val="12"/>
        </w:rPr>
        <w:sectPr>
          <w:pgSz w:w="11910" w:h="16840"/>
          <w:pgMar w:top="1600" w:right="340" w:bottom="1380" w:left="880" w:header="0" w:footer="1191" w:gutter="0"/>
          <w:cols w:space="720" w:num="1"/>
        </w:sectPr>
      </w:pPr>
    </w:p>
    <w:p w14:paraId="45D0BEAB">
      <w:pPr>
        <w:pStyle w:val="2"/>
        <w:spacing w:before="26"/>
        <w:ind w:left="651"/>
      </w:pPr>
      <w:r>
        <w:rPr>
          <w:spacing w:val="-5"/>
        </w:rPr>
        <w:t>五、一般公共预算支出表</w:t>
      </w:r>
    </w:p>
    <w:p w14:paraId="76232629">
      <w:pPr>
        <w:pStyle w:val="2"/>
        <w:rPr>
          <w:sz w:val="20"/>
        </w:rPr>
      </w:pPr>
    </w:p>
    <w:p w14:paraId="523CB67F">
      <w:pPr>
        <w:pStyle w:val="2"/>
        <w:spacing w:before="11"/>
        <w:rPr>
          <w:sz w:val="10"/>
        </w:rPr>
      </w:pPr>
      <w:r>
        <w:drawing>
          <wp:anchor distT="0" distB="0" distL="0" distR="0" simplePos="0" relativeHeight="251663360" behindDoc="1" locked="0" layoutInCell="1" allowOverlap="1">
            <wp:simplePos x="0" y="0"/>
            <wp:positionH relativeFrom="page">
              <wp:posOffset>972185</wp:posOffset>
            </wp:positionH>
            <wp:positionV relativeFrom="paragraph">
              <wp:posOffset>103505</wp:posOffset>
            </wp:positionV>
            <wp:extent cx="5547995" cy="1686560"/>
            <wp:effectExtent l="0" t="0" r="0" b="0"/>
            <wp:wrapTopAndBottom/>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5548265" cy="1686686"/>
                    </a:xfrm>
                    <a:prstGeom prst="rect">
                      <a:avLst/>
                    </a:prstGeom>
                  </pic:spPr>
                </pic:pic>
              </a:graphicData>
            </a:graphic>
          </wp:anchor>
        </w:drawing>
      </w:r>
    </w:p>
    <w:p w14:paraId="45935E06">
      <w:pPr>
        <w:pStyle w:val="2"/>
        <w:rPr>
          <w:sz w:val="20"/>
        </w:rPr>
      </w:pPr>
    </w:p>
    <w:p w14:paraId="174D7A66">
      <w:pPr>
        <w:pStyle w:val="2"/>
        <w:spacing w:before="3"/>
        <w:rPr>
          <w:sz w:val="27"/>
        </w:rPr>
      </w:pPr>
    </w:p>
    <w:p w14:paraId="1F943909">
      <w:pPr>
        <w:pStyle w:val="2"/>
        <w:spacing w:before="54"/>
        <w:ind w:left="651"/>
      </w:pPr>
      <w:r>
        <w:rPr>
          <w:spacing w:val="-5"/>
        </w:rPr>
        <w:t>六、一般公共预算基本支出表</w:t>
      </w:r>
    </w:p>
    <w:p w14:paraId="3D18EA6F">
      <w:pPr>
        <w:pStyle w:val="2"/>
        <w:rPr>
          <w:sz w:val="20"/>
        </w:rPr>
      </w:pPr>
    </w:p>
    <w:p w14:paraId="433DE702">
      <w:pPr>
        <w:pStyle w:val="2"/>
        <w:spacing w:before="4"/>
        <w:rPr>
          <w:sz w:val="24"/>
        </w:rPr>
      </w:pPr>
      <w:r>
        <w:drawing>
          <wp:anchor distT="0" distB="0" distL="0" distR="0" simplePos="0" relativeHeight="251663360" behindDoc="1" locked="0" layoutInCell="1" allowOverlap="1">
            <wp:simplePos x="0" y="0"/>
            <wp:positionH relativeFrom="page">
              <wp:posOffset>972185</wp:posOffset>
            </wp:positionH>
            <wp:positionV relativeFrom="paragraph">
              <wp:posOffset>212725</wp:posOffset>
            </wp:positionV>
            <wp:extent cx="5547995" cy="1686560"/>
            <wp:effectExtent l="0" t="0" r="0" b="0"/>
            <wp:wrapTopAndBottom/>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5548265" cy="1686687"/>
                    </a:xfrm>
                    <a:prstGeom prst="rect">
                      <a:avLst/>
                    </a:prstGeom>
                  </pic:spPr>
                </pic:pic>
              </a:graphicData>
            </a:graphic>
          </wp:anchor>
        </w:drawing>
      </w:r>
    </w:p>
    <w:p w14:paraId="79F62CE7">
      <w:pPr>
        <w:pStyle w:val="2"/>
        <w:rPr>
          <w:sz w:val="20"/>
        </w:rPr>
      </w:pPr>
    </w:p>
    <w:p w14:paraId="6B91F103">
      <w:pPr>
        <w:pStyle w:val="2"/>
        <w:rPr>
          <w:sz w:val="20"/>
        </w:rPr>
      </w:pPr>
    </w:p>
    <w:p w14:paraId="1CD45850">
      <w:pPr>
        <w:pStyle w:val="2"/>
        <w:rPr>
          <w:sz w:val="20"/>
        </w:rPr>
      </w:pPr>
    </w:p>
    <w:p w14:paraId="4B445CC9">
      <w:pPr>
        <w:pStyle w:val="2"/>
        <w:rPr>
          <w:sz w:val="20"/>
        </w:rPr>
      </w:pPr>
    </w:p>
    <w:p w14:paraId="1C4D5621">
      <w:pPr>
        <w:pStyle w:val="2"/>
        <w:spacing w:before="225"/>
        <w:ind w:left="651"/>
      </w:pPr>
      <w:r>
        <w:rPr>
          <w:spacing w:val="-5"/>
        </w:rPr>
        <w:t>七、一般公共预算“三公”经费支出表</w:t>
      </w:r>
    </w:p>
    <w:p w14:paraId="54BF4420">
      <w:pPr>
        <w:pStyle w:val="2"/>
        <w:rPr>
          <w:sz w:val="20"/>
        </w:rPr>
      </w:pPr>
    </w:p>
    <w:p w14:paraId="36C33421">
      <w:pPr>
        <w:pStyle w:val="2"/>
        <w:spacing w:before="5"/>
        <w:rPr>
          <w:sz w:val="24"/>
        </w:rPr>
      </w:pPr>
      <w:r>
        <w:drawing>
          <wp:anchor distT="0" distB="0" distL="0" distR="0" simplePos="0" relativeHeight="251664384" behindDoc="1" locked="0" layoutInCell="1" allowOverlap="1">
            <wp:simplePos x="0" y="0"/>
            <wp:positionH relativeFrom="page">
              <wp:posOffset>1019175</wp:posOffset>
            </wp:positionH>
            <wp:positionV relativeFrom="paragraph">
              <wp:posOffset>213360</wp:posOffset>
            </wp:positionV>
            <wp:extent cx="5536565" cy="991235"/>
            <wp:effectExtent l="0" t="0" r="0" b="0"/>
            <wp:wrapTopAndBottom/>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5536726" cy="990981"/>
                    </a:xfrm>
                    <a:prstGeom prst="rect">
                      <a:avLst/>
                    </a:prstGeom>
                  </pic:spPr>
                </pic:pic>
              </a:graphicData>
            </a:graphic>
          </wp:anchor>
        </w:drawing>
      </w:r>
    </w:p>
    <w:p w14:paraId="1F0523CF">
      <w:pPr>
        <w:spacing w:after="0"/>
        <w:rPr>
          <w:sz w:val="24"/>
        </w:rPr>
        <w:sectPr>
          <w:pgSz w:w="11910" w:h="16840"/>
          <w:pgMar w:top="1600" w:right="340" w:bottom="1380" w:left="880" w:header="0" w:footer="1191" w:gutter="0"/>
          <w:cols w:space="720" w:num="1"/>
        </w:sectPr>
      </w:pPr>
    </w:p>
    <w:p w14:paraId="32AA44D0">
      <w:pPr>
        <w:pStyle w:val="2"/>
        <w:spacing w:before="26"/>
        <w:ind w:left="651"/>
      </w:pPr>
      <w:r>
        <w:rPr>
          <w:spacing w:val="-5"/>
        </w:rPr>
        <w:t>八、政府性基❹预算支出表</w:t>
      </w:r>
    </w:p>
    <w:p w14:paraId="247B5333">
      <w:pPr>
        <w:pStyle w:val="2"/>
        <w:spacing w:before="12"/>
        <w:rPr>
          <w:sz w:val="12"/>
        </w:rPr>
      </w:pPr>
      <w:r>
        <w:drawing>
          <wp:anchor distT="0" distB="0" distL="0" distR="0" simplePos="0" relativeHeight="251664384" behindDoc="1" locked="0" layoutInCell="1" allowOverlap="1">
            <wp:simplePos x="0" y="0"/>
            <wp:positionH relativeFrom="page">
              <wp:posOffset>972185</wp:posOffset>
            </wp:positionH>
            <wp:positionV relativeFrom="paragraph">
              <wp:posOffset>120650</wp:posOffset>
            </wp:positionV>
            <wp:extent cx="5506720" cy="1088390"/>
            <wp:effectExtent l="0" t="0" r="0" b="0"/>
            <wp:wrapTopAndBottom/>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5506999" cy="1088136"/>
                    </a:xfrm>
                    <a:prstGeom prst="rect">
                      <a:avLst/>
                    </a:prstGeom>
                  </pic:spPr>
                </pic:pic>
              </a:graphicData>
            </a:graphic>
          </wp:anchor>
        </w:drawing>
      </w:r>
    </w:p>
    <w:p w14:paraId="37DFE7F2">
      <w:pPr>
        <w:pStyle w:val="2"/>
        <w:spacing w:before="8"/>
        <w:rPr>
          <w:sz w:val="43"/>
        </w:rPr>
      </w:pPr>
    </w:p>
    <w:p w14:paraId="22A907CC">
      <w:pPr>
        <w:pStyle w:val="2"/>
        <w:ind w:left="651"/>
      </w:pPr>
      <w:r>
        <w:rPr>
          <w:spacing w:val="-5"/>
        </w:rPr>
        <w:t>九、项目支出表</w:t>
      </w:r>
    </w:p>
    <w:p w14:paraId="1DA89836">
      <w:pPr>
        <w:pStyle w:val="2"/>
        <w:rPr>
          <w:sz w:val="20"/>
        </w:rPr>
      </w:pPr>
    </w:p>
    <w:p w14:paraId="76C90F13">
      <w:pPr>
        <w:pStyle w:val="2"/>
        <w:spacing w:before="11"/>
        <w:rPr>
          <w:sz w:val="23"/>
        </w:rPr>
      </w:pPr>
      <w:r>
        <w:drawing>
          <wp:anchor distT="0" distB="0" distL="0" distR="0" simplePos="0" relativeHeight="251665408" behindDoc="1" locked="0" layoutInCell="1" allowOverlap="1">
            <wp:simplePos x="0" y="0"/>
            <wp:positionH relativeFrom="page">
              <wp:posOffset>972185</wp:posOffset>
            </wp:positionH>
            <wp:positionV relativeFrom="paragraph">
              <wp:posOffset>209550</wp:posOffset>
            </wp:positionV>
            <wp:extent cx="6064250" cy="1650365"/>
            <wp:effectExtent l="0" t="0" r="0" b="0"/>
            <wp:wrapTopAndBottom/>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6064098" cy="1650492"/>
                    </a:xfrm>
                    <a:prstGeom prst="rect">
                      <a:avLst/>
                    </a:prstGeom>
                  </pic:spPr>
                </pic:pic>
              </a:graphicData>
            </a:graphic>
          </wp:anchor>
        </w:drawing>
      </w:r>
    </w:p>
    <w:p w14:paraId="74396320">
      <w:pPr>
        <w:pStyle w:val="2"/>
        <w:rPr>
          <w:sz w:val="20"/>
        </w:rPr>
      </w:pPr>
    </w:p>
    <w:p w14:paraId="0A86C397">
      <w:pPr>
        <w:pStyle w:val="2"/>
        <w:rPr>
          <w:sz w:val="20"/>
        </w:rPr>
      </w:pPr>
    </w:p>
    <w:p w14:paraId="21469B79">
      <w:pPr>
        <w:pStyle w:val="2"/>
        <w:rPr>
          <w:sz w:val="20"/>
        </w:rPr>
      </w:pPr>
    </w:p>
    <w:p w14:paraId="2C749DEF">
      <w:pPr>
        <w:pStyle w:val="2"/>
        <w:rPr>
          <w:sz w:val="20"/>
        </w:rPr>
      </w:pPr>
    </w:p>
    <w:p w14:paraId="2472CEEA">
      <w:pPr>
        <w:pStyle w:val="2"/>
        <w:rPr>
          <w:sz w:val="20"/>
        </w:rPr>
      </w:pPr>
    </w:p>
    <w:p w14:paraId="31214968">
      <w:pPr>
        <w:pStyle w:val="2"/>
        <w:rPr>
          <w:sz w:val="20"/>
        </w:rPr>
      </w:pPr>
    </w:p>
    <w:p w14:paraId="38E7D923">
      <w:pPr>
        <w:pStyle w:val="2"/>
        <w:rPr>
          <w:sz w:val="20"/>
        </w:rPr>
      </w:pPr>
    </w:p>
    <w:p w14:paraId="5FE5A32E">
      <w:pPr>
        <w:pStyle w:val="2"/>
        <w:spacing w:before="198"/>
        <w:ind w:left="651"/>
      </w:pPr>
      <w:r>
        <w:rPr>
          <w:spacing w:val="-5"/>
        </w:rPr>
        <w:t>十、政府采购预算表</w:t>
      </w:r>
    </w:p>
    <w:p w14:paraId="14C66E56">
      <w:pPr>
        <w:pStyle w:val="2"/>
        <w:rPr>
          <w:sz w:val="20"/>
        </w:rPr>
      </w:pPr>
    </w:p>
    <w:p w14:paraId="5E1AC5DD">
      <w:pPr>
        <w:pStyle w:val="2"/>
        <w:spacing w:before="12"/>
        <w:rPr>
          <w:sz w:val="13"/>
        </w:rPr>
      </w:pPr>
      <w:r>
        <w:drawing>
          <wp:anchor distT="0" distB="0" distL="0" distR="0" simplePos="0" relativeHeight="251665408" behindDoc="1" locked="0" layoutInCell="1" allowOverlap="1">
            <wp:simplePos x="0" y="0"/>
            <wp:positionH relativeFrom="page">
              <wp:posOffset>972185</wp:posOffset>
            </wp:positionH>
            <wp:positionV relativeFrom="paragraph">
              <wp:posOffset>128270</wp:posOffset>
            </wp:positionV>
            <wp:extent cx="6283960" cy="989965"/>
            <wp:effectExtent l="0" t="0" r="0" b="0"/>
            <wp:wrapTopAndBottom/>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6283944" cy="990123"/>
                    </a:xfrm>
                    <a:prstGeom prst="rect">
                      <a:avLst/>
                    </a:prstGeom>
                  </pic:spPr>
                </pic:pic>
              </a:graphicData>
            </a:graphic>
          </wp:anchor>
        </w:drawing>
      </w:r>
    </w:p>
    <w:sectPr>
      <w:pgSz w:w="11910" w:h="16840"/>
      <w:pgMar w:top="1600" w:right="340" w:bottom="1380" w:left="880" w:header="0" w:footer="119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DFA8F">
    <w:pPr>
      <w:pStyle w:val="2"/>
      <w:spacing w:line="14" w:lineRule="auto"/>
      <w:rPr>
        <w:sz w:val="20"/>
      </w:rPr>
    </w:pPr>
    <w:r>
      <mc:AlternateContent>
        <mc:Choice Requires="wps">
          <w:drawing>
            <wp:anchor distT="0" distB="0" distL="0" distR="0" simplePos="0" relativeHeight="251659264" behindDoc="1" locked="0" layoutInCell="1" allowOverlap="1">
              <wp:simplePos x="0" y="0"/>
              <wp:positionH relativeFrom="page">
                <wp:posOffset>5970270</wp:posOffset>
              </wp:positionH>
              <wp:positionV relativeFrom="page">
                <wp:posOffset>9796145</wp:posOffset>
              </wp:positionV>
              <wp:extent cx="4826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482600" cy="194310"/>
                      </a:xfrm>
                      <a:prstGeom prst="rect">
                        <a:avLst/>
                      </a:prstGeom>
                    </wps:spPr>
                    <wps:txbx>
                      <w:txbxContent>
                        <w:p w14:paraId="4E745817">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1" o:spid="_x0000_s1026" o:spt="202" type="#_x0000_t202" style="position:absolute;left:0pt;margin-left:470.1pt;margin-top:771.35pt;height:15.3pt;width:38pt;mso-position-horizontal-relative:page;mso-position-vertical-relative:page;z-index:-251657216;mso-width-relative:page;mso-height-relative:page;" filled="f" stroked="f" coordsize="21600,21600" o:gfxdata="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hk7rtoAAAAOAQAADwAAAAAAAAABACAAAAAiAAAAZHJzL2Rvd25yZXYueG1sUEsBAhQAFAAAAAgA&#10;h07iQDMsJCOxAQAAcwMAAA4AAAAAAAAAAQAgAAAAKQEAAGRycy9lMm9Eb2MueG1sUEsFBgAAAAAG&#10;AAYAWQEAAEwFAAAAAA==&#10;">
              <v:fill on="f" focussize="0,0"/>
              <v:stroke on="f"/>
              <v:imagedata o:title=""/>
              <o:lock v:ext="edit" aspectratio="f"/>
              <v:textbox inset="0mm,0mm,0mm,0mm">
                <w:txbxContent>
                  <w:p w14:paraId="4E745817">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513FA">
    <w:pPr>
      <w:pStyle w:val="2"/>
      <w:spacing w:line="14" w:lineRule="auto"/>
      <w:rPr>
        <w:sz w:val="20"/>
      </w:rPr>
    </w:pPr>
    <w:r>
      <mc:AlternateContent>
        <mc:Choice Requires="wps">
          <w:drawing>
            <wp:anchor distT="0" distB="0" distL="0" distR="0" simplePos="0" relativeHeight="251659264" behindDoc="1" locked="0" layoutInCell="1" allowOverlap="1">
              <wp:simplePos x="0" y="0"/>
              <wp:positionH relativeFrom="page">
                <wp:posOffset>959485</wp:posOffset>
              </wp:positionH>
              <wp:positionV relativeFrom="page">
                <wp:posOffset>9796145</wp:posOffset>
              </wp:positionV>
              <wp:extent cx="4826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482600" cy="194310"/>
                      </a:xfrm>
                      <a:prstGeom prst="rect">
                        <a:avLst/>
                      </a:prstGeom>
                    </wps:spPr>
                    <wps:txbx>
                      <w:txbxContent>
                        <w:p w14:paraId="514C51AE">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2" o:spid="_x0000_s1026" o:spt="202" type="#_x0000_t202" style="position:absolute;left:0pt;margin-left:75.55pt;margin-top:771.35pt;height:15.3pt;width:38pt;mso-position-horizontal-relative:page;mso-position-vertical-relative:page;z-index:-251657216;mso-width-relative:page;mso-height-relative:page;" filled="f" stroked="f" coordsize="21600,21600" o:gfxdata="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dia5toAAAANAQAADwAAAAAAAAABACAAAAAiAAAAZHJzL2Rvd25yZXYueG1sUEsBAhQAFAAAAAgA&#10;h07iQJvHIp+xAQAAcwMAAA4AAAAAAAAAAQAgAAAAKQEAAGRycy9lMm9Eb2MueG1sUEsFBgAAAAAG&#10;AAYAWQEAAEwFAAAAAA==&#10;">
              <v:fill on="f" focussize="0,0"/>
              <v:stroke on="f"/>
              <v:imagedata o:title=""/>
              <o:lock v:ext="edit" aspectratio="f"/>
              <v:textbox inset="0mm,0mm,0mm,0mm">
                <w:txbxContent>
                  <w:p w14:paraId="514C51AE">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3A1DB">
    <w:pPr>
      <w:pStyle w:val="2"/>
      <w:spacing w:line="14" w:lineRule="auto"/>
      <w:rPr>
        <w:sz w:val="20"/>
      </w:rPr>
    </w:pPr>
    <w:r>
      <mc:AlternateContent>
        <mc:Choice Requires="wps">
          <w:drawing>
            <wp:anchor distT="0" distB="0" distL="0" distR="0" simplePos="0" relativeHeight="251660288" behindDoc="1" locked="0" layoutInCell="1" allowOverlap="1">
              <wp:simplePos x="0" y="0"/>
              <wp:positionH relativeFrom="page">
                <wp:posOffset>5970270</wp:posOffset>
              </wp:positionH>
              <wp:positionV relativeFrom="page">
                <wp:posOffset>9796145</wp:posOffset>
              </wp:positionV>
              <wp:extent cx="553085" cy="194310"/>
              <wp:effectExtent l="0" t="0" r="0" b="0"/>
              <wp:wrapNone/>
              <wp:docPr id="4" name="Textbox 4"/>
              <wp:cNvGraphicFramePr/>
              <a:graphic xmlns:a="http://schemas.openxmlformats.org/drawingml/2006/main">
                <a:graphicData uri="http://schemas.microsoft.com/office/word/2010/wordprocessingShape">
                  <wps:wsp>
                    <wps:cNvSpPr txBox="1"/>
                    <wps:spPr>
                      <a:xfrm>
                        <a:off x="0" y="0"/>
                        <a:ext cx="553085" cy="194310"/>
                      </a:xfrm>
                      <a:prstGeom prst="rect">
                        <a:avLst/>
                      </a:prstGeom>
                    </wps:spPr>
                    <wps:txbx>
                      <w:txbxContent>
                        <w:p w14:paraId="3607BE07">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pacing w:val="-5"/>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4" o:spid="_x0000_s1026" o:spt="202" type="#_x0000_t202" style="position:absolute;left:0pt;margin-left:470.1pt;margin-top:771.35pt;height:15.3pt;width:43.55pt;mso-position-horizontal-relative:page;mso-position-vertical-relative:page;z-index:-251656192;mso-width-relative:page;mso-height-relative:page;" filled="f" stroked="f" coordsize="21600,21600" o:gfxdata="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VRp04tsAAAAOAQAADwAAAAAAAAABACAAAAAiAAAAZHJzL2Rvd25yZXYueG1sUEsBAhQAFAAA&#10;AAgAh07iQFAMTHGzAQAAcwMAAA4AAAAAAAAAAQAgAAAAKgEAAGRycy9lMm9Eb2MueG1sUEsFBgAA&#10;AAAGAAYAWQEAAE8FAAAAAA==&#10;">
              <v:fill on="f" focussize="0,0"/>
              <v:stroke on="f"/>
              <v:imagedata o:title=""/>
              <o:lock v:ext="edit" aspectratio="f"/>
              <v:textbox inset="0mm,0mm,0mm,0mm">
                <w:txbxContent>
                  <w:p w14:paraId="3607BE07">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pacing w:val="-5"/>
                        <w:sz w:val="24"/>
                      </w:rPr>
                      <w:t xml:space="preserve"> </w:t>
                    </w:r>
                    <w:r>
                      <w:rPr>
                        <w:rFonts w:ascii="Times New Roman" w:hAnsi="Times New Roman"/>
                        <w:spacing w:val="-10"/>
                        <w:sz w:val="24"/>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FF050">
    <w:pPr>
      <w:pStyle w:val="2"/>
      <w:spacing w:line="14" w:lineRule="auto"/>
      <w:rPr>
        <w:sz w:val="20"/>
      </w:rPr>
    </w:pPr>
    <w:r>
      <mc:AlternateContent>
        <mc:Choice Requires="wps">
          <w:drawing>
            <wp:anchor distT="0" distB="0" distL="0" distR="0" simplePos="0" relativeHeight="251660288" behindDoc="1" locked="0" layoutInCell="1" allowOverlap="1">
              <wp:simplePos x="0" y="0"/>
              <wp:positionH relativeFrom="page">
                <wp:posOffset>959485</wp:posOffset>
              </wp:positionH>
              <wp:positionV relativeFrom="page">
                <wp:posOffset>9796145</wp:posOffset>
              </wp:positionV>
              <wp:extent cx="558800" cy="194310"/>
              <wp:effectExtent l="0" t="0" r="0" b="0"/>
              <wp:wrapNone/>
              <wp:docPr id="3" name="Textbox 3"/>
              <wp:cNvGraphicFramePr/>
              <a:graphic xmlns:a="http://schemas.openxmlformats.org/drawingml/2006/main">
                <a:graphicData uri="http://schemas.microsoft.com/office/word/2010/wordprocessingShape">
                  <wps:wsp>
                    <wps:cNvSpPr txBox="1"/>
                    <wps:spPr>
                      <a:xfrm>
                        <a:off x="0" y="0"/>
                        <a:ext cx="558800" cy="194310"/>
                      </a:xfrm>
                      <a:prstGeom prst="rect">
                        <a:avLst/>
                      </a:prstGeom>
                    </wps:spPr>
                    <wps:txbx>
                      <w:txbxContent>
                        <w:p w14:paraId="597AA9B9">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3" o:spid="_x0000_s1026" o:spt="202" type="#_x0000_t202" style="position:absolute;left:0pt;margin-left:75.55pt;margin-top:771.35pt;height:15.3pt;width:44pt;mso-position-horizontal-relative:page;mso-position-vertical-relative:page;z-index:-251656192;mso-width-relative:page;mso-height-relative:page;" filled="f" stroked="f" coordsize="21600,21600" o:gfxdata="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FkSVnaAAAADQEAAA8AAAAAAAAAAQAgAAAAIgAAAGRycy9kb3ducmV2LnhtbFBLAQIUABQAAAAI&#10;AIdO4kAzoya0sgEAAHMDAAAOAAAAAAAAAAEAIAAAACkBAABkcnMvZTJvRG9jLnhtbFBLBQYAAAAA&#10;BgAGAFkBAABNBQAAAAA=&#10;">
              <v:fill on="f" focussize="0,0"/>
              <v:stroke on="f"/>
              <v:imagedata o:title=""/>
              <o:lock v:ext="edit" aspectratio="f"/>
              <v:textbox inset="0mm,0mm,0mm,0mm">
                <w:txbxContent>
                  <w:p w14:paraId="597AA9B9">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651" w:hanging="242"/>
        <w:jc w:val="left"/>
      </w:pPr>
      <w:rPr>
        <w:rFonts w:hint="default" w:ascii="Times New Roman" w:hAnsi="Times New Roman" w:eastAsia="Times New Roman" w:cs="Times New Roman"/>
        <w:b w:val="0"/>
        <w:bCs w:val="0"/>
        <w:i w:val="0"/>
        <w:iCs w:val="0"/>
        <w:spacing w:val="-1"/>
        <w:w w:val="97"/>
        <w:sz w:val="30"/>
        <w:szCs w:val="30"/>
        <w:lang w:val="en-US" w:eastAsia="zh-CN" w:bidi="ar-SA"/>
      </w:rPr>
    </w:lvl>
    <w:lvl w:ilvl="1" w:tentative="0">
      <w:start w:val="0"/>
      <w:numFmt w:val="bullet"/>
      <w:lvlText w:val="•"/>
      <w:lvlJc w:val="left"/>
      <w:pPr>
        <w:ind w:left="1662" w:hanging="242"/>
      </w:pPr>
      <w:rPr>
        <w:rFonts w:hint="default"/>
        <w:lang w:val="en-US" w:eastAsia="zh-CN" w:bidi="ar-SA"/>
      </w:rPr>
    </w:lvl>
    <w:lvl w:ilvl="2" w:tentative="0">
      <w:start w:val="0"/>
      <w:numFmt w:val="bullet"/>
      <w:lvlText w:val="•"/>
      <w:lvlJc w:val="left"/>
      <w:pPr>
        <w:ind w:left="2665" w:hanging="242"/>
      </w:pPr>
      <w:rPr>
        <w:rFonts w:hint="default"/>
        <w:lang w:val="en-US" w:eastAsia="zh-CN" w:bidi="ar-SA"/>
      </w:rPr>
    </w:lvl>
    <w:lvl w:ilvl="3" w:tentative="0">
      <w:start w:val="0"/>
      <w:numFmt w:val="bullet"/>
      <w:lvlText w:val="•"/>
      <w:lvlJc w:val="left"/>
      <w:pPr>
        <w:ind w:left="3667" w:hanging="242"/>
      </w:pPr>
      <w:rPr>
        <w:rFonts w:hint="default"/>
        <w:lang w:val="en-US" w:eastAsia="zh-CN" w:bidi="ar-SA"/>
      </w:rPr>
    </w:lvl>
    <w:lvl w:ilvl="4" w:tentative="0">
      <w:start w:val="0"/>
      <w:numFmt w:val="bullet"/>
      <w:lvlText w:val="•"/>
      <w:lvlJc w:val="left"/>
      <w:pPr>
        <w:ind w:left="4670" w:hanging="242"/>
      </w:pPr>
      <w:rPr>
        <w:rFonts w:hint="default"/>
        <w:lang w:val="en-US" w:eastAsia="zh-CN" w:bidi="ar-SA"/>
      </w:rPr>
    </w:lvl>
    <w:lvl w:ilvl="5" w:tentative="0">
      <w:start w:val="0"/>
      <w:numFmt w:val="bullet"/>
      <w:lvlText w:val="•"/>
      <w:lvlJc w:val="left"/>
      <w:pPr>
        <w:ind w:left="5673" w:hanging="242"/>
      </w:pPr>
      <w:rPr>
        <w:rFonts w:hint="default"/>
        <w:lang w:val="en-US" w:eastAsia="zh-CN" w:bidi="ar-SA"/>
      </w:rPr>
    </w:lvl>
    <w:lvl w:ilvl="6" w:tentative="0">
      <w:start w:val="0"/>
      <w:numFmt w:val="bullet"/>
      <w:lvlText w:val="•"/>
      <w:lvlJc w:val="left"/>
      <w:pPr>
        <w:ind w:left="6675" w:hanging="242"/>
      </w:pPr>
      <w:rPr>
        <w:rFonts w:hint="default"/>
        <w:lang w:val="en-US" w:eastAsia="zh-CN" w:bidi="ar-SA"/>
      </w:rPr>
    </w:lvl>
    <w:lvl w:ilvl="7" w:tentative="0">
      <w:start w:val="0"/>
      <w:numFmt w:val="bullet"/>
      <w:lvlText w:val="•"/>
      <w:lvlJc w:val="left"/>
      <w:pPr>
        <w:ind w:left="7678" w:hanging="242"/>
      </w:pPr>
      <w:rPr>
        <w:rFonts w:hint="default"/>
        <w:lang w:val="en-US" w:eastAsia="zh-CN" w:bidi="ar-SA"/>
      </w:rPr>
    </w:lvl>
    <w:lvl w:ilvl="8" w:tentative="0">
      <w:start w:val="0"/>
      <w:numFmt w:val="bullet"/>
      <w:lvlText w:val="•"/>
      <w:lvlJc w:val="left"/>
      <w:pPr>
        <w:ind w:left="8680" w:hanging="242"/>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evenAndOddHeaders w:val="1"/>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0FA46A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lang w:val="en-US" w:eastAsia="zh-CN" w:bidi="ar-SA"/>
    </w:rPr>
  </w:style>
  <w:style w:type="paragraph" w:styleId="3">
    <w:name w:val="Title"/>
    <w:basedOn w:val="1"/>
    <w:qFormat/>
    <w:uiPriority w:val="1"/>
    <w:pPr>
      <w:ind w:right="537"/>
      <w:jc w:val="center"/>
    </w:pPr>
    <w:rPr>
      <w:rFonts w:ascii="宋体" w:hAnsi="宋体" w:eastAsia="宋体" w:cs="宋体"/>
      <w:sz w:val="40"/>
      <w:szCs w:val="40"/>
      <w:lang w:val="en-US" w:eastAsia="zh-CN" w:bidi="ar-SA"/>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651" w:right="1189" w:firstLine="640"/>
    </w:pPr>
    <w:rPr>
      <w:rFonts w:ascii="宋体" w:hAnsi="宋体" w:eastAsia="宋体" w:cs="宋体"/>
      <w:lang w:val="en-US" w:eastAsia="zh-CN" w:bidi="ar-SA"/>
    </w:rPr>
  </w:style>
  <w:style w:type="paragraph" w:customStyle="1" w:styleId="8">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3615</Words>
  <Characters>3734</Characters>
  <TotalTime>2</TotalTime>
  <ScaleCrop>false</ScaleCrop>
  <LinksUpToDate>false</LinksUpToDate>
  <CharactersWithSpaces>3836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2026-10-12T07:50:00Z</dcterms:created>
  <dc:creator>微软用户</dc:creator>
  <cp:lastModifiedBy>丽丽</cp:lastModifiedBy>
  <dcterms:modified xsi:type="dcterms:W3CDTF">2026-10-12T07:56:44Z</dcterms:modified>
  <dc:title>市财政局关于下达2010年市直部门预算的通知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2025-02-28T00:00:00Z</vt:filetime>
  </property>
  <property fmtid="{D5CDD505-2E9C-101B-9397-08002B2CF9AE}" pid="3" name="Creator">
    <vt:lpwstr>WPS 文字</vt:lpwstr>
  </property>
  <property fmtid="{D5CDD505-2E9C-101B-9397-08002B2CF9AE}" pid="4" name="LastSaved">
    <vt:filetime>2026-10-12T00:00:00Z</vt:filetime>
  </property>
  <property fmtid="{D5CDD505-2E9C-101B-9397-08002B2CF9AE}" pid="5" name="SourceModified">
    <vt:lpwstr>D:20250228172612+08'00'</vt:lpwstr>
  </property>
  <property fmtid="{D5CDD505-2E9C-101B-9397-08002B2CF9AE}" pid="6" name="KSOTemplateDocerSaveRecord">
    <vt:lpwstr>eyJoZGlkIjoiMzYyYWJlNGVjOTlhNWNkZDc5OTVlMTI3YjViMTA1NjMiLCJ1c2VySWQiOiI5NDU5NTAwMTgifQ==</vt:lpwstr>
  </property>
  <property fmtid="{D5CDD505-2E9C-101B-9397-08002B2CF9AE}" pid="7" name="KSOProductBuildVer">
    <vt:lpwstr>2052-12.1.0.28505</vt:lpwstr>
  </property>
  <property fmtid="{D5CDD505-2E9C-101B-9397-08002B2CF9AE}" pid="8" name="ICV">
    <vt:lpwstr>F6453CFF567F40CE8BB15A2706A55D0B_12</vt:lpwstr>
  </property>
</Properties>
</file>