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159812">
      <w:pPr>
        <w:pStyle w:val="4"/>
        <w:spacing w:before="142" w:line="290" w:lineRule="auto"/>
        <w:ind w:left="473" w:right="628"/>
      </w:pPr>
      <w:bookmarkStart w:id="0" w:name="_GoBack"/>
      <w:r>
        <w:rPr>
          <w:spacing w:val="-2"/>
        </w:rPr>
        <w:t>随州高新技术产业开发区自然资源和规划建设</w:t>
      </w:r>
      <w:r>
        <w:rPr>
          <w:spacing w:val="-8"/>
        </w:rPr>
        <w:t xml:space="preserve">中心 </w:t>
      </w:r>
      <w:r>
        <w:t>2025</w:t>
      </w:r>
      <w:r>
        <w:rPr>
          <w:spacing w:val="-5"/>
        </w:rPr>
        <w:t xml:space="preserve"> 年部门预算</w:t>
      </w:r>
    </w:p>
    <w:bookmarkEnd w:id="0"/>
    <w:p w14:paraId="55771790">
      <w:pPr>
        <w:pStyle w:val="3"/>
        <w:spacing w:before="4"/>
        <w:ind w:left="0"/>
        <w:rPr>
          <w:sz w:val="48"/>
        </w:rPr>
      </w:pPr>
    </w:p>
    <w:p w14:paraId="026F3B7C">
      <w:pPr>
        <w:pStyle w:val="4"/>
        <w:tabs>
          <w:tab w:val="left" w:pos="998"/>
        </w:tabs>
      </w:pPr>
      <w:r>
        <w:rPr>
          <w:spacing w:val="-10"/>
        </w:rPr>
        <w:t>目</w:t>
      </w:r>
      <w:r>
        <w:tab/>
      </w:r>
      <w:r>
        <w:rPr>
          <w:spacing w:val="-10"/>
        </w:rPr>
        <w:t>录</w:t>
      </w:r>
    </w:p>
    <w:p w14:paraId="78A01558">
      <w:pPr>
        <w:pStyle w:val="3"/>
        <w:ind w:left="0"/>
        <w:rPr>
          <w:sz w:val="40"/>
        </w:rPr>
      </w:pPr>
    </w:p>
    <w:p w14:paraId="0BD84422">
      <w:pPr>
        <w:pStyle w:val="3"/>
        <w:spacing w:before="295" w:line="362" w:lineRule="auto"/>
        <w:ind w:right="266" w:firstLine="640"/>
      </w:pPr>
      <w:r>
        <w:t>第一部分 随州高新技术产业开发区自然资源和规划建设</w:t>
      </w:r>
      <w:r>
        <w:rPr>
          <w:spacing w:val="-2"/>
        </w:rPr>
        <w:t>中心预算公开情况说明</w:t>
      </w:r>
    </w:p>
    <w:p w14:paraId="09CB1303">
      <w:pPr>
        <w:pStyle w:val="3"/>
        <w:spacing w:before="3" w:line="362" w:lineRule="auto"/>
        <w:ind w:left="2083" w:right="3180"/>
      </w:pPr>
      <w:r>
        <w:rPr>
          <w:spacing w:val="-2"/>
        </w:rPr>
        <w:t>一、部门（单位）主要职责二、机构设置情况</w:t>
      </w:r>
    </w:p>
    <w:p w14:paraId="386F535C">
      <w:pPr>
        <w:pStyle w:val="3"/>
        <w:spacing w:line="364" w:lineRule="auto"/>
        <w:ind w:left="2083" w:right="2861"/>
      </w:pPr>
      <w:r>
        <w:rPr>
          <w:spacing w:val="-2"/>
        </w:rPr>
        <w:t>三、预算收支及增减变化情况四、机关运行经费安排情况</w:t>
      </w:r>
    </w:p>
    <w:p w14:paraId="46FCCC5D">
      <w:pPr>
        <w:pStyle w:val="3"/>
        <w:spacing w:line="362" w:lineRule="auto"/>
        <w:ind w:left="2083" w:right="655"/>
      </w:pPr>
      <w:r>
        <w:rPr>
          <w:spacing w:val="-2"/>
        </w:rPr>
        <w:t>五、一般公共预算</w:t>
      </w:r>
      <w:r>
        <w:rPr>
          <w:rFonts w:ascii="Times New Roman" w:hAnsi="Times New Roman" w:eastAsia="Times New Roman"/>
          <w:spacing w:val="-2"/>
        </w:rPr>
        <w:t>“</w:t>
      </w:r>
      <w:r>
        <w:rPr>
          <w:spacing w:val="-2"/>
        </w:rPr>
        <w:t>三公</w:t>
      </w:r>
      <w:r>
        <w:rPr>
          <w:rFonts w:ascii="Times New Roman" w:hAnsi="Times New Roman" w:eastAsia="Times New Roman"/>
          <w:spacing w:val="-2"/>
        </w:rPr>
        <w:t>”</w:t>
      </w:r>
      <w:r>
        <w:rPr>
          <w:spacing w:val="-2"/>
        </w:rPr>
        <w:t>经费及增减变化情况六、政府采购预算安排情况</w:t>
      </w:r>
    </w:p>
    <w:p w14:paraId="14EC9802">
      <w:pPr>
        <w:pStyle w:val="3"/>
        <w:ind w:left="2083"/>
      </w:pPr>
      <w:r>
        <w:rPr>
          <w:spacing w:val="-5"/>
        </w:rPr>
        <w:t>七、国有资产占用情况</w:t>
      </w:r>
    </w:p>
    <w:p w14:paraId="03E810CE">
      <w:pPr>
        <w:pStyle w:val="3"/>
        <w:spacing w:before="206" w:line="362" w:lineRule="auto"/>
        <w:ind w:left="2083" w:right="3180"/>
      </w:pPr>
      <w:r>
        <w:rPr>
          <w:spacing w:val="-2"/>
        </w:rPr>
        <w:t>八、重点项目预算绩效情况九、其他情况说明</w:t>
      </w:r>
    </w:p>
    <w:p w14:paraId="2EDD0E0F">
      <w:pPr>
        <w:pStyle w:val="3"/>
        <w:spacing w:before="3"/>
        <w:ind w:left="2083"/>
      </w:pPr>
      <w:r>
        <w:rPr>
          <w:spacing w:val="-5"/>
        </w:rPr>
        <w:t>十、专业名词解释</w:t>
      </w:r>
    </w:p>
    <w:p w14:paraId="11DBF090">
      <w:pPr>
        <w:pStyle w:val="3"/>
        <w:spacing w:before="209" w:line="362" w:lineRule="auto"/>
        <w:ind w:right="266" w:firstLine="640"/>
      </w:pPr>
      <w:r>
        <w:t>第二部分 随州高新技术产业开发区自然资源和规划建设</w:t>
      </w:r>
      <w:r>
        <w:rPr>
          <w:spacing w:val="-7"/>
        </w:rPr>
        <w:t xml:space="preserve">中心 </w:t>
      </w:r>
      <w:r>
        <w:rPr>
          <w:rFonts w:ascii="Times New Roman" w:eastAsia="Times New Roman"/>
        </w:rPr>
        <w:t xml:space="preserve">2025 </w:t>
      </w:r>
      <w:r>
        <w:t>年部门预算公开表</w:t>
      </w:r>
    </w:p>
    <w:p w14:paraId="71711ACB">
      <w:pPr>
        <w:pStyle w:val="3"/>
        <w:spacing w:before="3"/>
        <w:ind w:left="2062"/>
      </w:pPr>
      <w:r>
        <w:rPr>
          <w:spacing w:val="-5"/>
        </w:rPr>
        <w:t>一、部门收支预算总表</w:t>
      </w:r>
    </w:p>
    <w:p w14:paraId="0757A11E">
      <w:pPr>
        <w:pStyle w:val="3"/>
        <w:spacing w:before="209"/>
        <w:ind w:left="2062"/>
      </w:pPr>
      <w:r>
        <w:rPr>
          <w:spacing w:val="-5"/>
        </w:rPr>
        <w:t>二、部门收入总表</w:t>
      </w:r>
    </w:p>
    <w:p w14:paraId="09B27608">
      <w:pPr>
        <w:spacing w:after="0"/>
        <w:sectPr>
          <w:footerReference r:id="rId5" w:type="default"/>
          <w:footerReference r:id="rId6" w:type="even"/>
          <w:type w:val="continuous"/>
          <w:pgSz w:w="11910" w:h="16840"/>
          <w:pgMar w:top="1920" w:right="1320" w:bottom="1720" w:left="1480" w:header="0" w:footer="1532" w:gutter="0"/>
          <w:pgNumType w:start="1"/>
          <w:cols w:space="720" w:num="1"/>
        </w:sectPr>
      </w:pPr>
    </w:p>
    <w:p w14:paraId="2C24A2C2">
      <w:pPr>
        <w:pStyle w:val="3"/>
        <w:spacing w:before="1"/>
        <w:ind w:left="0"/>
        <w:rPr>
          <w:sz w:val="13"/>
        </w:rPr>
      </w:pPr>
    </w:p>
    <w:p w14:paraId="56DE4F74">
      <w:pPr>
        <w:pStyle w:val="3"/>
        <w:spacing w:before="54"/>
        <w:ind w:left="2062"/>
      </w:pPr>
      <w:r>
        <w:rPr>
          <w:spacing w:val="-5"/>
        </w:rPr>
        <w:t>三、部门支出总表</w:t>
      </w:r>
    </w:p>
    <w:p w14:paraId="1BCEFE6A">
      <w:pPr>
        <w:pStyle w:val="3"/>
        <w:spacing w:before="212" w:line="362" w:lineRule="auto"/>
        <w:ind w:left="2062" w:right="3523"/>
      </w:pPr>
      <w:r>
        <w:rPr>
          <w:spacing w:val="-2"/>
        </w:rPr>
        <w:t>四、财政拨款收支总表 五、一般公共预算支出表</w:t>
      </w:r>
    </w:p>
    <w:p w14:paraId="69438C1B">
      <w:pPr>
        <w:pStyle w:val="3"/>
        <w:ind w:left="2062"/>
      </w:pPr>
      <w:r>
        <w:rPr>
          <w:spacing w:val="-5"/>
        </w:rPr>
        <w:t>六、一般公共预算基本支出表</w:t>
      </w:r>
    </w:p>
    <w:p w14:paraId="3D691927">
      <w:pPr>
        <w:pStyle w:val="3"/>
        <w:spacing w:before="212" w:line="362" w:lineRule="auto"/>
        <w:ind w:left="2062" w:right="1961"/>
      </w:pPr>
      <w:r>
        <w:rPr>
          <w:spacing w:val="-2"/>
        </w:rPr>
        <w:t>七、一般公共预算</w:t>
      </w:r>
      <w:r>
        <w:rPr>
          <w:rFonts w:ascii="Times New Roman" w:hAnsi="Times New Roman" w:eastAsia="Times New Roman"/>
          <w:spacing w:val="-2"/>
        </w:rPr>
        <w:t>“</w:t>
      </w:r>
      <w:r>
        <w:rPr>
          <w:spacing w:val="-2"/>
        </w:rPr>
        <w:t>三公</w:t>
      </w:r>
      <w:r>
        <w:rPr>
          <w:rFonts w:ascii="Times New Roman" w:hAnsi="Times New Roman" w:eastAsia="Times New Roman"/>
          <w:spacing w:val="-2"/>
        </w:rPr>
        <w:t>”</w:t>
      </w:r>
      <w:r>
        <w:rPr>
          <w:spacing w:val="-2"/>
        </w:rPr>
        <w:t>经费支出表八、政府性基金预算支出表</w:t>
      </w:r>
    </w:p>
    <w:p w14:paraId="368437DF">
      <w:pPr>
        <w:pStyle w:val="3"/>
        <w:ind w:left="2062"/>
      </w:pPr>
      <w:r>
        <w:rPr>
          <w:spacing w:val="-5"/>
        </w:rPr>
        <w:t>九、项目支出表</w:t>
      </w:r>
    </w:p>
    <w:p w14:paraId="778C4260">
      <w:pPr>
        <w:pStyle w:val="3"/>
        <w:spacing w:before="212"/>
        <w:ind w:left="2062"/>
      </w:pPr>
      <w:r>
        <w:rPr>
          <w:spacing w:val="-5"/>
        </w:rPr>
        <w:t>十、政府采购预算表</w:t>
      </w:r>
    </w:p>
    <w:p w14:paraId="7119220C">
      <w:pPr>
        <w:spacing w:after="0"/>
        <w:sectPr>
          <w:pgSz w:w="11910" w:h="16840"/>
          <w:pgMar w:top="1920" w:right="1320" w:bottom="1720" w:left="1480" w:header="0" w:footer="1532" w:gutter="0"/>
          <w:cols w:space="720" w:num="1"/>
        </w:sectPr>
      </w:pPr>
    </w:p>
    <w:p w14:paraId="54162A85">
      <w:pPr>
        <w:pStyle w:val="3"/>
        <w:spacing w:before="1"/>
        <w:ind w:left="0"/>
        <w:rPr>
          <w:sz w:val="13"/>
        </w:rPr>
      </w:pPr>
    </w:p>
    <w:p w14:paraId="3724F976">
      <w:pPr>
        <w:pStyle w:val="3"/>
        <w:spacing w:before="54" w:line="364" w:lineRule="auto"/>
        <w:ind w:left="1707" w:right="358" w:hanging="1601"/>
      </w:pPr>
      <w:r>
        <w:t>第一部分 随州高新技术产业开发区自然资源和规划建设中心</w:t>
      </w:r>
      <w:r>
        <w:rPr>
          <w:spacing w:val="-2"/>
        </w:rPr>
        <w:t>预算公开情况说明</w:t>
      </w:r>
    </w:p>
    <w:p w14:paraId="0A40656E">
      <w:pPr>
        <w:pStyle w:val="3"/>
        <w:spacing w:before="4"/>
        <w:ind w:left="0"/>
        <w:rPr>
          <w:sz w:val="24"/>
        </w:rPr>
      </w:pPr>
    </w:p>
    <w:p w14:paraId="224CF42E">
      <w:pPr>
        <w:pStyle w:val="3"/>
        <w:ind w:left="747"/>
      </w:pPr>
      <w:r>
        <w:rPr>
          <w:spacing w:val="-4"/>
        </w:rPr>
        <w:t>一、部门（单位）</w:t>
      </w:r>
      <w:r>
        <w:rPr>
          <w:spacing w:val="-6"/>
        </w:rPr>
        <w:t>主要职责</w:t>
      </w:r>
    </w:p>
    <w:p w14:paraId="2AC0402A">
      <w:pPr>
        <w:pStyle w:val="3"/>
        <w:spacing w:before="212" w:line="362" w:lineRule="auto"/>
        <w:ind w:right="266" w:firstLine="640"/>
        <w:jc w:val="both"/>
      </w:pPr>
      <w:r>
        <w:rPr>
          <w:spacing w:val="-2"/>
        </w:rPr>
        <w:t>宣传、贯彻、执行国家、省、市和高新区有关自然资源、城乡规划、测绘、建设等法律法规和方针政策。拟订辖区范围内自然资源和规划建设年度计划并组织实施。承担辖区范围内国土空间规划、城乡规划等专项规划组织协调工作；参与辖区范围内自然资源统一确权登记工作；参与辖区范围内建设用地的审核报批、国土空间用途管制等工作；承担建设项目的工程规划事务性工作。贯彻落实耕地保护政策；参与辖区范围内国土空间生态修复等工作。参与辖区范围内矿产资源监督保护等工作；参与辖区自然资源和规划建设领域违法案件的监督检查和依法认定工作；承担辖区地质灾害预防和治理工作；参与自然资源督察工作。承担辖区范围内的测绘和建设项目事务性工作。承担辖区范围内自然资源和规划建设领域科技工程及创新能力建设。完成上级交办的其他工作。</w:t>
      </w:r>
    </w:p>
    <w:p w14:paraId="4C6A72EB">
      <w:pPr>
        <w:pStyle w:val="3"/>
        <w:spacing w:before="11"/>
        <w:ind w:left="747"/>
      </w:pPr>
      <w:r>
        <w:rPr>
          <w:spacing w:val="-5"/>
        </w:rPr>
        <w:t>二、机构设置情况</w:t>
      </w:r>
    </w:p>
    <w:p w14:paraId="36EA5054">
      <w:pPr>
        <w:pStyle w:val="3"/>
        <w:spacing w:before="209" w:line="362" w:lineRule="auto"/>
        <w:ind w:right="266" w:firstLine="640"/>
        <w:jc w:val="both"/>
      </w:pPr>
      <w:r>
        <w:rPr>
          <w:spacing w:val="-8"/>
        </w:rPr>
        <w:t xml:space="preserve">我中心于 </w:t>
      </w:r>
      <w:r>
        <w:rPr>
          <w:rFonts w:ascii="Times New Roman" w:eastAsia="Times New Roman"/>
        </w:rPr>
        <w:t>2022</w:t>
      </w:r>
      <w:r>
        <w:rPr>
          <w:rFonts w:ascii="Times New Roman" w:eastAsia="Times New Roman"/>
          <w:spacing w:val="-20"/>
        </w:rPr>
        <w:t xml:space="preserve"> </w:t>
      </w:r>
      <w:r>
        <w:rPr>
          <w:spacing w:val="-20"/>
        </w:rPr>
        <w:t xml:space="preserve">年 </w:t>
      </w:r>
      <w:r>
        <w:rPr>
          <w:rFonts w:ascii="Times New Roman" w:eastAsia="Times New Roman"/>
        </w:rPr>
        <w:t>04</w:t>
      </w:r>
      <w:r>
        <w:rPr>
          <w:rFonts w:ascii="Times New Roman" w:eastAsia="Times New Roman"/>
          <w:spacing w:val="-3"/>
        </w:rPr>
        <w:t xml:space="preserve"> </w:t>
      </w:r>
      <w:r>
        <w:t>月成立，是中共随州市委随州高新技</w:t>
      </w:r>
      <w:r>
        <w:rPr>
          <w:spacing w:val="-2"/>
        </w:rPr>
        <w:t>术产业开发区工作委员会、随州高新技术产业开发区管理委员</w:t>
      </w:r>
      <w:r>
        <w:rPr>
          <w:spacing w:val="-1"/>
        </w:rPr>
        <w:t>会所属公益一类事业单位，副处级。法人代表：尹兵，单位地</w:t>
      </w:r>
    </w:p>
    <w:p w14:paraId="79A56958">
      <w:pPr>
        <w:spacing w:after="0" w:line="362" w:lineRule="auto"/>
        <w:jc w:val="both"/>
        <w:sectPr>
          <w:pgSz w:w="11910" w:h="16840"/>
          <w:pgMar w:top="1920" w:right="1320" w:bottom="1720" w:left="1480" w:header="0" w:footer="1532" w:gutter="0"/>
          <w:cols w:space="720" w:num="1"/>
        </w:sectPr>
      </w:pPr>
    </w:p>
    <w:p w14:paraId="585ED65A">
      <w:pPr>
        <w:pStyle w:val="3"/>
        <w:spacing w:before="4"/>
        <w:ind w:left="0"/>
        <w:rPr>
          <w:sz w:val="12"/>
        </w:rPr>
      </w:pPr>
    </w:p>
    <w:p w14:paraId="491B0CD8">
      <w:pPr>
        <w:pStyle w:val="3"/>
        <w:spacing w:before="64" w:line="362" w:lineRule="auto"/>
        <w:ind w:right="198"/>
        <w:jc w:val="both"/>
      </w:pPr>
      <w:r>
        <w:rPr>
          <w:spacing w:val="-6"/>
        </w:rPr>
        <w:t xml:space="preserve">址：随州市交通大道 </w:t>
      </w:r>
      <w:r>
        <w:rPr>
          <w:rFonts w:ascii="Times New Roman" w:eastAsia="Times New Roman"/>
          <w:spacing w:val="-2"/>
        </w:rPr>
        <w:t>11</w:t>
      </w:r>
      <w:r>
        <w:rPr>
          <w:rFonts w:ascii="Times New Roman" w:eastAsia="Times New Roman"/>
          <w:spacing w:val="-18"/>
        </w:rPr>
        <w:t xml:space="preserve"> </w:t>
      </w:r>
      <w:r>
        <w:rPr>
          <w:spacing w:val="-2"/>
        </w:rPr>
        <w:t>号。内设办公室、政策法规监督与调查监测科、国土空间规划与用途管制科、自然资源开发利用与矿</w:t>
      </w:r>
      <w:r>
        <w:rPr>
          <w:spacing w:val="-6"/>
        </w:rPr>
        <w:t xml:space="preserve">产资源科、建设工程与测绘地理信息科，核定事业编制 </w:t>
      </w:r>
      <w:r>
        <w:rPr>
          <w:rFonts w:ascii="Times New Roman" w:eastAsia="Times New Roman"/>
          <w:spacing w:val="-2"/>
        </w:rPr>
        <w:t>25</w:t>
      </w:r>
      <w:r>
        <w:rPr>
          <w:rFonts w:ascii="Times New Roman" w:eastAsia="Times New Roman"/>
          <w:spacing w:val="-13"/>
        </w:rPr>
        <w:t xml:space="preserve"> </w:t>
      </w:r>
      <w:r>
        <w:rPr>
          <w:spacing w:val="-6"/>
        </w:rPr>
        <w:t>名，</w:t>
      </w:r>
    </w:p>
    <w:p w14:paraId="400C78B8">
      <w:pPr>
        <w:pStyle w:val="3"/>
        <w:spacing w:before="3"/>
        <w:jc w:val="both"/>
      </w:pPr>
      <w:r>
        <w:rPr>
          <w:spacing w:val="-14"/>
        </w:rPr>
        <w:t xml:space="preserve">实有在编人员 </w:t>
      </w:r>
      <w:r>
        <w:rPr>
          <w:rFonts w:ascii="Times New Roman" w:eastAsia="Times New Roman"/>
          <w:spacing w:val="-2"/>
        </w:rPr>
        <w:t>30</w:t>
      </w:r>
      <w:r>
        <w:rPr>
          <w:rFonts w:ascii="Times New Roman" w:eastAsia="Times New Roman"/>
          <w:spacing w:val="-8"/>
        </w:rPr>
        <w:t xml:space="preserve"> </w:t>
      </w:r>
      <w:r>
        <w:rPr>
          <w:spacing w:val="-11"/>
        </w:rPr>
        <w:t xml:space="preserve">人，以钱养事人员 </w:t>
      </w:r>
      <w:r>
        <w:rPr>
          <w:rFonts w:ascii="Times New Roman" w:eastAsia="Times New Roman"/>
          <w:spacing w:val="-2"/>
        </w:rPr>
        <w:t xml:space="preserve">2 </w:t>
      </w:r>
      <w:r>
        <w:rPr>
          <w:spacing w:val="-11"/>
        </w:rPr>
        <w:t xml:space="preserve">人，劳务派遣人员 </w:t>
      </w:r>
      <w:r>
        <w:rPr>
          <w:rFonts w:ascii="Times New Roman" w:eastAsia="Times New Roman"/>
          <w:spacing w:val="-2"/>
        </w:rPr>
        <w:t>8</w:t>
      </w:r>
      <w:r>
        <w:rPr>
          <w:rFonts w:ascii="Times New Roman" w:eastAsia="Times New Roman"/>
          <w:spacing w:val="-1"/>
        </w:rPr>
        <w:t xml:space="preserve"> </w:t>
      </w:r>
      <w:r>
        <w:rPr>
          <w:spacing w:val="-6"/>
        </w:rPr>
        <w:t>人。</w:t>
      </w:r>
    </w:p>
    <w:p w14:paraId="0553F7A2">
      <w:pPr>
        <w:pStyle w:val="3"/>
        <w:spacing w:before="211"/>
        <w:ind w:left="747"/>
      </w:pPr>
      <w:r>
        <w:rPr>
          <w:spacing w:val="-5"/>
        </w:rPr>
        <w:t>三、预算收支及增减变化情况</w:t>
      </w:r>
    </w:p>
    <w:p w14:paraId="2507E5CE">
      <w:pPr>
        <w:pStyle w:val="2"/>
        <w:spacing w:before="104"/>
      </w:pPr>
      <w:r>
        <w:rPr>
          <w:spacing w:val="-2"/>
        </w:rPr>
        <w:t>（一）</w:t>
      </w:r>
      <w:r>
        <w:rPr>
          <w:spacing w:val="-4"/>
        </w:rPr>
        <w:t>收入预算情况</w:t>
      </w:r>
    </w:p>
    <w:p w14:paraId="61EA92E6">
      <w:pPr>
        <w:pStyle w:val="3"/>
        <w:spacing w:before="74"/>
        <w:ind w:left="747"/>
      </w:pPr>
      <w:r>
        <w:rPr>
          <w:spacing w:val="13"/>
        </w:rPr>
        <w:t xml:space="preserve">收入总计 </w:t>
      </w:r>
      <w:r>
        <w:t>2696.61</w:t>
      </w:r>
      <w:r>
        <w:rPr>
          <w:spacing w:val="12"/>
        </w:rPr>
        <w:t xml:space="preserve"> 万元， 其中一般公共预算拨款收入</w:t>
      </w:r>
    </w:p>
    <w:p w14:paraId="540BB627">
      <w:pPr>
        <w:pStyle w:val="3"/>
        <w:spacing w:before="226"/>
      </w:pPr>
      <w:r>
        <w:rPr>
          <w:spacing w:val="-4"/>
        </w:rPr>
        <w:t>668.61</w:t>
      </w:r>
      <w:r>
        <w:rPr>
          <w:spacing w:val="-19"/>
        </w:rPr>
        <w:t xml:space="preserve"> 万元，政府性基金预算拨款收入 </w:t>
      </w:r>
      <w:r>
        <w:rPr>
          <w:spacing w:val="-4"/>
        </w:rPr>
        <w:t>2028.0</w:t>
      </w:r>
      <w:r>
        <w:rPr>
          <w:spacing w:val="-24"/>
        </w:rPr>
        <w:t xml:space="preserve"> 万元。上年收入</w:t>
      </w:r>
    </w:p>
    <w:p w14:paraId="22BE3EE6">
      <w:pPr>
        <w:pStyle w:val="3"/>
        <w:spacing w:before="226" w:line="372" w:lineRule="auto"/>
        <w:ind w:right="266"/>
        <w:jc w:val="both"/>
      </w:pPr>
      <w:r>
        <w:rPr>
          <w:spacing w:val="-15"/>
        </w:rPr>
        <w:t xml:space="preserve">总计 </w:t>
      </w:r>
      <w:r>
        <w:rPr>
          <w:spacing w:val="-8"/>
        </w:rPr>
        <w:t>2486.42</w:t>
      </w:r>
      <w:r>
        <w:rPr>
          <w:spacing w:val="-15"/>
        </w:rPr>
        <w:t xml:space="preserve"> 万元，同比增加 </w:t>
      </w:r>
      <w:r>
        <w:rPr>
          <w:spacing w:val="-8"/>
        </w:rPr>
        <w:t>210.19</w:t>
      </w:r>
      <w:r>
        <w:rPr>
          <w:spacing w:val="-15"/>
        </w:rPr>
        <w:t xml:space="preserve"> 万元，同比增加 </w:t>
      </w:r>
      <w:r>
        <w:rPr>
          <w:spacing w:val="-8"/>
        </w:rPr>
        <w:t>8.45%，</w:t>
      </w:r>
      <w:r>
        <w:rPr>
          <w:spacing w:val="-2"/>
        </w:rPr>
        <w:t>增长原因为政府性基金预算拨款收入增加。</w:t>
      </w:r>
    </w:p>
    <w:p w14:paraId="3689CA8D">
      <w:pPr>
        <w:pStyle w:val="2"/>
        <w:spacing w:line="546" w:lineRule="exact"/>
      </w:pPr>
      <w:r>
        <w:rPr>
          <w:spacing w:val="-2"/>
        </w:rPr>
        <w:t>（二）</w:t>
      </w:r>
      <w:r>
        <w:rPr>
          <w:spacing w:val="-4"/>
        </w:rPr>
        <w:t>支出预算情况</w:t>
      </w:r>
    </w:p>
    <w:p w14:paraId="5D75A1F2">
      <w:pPr>
        <w:pStyle w:val="3"/>
        <w:spacing w:before="74" w:line="372" w:lineRule="auto"/>
        <w:ind w:right="266" w:firstLine="640"/>
      </w:pPr>
      <w:r>
        <w:rPr>
          <w:spacing w:val="-13"/>
        </w:rPr>
        <w:t xml:space="preserve">支出总计 </w:t>
      </w:r>
      <w:r>
        <w:t>2696.61</w:t>
      </w:r>
      <w:r>
        <w:rPr>
          <w:spacing w:val="-23"/>
        </w:rPr>
        <w:t xml:space="preserve"> 万元</w:t>
      </w:r>
      <w:r>
        <w:t>（</w:t>
      </w:r>
      <w:r>
        <w:rPr>
          <w:spacing w:val="-10"/>
        </w:rPr>
        <w:t xml:space="preserve">上年支出总计 </w:t>
      </w:r>
      <w:r>
        <w:t>2486.42</w:t>
      </w:r>
      <w:r>
        <w:rPr>
          <w:spacing w:val="-14"/>
        </w:rPr>
        <w:t xml:space="preserve"> 万元，同</w:t>
      </w:r>
      <w:r>
        <w:rPr>
          <w:spacing w:val="-11"/>
        </w:rPr>
        <w:t xml:space="preserve">比增加 </w:t>
      </w:r>
      <w:r>
        <w:t>210.19</w:t>
      </w:r>
      <w:r>
        <w:rPr>
          <w:spacing w:val="-7"/>
        </w:rPr>
        <w:t xml:space="preserve"> 万元，同比增加 </w:t>
      </w:r>
      <w:r>
        <w:t>8.45%）。</w:t>
      </w:r>
    </w:p>
    <w:p w14:paraId="6210A3F7">
      <w:pPr>
        <w:pStyle w:val="3"/>
        <w:spacing w:before="1"/>
        <w:ind w:left="747"/>
      </w:pPr>
      <w:r>
        <w:rPr>
          <w:spacing w:val="-5"/>
        </w:rPr>
        <w:t>按照支出功能分类科目，主要用于：</w:t>
      </w:r>
    </w:p>
    <w:p w14:paraId="4140A27C">
      <w:pPr>
        <w:pStyle w:val="8"/>
        <w:numPr>
          <w:ilvl w:val="0"/>
          <w:numId w:val="1"/>
        </w:numPr>
        <w:tabs>
          <w:tab w:val="left" w:pos="1064"/>
        </w:tabs>
        <w:spacing w:before="226" w:after="0" w:line="372" w:lineRule="auto"/>
        <w:ind w:left="106" w:right="266" w:firstLine="640"/>
        <w:jc w:val="left"/>
        <w:rPr>
          <w:sz w:val="32"/>
        </w:rPr>
      </w:pPr>
      <w:r>
        <w:rPr>
          <w:spacing w:val="-4"/>
          <w:sz w:val="32"/>
        </w:rPr>
        <w:t>社会保障和就业（类）97.42</w:t>
      </w:r>
      <w:r>
        <w:rPr>
          <w:spacing w:val="-16"/>
          <w:sz w:val="32"/>
        </w:rPr>
        <w:t xml:space="preserve"> 万元：主要用于行政事业单</w:t>
      </w:r>
      <w:r>
        <w:rPr>
          <w:spacing w:val="-2"/>
          <w:sz w:val="32"/>
        </w:rPr>
        <w:t>位养老支出及其他社会保障和就业支出。</w:t>
      </w:r>
    </w:p>
    <w:p w14:paraId="396372F2">
      <w:pPr>
        <w:pStyle w:val="8"/>
        <w:numPr>
          <w:ilvl w:val="0"/>
          <w:numId w:val="1"/>
        </w:numPr>
        <w:tabs>
          <w:tab w:val="left" w:pos="1064"/>
        </w:tabs>
        <w:spacing w:before="1" w:after="0" w:line="372" w:lineRule="auto"/>
        <w:ind w:left="106" w:right="266" w:firstLine="640"/>
        <w:jc w:val="left"/>
        <w:rPr>
          <w:sz w:val="32"/>
        </w:rPr>
      </w:pPr>
      <w:r>
        <w:rPr>
          <w:spacing w:val="-6"/>
          <w:sz w:val="32"/>
        </w:rPr>
        <w:t>卫生健康支出（类）26.02</w:t>
      </w:r>
      <w:r>
        <w:rPr>
          <w:spacing w:val="-15"/>
          <w:sz w:val="32"/>
        </w:rPr>
        <w:t xml:space="preserve"> 万元：主要用于政府医疗卫生</w:t>
      </w:r>
      <w:r>
        <w:rPr>
          <w:spacing w:val="-2"/>
          <w:sz w:val="32"/>
        </w:rPr>
        <w:t>与计划生育方面的支出。</w:t>
      </w:r>
    </w:p>
    <w:p w14:paraId="0D0D37B0">
      <w:pPr>
        <w:pStyle w:val="8"/>
        <w:numPr>
          <w:ilvl w:val="0"/>
          <w:numId w:val="1"/>
        </w:numPr>
        <w:tabs>
          <w:tab w:val="left" w:pos="1064"/>
        </w:tabs>
        <w:spacing w:before="1" w:after="0" w:line="372" w:lineRule="auto"/>
        <w:ind w:left="106" w:right="266" w:firstLine="640"/>
        <w:jc w:val="left"/>
        <w:rPr>
          <w:sz w:val="32"/>
        </w:rPr>
      </w:pPr>
      <w:r>
        <w:rPr>
          <w:sz w:val="32"/>
        </w:rPr>
        <w:t>城乡社区支出（类）2028.0</w:t>
      </w:r>
      <w:r>
        <w:rPr>
          <w:spacing w:val="-10"/>
          <w:sz w:val="32"/>
        </w:rPr>
        <w:t xml:space="preserve"> 万元：主要用于城乡社区建</w:t>
      </w:r>
      <w:r>
        <w:rPr>
          <w:spacing w:val="-4"/>
          <w:sz w:val="32"/>
        </w:rPr>
        <w:t>设支出。</w:t>
      </w:r>
    </w:p>
    <w:p w14:paraId="34141888">
      <w:pPr>
        <w:spacing w:after="0" w:line="372" w:lineRule="auto"/>
        <w:jc w:val="left"/>
        <w:rPr>
          <w:sz w:val="32"/>
        </w:rPr>
        <w:sectPr>
          <w:pgSz w:w="11910" w:h="16840"/>
          <w:pgMar w:top="1920" w:right="1320" w:bottom="1720" w:left="1480" w:header="0" w:footer="1532" w:gutter="0"/>
          <w:cols w:space="720" w:num="1"/>
        </w:sectPr>
      </w:pPr>
    </w:p>
    <w:p w14:paraId="3DC41DEB">
      <w:pPr>
        <w:pStyle w:val="3"/>
        <w:spacing w:before="3"/>
        <w:ind w:left="0"/>
        <w:rPr>
          <w:sz w:val="8"/>
        </w:rPr>
      </w:pPr>
    </w:p>
    <w:p w14:paraId="2C42A7B8">
      <w:pPr>
        <w:pStyle w:val="8"/>
        <w:numPr>
          <w:ilvl w:val="0"/>
          <w:numId w:val="1"/>
        </w:numPr>
        <w:tabs>
          <w:tab w:val="left" w:pos="1064"/>
        </w:tabs>
        <w:spacing w:before="54" w:after="0" w:line="372" w:lineRule="auto"/>
        <w:ind w:left="106" w:right="266" w:firstLine="640"/>
        <w:jc w:val="both"/>
        <w:rPr>
          <w:sz w:val="32"/>
        </w:rPr>
      </w:pPr>
      <w:r>
        <w:rPr>
          <w:spacing w:val="-2"/>
          <w:sz w:val="32"/>
        </w:rPr>
        <w:t>自然资源海洋气象等支出（类）499.65</w:t>
      </w:r>
      <w:r>
        <w:rPr>
          <w:spacing w:val="-8"/>
          <w:sz w:val="32"/>
        </w:rPr>
        <w:t xml:space="preserve"> 万元：主要用于</w:t>
      </w:r>
      <w:r>
        <w:rPr>
          <w:spacing w:val="-2"/>
          <w:sz w:val="32"/>
        </w:rPr>
        <w:t>事业单位基本支出。</w:t>
      </w:r>
    </w:p>
    <w:p w14:paraId="4BEDC4AC">
      <w:pPr>
        <w:pStyle w:val="8"/>
        <w:numPr>
          <w:ilvl w:val="0"/>
          <w:numId w:val="1"/>
        </w:numPr>
        <w:tabs>
          <w:tab w:val="left" w:pos="1064"/>
        </w:tabs>
        <w:spacing w:before="1" w:after="0" w:line="372" w:lineRule="auto"/>
        <w:ind w:left="106" w:right="266" w:firstLine="640"/>
        <w:jc w:val="both"/>
        <w:rPr>
          <w:sz w:val="32"/>
        </w:rPr>
      </w:pPr>
      <w:r>
        <w:rPr>
          <w:spacing w:val="-8"/>
          <w:sz w:val="32"/>
        </w:rPr>
        <w:t>住房保障支出（类）45.51</w:t>
      </w:r>
      <w:r>
        <w:rPr>
          <w:spacing w:val="-13"/>
          <w:sz w:val="32"/>
        </w:rPr>
        <w:t xml:space="preserve"> 万元：主要用于按照国家政策</w:t>
      </w:r>
      <w:r>
        <w:rPr>
          <w:spacing w:val="-2"/>
          <w:sz w:val="32"/>
        </w:rPr>
        <w:t>规定向职工发放的住房公积金、提租补贴、购房补贴等住房改革方面的支出。</w:t>
      </w:r>
    </w:p>
    <w:p w14:paraId="7C921603">
      <w:pPr>
        <w:pStyle w:val="3"/>
        <w:spacing w:before="1"/>
        <w:ind w:left="747"/>
      </w:pPr>
      <w:r>
        <w:rPr>
          <w:spacing w:val="-5"/>
        </w:rPr>
        <w:t>按照支出经济分类科目，主要用于：</w:t>
      </w:r>
    </w:p>
    <w:p w14:paraId="0D3BAD0A">
      <w:pPr>
        <w:pStyle w:val="8"/>
        <w:numPr>
          <w:ilvl w:val="0"/>
          <w:numId w:val="2"/>
        </w:numPr>
        <w:tabs>
          <w:tab w:val="left" w:pos="1064"/>
        </w:tabs>
        <w:spacing w:before="226" w:after="0" w:line="372" w:lineRule="auto"/>
        <w:ind w:left="106" w:right="264" w:firstLine="640"/>
        <w:jc w:val="both"/>
        <w:rPr>
          <w:sz w:val="32"/>
        </w:rPr>
      </w:pPr>
      <w:r>
        <w:rPr>
          <w:spacing w:val="-10"/>
          <w:sz w:val="32"/>
        </w:rPr>
        <w:t xml:space="preserve">工资福利支出 </w:t>
      </w:r>
      <w:r>
        <w:rPr>
          <w:spacing w:val="-6"/>
          <w:sz w:val="32"/>
        </w:rPr>
        <w:t>604.27</w:t>
      </w:r>
      <w:r>
        <w:rPr>
          <w:spacing w:val="-12"/>
          <w:sz w:val="32"/>
        </w:rPr>
        <w:t xml:space="preserve"> 万元：主要用于基本工资、津贴补</w:t>
      </w:r>
      <w:r>
        <w:rPr>
          <w:spacing w:val="-2"/>
          <w:sz w:val="32"/>
        </w:rPr>
        <w:t>贴、奖金、绩效工资、职工基本养老保险缴费、其他社会保障</w:t>
      </w:r>
      <w:r>
        <w:rPr>
          <w:sz w:val="32"/>
        </w:rPr>
        <w:t>缴费、住房公积金和其他工资福利支出等。（</w:t>
      </w:r>
      <w:r>
        <w:rPr>
          <w:spacing w:val="-16"/>
          <w:sz w:val="32"/>
        </w:rPr>
        <w:t xml:space="preserve">基本工资 </w:t>
      </w:r>
      <w:r>
        <w:rPr>
          <w:sz w:val="32"/>
        </w:rPr>
        <w:t>139.59</w:t>
      </w:r>
    </w:p>
    <w:p w14:paraId="7CE5CDE2">
      <w:pPr>
        <w:pStyle w:val="3"/>
        <w:spacing w:before="2"/>
        <w:jc w:val="both"/>
      </w:pPr>
      <w:r>
        <w:rPr>
          <w:spacing w:val="-14"/>
        </w:rPr>
        <w:t xml:space="preserve">万、津贴补贴 </w:t>
      </w:r>
      <w:r>
        <w:rPr>
          <w:spacing w:val="-2"/>
        </w:rPr>
        <w:t>21.58</w:t>
      </w:r>
      <w:r>
        <w:rPr>
          <w:spacing w:val="-29"/>
        </w:rPr>
        <w:t xml:space="preserve"> 万、奖金 </w:t>
      </w:r>
      <w:r>
        <w:rPr>
          <w:spacing w:val="-2"/>
        </w:rPr>
        <w:t>146.45</w:t>
      </w:r>
      <w:r>
        <w:rPr>
          <w:spacing w:val="-23"/>
        </w:rPr>
        <w:t xml:space="preserve"> 万、绩效工资 </w:t>
      </w:r>
      <w:r>
        <w:rPr>
          <w:spacing w:val="-2"/>
        </w:rPr>
        <w:t>59.77</w:t>
      </w:r>
      <w:r>
        <w:rPr>
          <w:spacing w:val="-32"/>
        </w:rPr>
        <w:t xml:space="preserve"> 万、</w:t>
      </w:r>
    </w:p>
    <w:p w14:paraId="7688623B">
      <w:pPr>
        <w:pStyle w:val="3"/>
        <w:spacing w:before="226"/>
        <w:jc w:val="both"/>
      </w:pPr>
      <w:r>
        <w:rPr>
          <w:spacing w:val="-9"/>
        </w:rPr>
        <w:t xml:space="preserve">机关事业单位基本养老保险缴费 </w:t>
      </w:r>
      <w:r>
        <w:rPr>
          <w:spacing w:val="-4"/>
        </w:rPr>
        <w:t>52.77</w:t>
      </w:r>
      <w:r>
        <w:rPr>
          <w:spacing w:val="-32"/>
        </w:rPr>
        <w:t xml:space="preserve"> 万、职业年金缴费 </w:t>
      </w:r>
      <w:r>
        <w:rPr>
          <w:spacing w:val="-4"/>
        </w:rPr>
        <w:t>26.39</w:t>
      </w:r>
    </w:p>
    <w:p w14:paraId="05ABDE1D">
      <w:pPr>
        <w:pStyle w:val="3"/>
        <w:spacing w:before="226"/>
        <w:jc w:val="both"/>
      </w:pPr>
      <w:r>
        <w:rPr>
          <w:spacing w:val="-9"/>
        </w:rPr>
        <w:t xml:space="preserve">万、职工基本医疗保险缴费 </w:t>
      </w:r>
      <w:r>
        <w:rPr>
          <w:spacing w:val="-4"/>
        </w:rPr>
        <w:t>20</w:t>
      </w:r>
      <w:r>
        <w:rPr>
          <w:spacing w:val="-18"/>
        </w:rPr>
        <w:t xml:space="preserve"> 万、其他社会保障缴费 </w:t>
      </w:r>
      <w:r>
        <w:rPr>
          <w:spacing w:val="-4"/>
        </w:rPr>
        <w:t>6.7</w:t>
      </w:r>
      <w:r>
        <w:rPr>
          <w:spacing w:val="-28"/>
        </w:rPr>
        <w:t xml:space="preserve"> 万、</w:t>
      </w:r>
    </w:p>
    <w:p w14:paraId="2B9852BD">
      <w:pPr>
        <w:pStyle w:val="3"/>
        <w:spacing w:before="226"/>
      </w:pPr>
      <w:r>
        <w:rPr>
          <w:spacing w:val="-15"/>
        </w:rPr>
        <w:t xml:space="preserve">住房公积金 </w:t>
      </w:r>
      <w:r>
        <w:rPr>
          <w:spacing w:val="-4"/>
        </w:rPr>
        <w:t>45.51</w:t>
      </w:r>
      <w:r>
        <w:rPr>
          <w:spacing w:val="-18"/>
        </w:rPr>
        <w:t xml:space="preserve"> 万、其他工资福利支出 </w:t>
      </w:r>
      <w:r>
        <w:rPr>
          <w:spacing w:val="-4"/>
        </w:rPr>
        <w:t>85.5</w:t>
      </w:r>
      <w:r>
        <w:rPr>
          <w:spacing w:val="-37"/>
        </w:rPr>
        <w:t xml:space="preserve"> 万</w:t>
      </w:r>
      <w:r>
        <w:rPr>
          <w:spacing w:val="-10"/>
        </w:rPr>
        <w:t>）</w:t>
      </w:r>
    </w:p>
    <w:p w14:paraId="640CDECF">
      <w:pPr>
        <w:pStyle w:val="8"/>
        <w:numPr>
          <w:ilvl w:val="0"/>
          <w:numId w:val="2"/>
        </w:numPr>
        <w:tabs>
          <w:tab w:val="left" w:pos="1069"/>
        </w:tabs>
        <w:spacing w:before="226" w:after="0" w:line="372" w:lineRule="auto"/>
        <w:ind w:left="106" w:right="105" w:firstLine="640"/>
        <w:jc w:val="left"/>
        <w:rPr>
          <w:sz w:val="32"/>
        </w:rPr>
      </w:pPr>
      <w:r>
        <w:rPr>
          <w:spacing w:val="-2"/>
          <w:sz w:val="32"/>
        </w:rPr>
        <w:t xml:space="preserve">商品和服务支出 </w:t>
      </w:r>
      <w:r>
        <w:rPr>
          <w:sz w:val="32"/>
        </w:rPr>
        <w:t>43.76</w:t>
      </w:r>
      <w:r>
        <w:rPr>
          <w:spacing w:val="-4"/>
          <w:sz w:val="32"/>
        </w:rPr>
        <w:t xml:space="preserve"> 万元：主要用于单位人员日常公用经费、办公用房租金、其他交通费用及其他商品和服务支出。</w:t>
      </w:r>
    </w:p>
    <w:p w14:paraId="0F370660">
      <w:pPr>
        <w:pStyle w:val="3"/>
        <w:spacing w:before="1"/>
      </w:pPr>
      <w:r>
        <w:t>（</w:t>
      </w:r>
      <w:r>
        <w:rPr>
          <w:spacing w:val="-16"/>
        </w:rPr>
        <w:t xml:space="preserve">办公费 </w:t>
      </w:r>
      <w:r>
        <w:t>12.99</w:t>
      </w:r>
      <w:r>
        <w:rPr>
          <w:spacing w:val="-24"/>
        </w:rPr>
        <w:t xml:space="preserve"> 万、电费 </w:t>
      </w:r>
      <w:r>
        <w:t>3</w:t>
      </w:r>
      <w:r>
        <w:rPr>
          <w:spacing w:val="-20"/>
        </w:rPr>
        <w:t xml:space="preserve"> 万、差旅费 </w:t>
      </w:r>
      <w:r>
        <w:t>1</w:t>
      </w:r>
      <w:r>
        <w:rPr>
          <w:spacing w:val="-14"/>
        </w:rPr>
        <w:t xml:space="preserve"> 万、维修</w:t>
      </w:r>
      <w:r>
        <w:t>（护）</w:t>
      </w:r>
      <w:r>
        <w:rPr>
          <w:spacing w:val="-32"/>
        </w:rPr>
        <w:t xml:space="preserve">费 </w:t>
      </w:r>
      <w:r>
        <w:rPr>
          <w:spacing w:val="-10"/>
        </w:rPr>
        <w:t>2</w:t>
      </w:r>
    </w:p>
    <w:p w14:paraId="06A09C5A">
      <w:pPr>
        <w:pStyle w:val="3"/>
        <w:spacing w:before="226"/>
      </w:pPr>
      <w:r>
        <w:rPr>
          <w:spacing w:val="-10"/>
        </w:rPr>
        <w:t xml:space="preserve">万、公务接待费 </w:t>
      </w:r>
      <w:r>
        <w:t>1</w:t>
      </w:r>
      <w:r>
        <w:rPr>
          <w:spacing w:val="-23"/>
        </w:rPr>
        <w:t xml:space="preserve"> 万、劳务费 </w:t>
      </w:r>
      <w:r>
        <w:t>0.36</w:t>
      </w:r>
      <w:r>
        <w:rPr>
          <w:spacing w:val="-20"/>
        </w:rPr>
        <w:t xml:space="preserve"> 万、工会经费 </w:t>
      </w:r>
      <w:r>
        <w:t>3.99</w:t>
      </w:r>
      <w:r>
        <w:rPr>
          <w:spacing w:val="-22"/>
        </w:rPr>
        <w:t xml:space="preserve"> 万、福</w:t>
      </w:r>
    </w:p>
    <w:p w14:paraId="12189323">
      <w:pPr>
        <w:pStyle w:val="3"/>
        <w:spacing w:before="226"/>
      </w:pPr>
      <w:r>
        <w:rPr>
          <w:spacing w:val="-28"/>
        </w:rPr>
        <w:t xml:space="preserve">利费 </w:t>
      </w:r>
      <w:r>
        <w:rPr>
          <w:spacing w:val="-6"/>
        </w:rPr>
        <w:t>6.43</w:t>
      </w:r>
      <w:r>
        <w:rPr>
          <w:spacing w:val="-20"/>
        </w:rPr>
        <w:t xml:space="preserve"> 万、公务用车运行维护费 </w:t>
      </w:r>
      <w:r>
        <w:rPr>
          <w:spacing w:val="-6"/>
        </w:rPr>
        <w:t>3</w:t>
      </w:r>
      <w:r>
        <w:rPr>
          <w:spacing w:val="-15"/>
        </w:rPr>
        <w:t xml:space="preserve"> 万、其他商品和服务支出</w:t>
      </w:r>
    </w:p>
    <w:p w14:paraId="5A6D4150">
      <w:pPr>
        <w:pStyle w:val="3"/>
        <w:spacing w:before="226"/>
      </w:pPr>
      <w:r>
        <w:rPr>
          <w:spacing w:val="-2"/>
        </w:rPr>
        <w:t>10</w:t>
      </w:r>
      <w:r>
        <w:rPr>
          <w:spacing w:val="-41"/>
        </w:rPr>
        <w:t xml:space="preserve"> 万</w:t>
      </w:r>
      <w:r>
        <w:rPr>
          <w:spacing w:val="-10"/>
        </w:rPr>
        <w:t>）</w:t>
      </w:r>
    </w:p>
    <w:p w14:paraId="4CD7015C">
      <w:pPr>
        <w:pStyle w:val="8"/>
        <w:numPr>
          <w:ilvl w:val="0"/>
          <w:numId w:val="2"/>
        </w:numPr>
        <w:tabs>
          <w:tab w:val="left" w:pos="1065"/>
        </w:tabs>
        <w:spacing w:before="226" w:after="0" w:line="240" w:lineRule="auto"/>
        <w:ind w:left="1065" w:right="0" w:hanging="318"/>
        <w:jc w:val="left"/>
        <w:rPr>
          <w:sz w:val="32"/>
        </w:rPr>
      </w:pPr>
      <w:r>
        <w:rPr>
          <w:spacing w:val="-9"/>
          <w:sz w:val="32"/>
        </w:rPr>
        <w:t xml:space="preserve">对个人和家庭的补助支出 </w:t>
      </w:r>
      <w:r>
        <w:rPr>
          <w:spacing w:val="-4"/>
          <w:sz w:val="32"/>
        </w:rPr>
        <w:t>17.58</w:t>
      </w:r>
      <w:r>
        <w:rPr>
          <w:spacing w:val="-17"/>
          <w:sz w:val="32"/>
        </w:rPr>
        <w:t xml:space="preserve"> 万元：主要用于离休费、</w:t>
      </w:r>
    </w:p>
    <w:p w14:paraId="425C33A4">
      <w:pPr>
        <w:spacing w:after="0" w:line="240" w:lineRule="auto"/>
        <w:jc w:val="left"/>
        <w:rPr>
          <w:sz w:val="32"/>
        </w:rPr>
        <w:sectPr>
          <w:pgSz w:w="11910" w:h="16840"/>
          <w:pgMar w:top="1920" w:right="1320" w:bottom="1720" w:left="1480" w:header="0" w:footer="1532" w:gutter="0"/>
          <w:cols w:space="720" w:num="1"/>
        </w:sectPr>
      </w:pPr>
    </w:p>
    <w:p w14:paraId="08784FD0">
      <w:pPr>
        <w:pStyle w:val="3"/>
        <w:spacing w:before="3"/>
        <w:ind w:left="0"/>
        <w:rPr>
          <w:sz w:val="8"/>
        </w:rPr>
      </w:pPr>
    </w:p>
    <w:p w14:paraId="0295C95F">
      <w:pPr>
        <w:pStyle w:val="3"/>
        <w:spacing w:before="54" w:line="372" w:lineRule="auto"/>
        <w:ind w:right="267"/>
        <w:jc w:val="both"/>
      </w:pPr>
      <w:r>
        <w:t>退休费和其他对个人和家庭的补助支出。（离退休经费 17.58</w:t>
      </w:r>
      <w:r>
        <w:rPr>
          <w:spacing w:val="-4"/>
        </w:rPr>
        <w:t>万元）</w:t>
      </w:r>
    </w:p>
    <w:p w14:paraId="09DE783D">
      <w:pPr>
        <w:pStyle w:val="8"/>
        <w:numPr>
          <w:ilvl w:val="0"/>
          <w:numId w:val="2"/>
        </w:numPr>
        <w:tabs>
          <w:tab w:val="left" w:pos="1065"/>
        </w:tabs>
        <w:spacing w:before="1" w:after="0" w:line="240" w:lineRule="auto"/>
        <w:ind w:left="1065" w:right="0" w:hanging="318"/>
        <w:jc w:val="both"/>
        <w:rPr>
          <w:sz w:val="32"/>
        </w:rPr>
      </w:pPr>
      <w:r>
        <w:rPr>
          <w:spacing w:val="-19"/>
          <w:sz w:val="32"/>
        </w:rPr>
        <w:t xml:space="preserve">其他支出 </w:t>
      </w:r>
      <w:r>
        <w:rPr>
          <w:spacing w:val="-4"/>
          <w:sz w:val="32"/>
        </w:rPr>
        <w:t>0</w:t>
      </w:r>
      <w:r>
        <w:rPr>
          <w:spacing w:val="-24"/>
          <w:sz w:val="32"/>
        </w:rPr>
        <w:t xml:space="preserve"> 万元。</w:t>
      </w:r>
    </w:p>
    <w:p w14:paraId="1D7144E8">
      <w:pPr>
        <w:pStyle w:val="3"/>
        <w:spacing w:before="226"/>
        <w:ind w:left="747"/>
        <w:jc w:val="both"/>
      </w:pPr>
      <w:r>
        <w:rPr>
          <w:spacing w:val="-6"/>
        </w:rPr>
        <w:t xml:space="preserve">预算支出比去年增加的原因：预算支出比上年增加 </w:t>
      </w:r>
      <w:r>
        <w:rPr>
          <w:spacing w:val="-4"/>
        </w:rPr>
        <w:t>210.19</w:t>
      </w:r>
    </w:p>
    <w:p w14:paraId="10406C28">
      <w:pPr>
        <w:pStyle w:val="3"/>
        <w:spacing w:before="226" w:line="372" w:lineRule="auto"/>
        <w:ind w:right="266"/>
        <w:jc w:val="both"/>
      </w:pPr>
      <w:r>
        <w:rPr>
          <w:spacing w:val="-12"/>
        </w:rPr>
        <w:t xml:space="preserve">万元，其中基本支出增加 </w:t>
      </w:r>
      <w:r>
        <w:rPr>
          <w:spacing w:val="-10"/>
        </w:rPr>
        <w:t>43.84</w:t>
      </w:r>
      <w:r>
        <w:rPr>
          <w:spacing w:val="-15"/>
        </w:rPr>
        <w:t xml:space="preserve"> 万元，项目支出增加 </w:t>
      </w:r>
      <w:r>
        <w:rPr>
          <w:spacing w:val="-10"/>
        </w:rPr>
        <w:t>166.35</w:t>
      </w:r>
      <w:r>
        <w:rPr>
          <w:spacing w:val="-20"/>
        </w:rPr>
        <w:t xml:space="preserve"> 万</w:t>
      </w:r>
      <w:r>
        <w:rPr>
          <w:spacing w:val="-2"/>
        </w:rPr>
        <w:t>元。基本支出增加的主要原因是其他工资福利支出增加导致；项目支出增加的主要原因是城乡社区项目支出增加导致。</w:t>
      </w:r>
    </w:p>
    <w:p w14:paraId="33EAFBF7">
      <w:pPr>
        <w:pStyle w:val="2"/>
        <w:spacing w:line="547" w:lineRule="exact"/>
      </w:pPr>
      <w:r>
        <w:rPr>
          <w:spacing w:val="-2"/>
        </w:rPr>
        <w:t>（三）</w:t>
      </w:r>
      <w:r>
        <w:rPr>
          <w:spacing w:val="-4"/>
        </w:rPr>
        <w:t>财政拨款支出情况</w:t>
      </w:r>
    </w:p>
    <w:p w14:paraId="0C69EB56">
      <w:pPr>
        <w:pStyle w:val="3"/>
        <w:spacing w:before="74"/>
        <w:ind w:left="747"/>
        <w:jc w:val="both"/>
      </w:pPr>
      <w:r>
        <w:t>2025</w:t>
      </w:r>
      <w:r>
        <w:rPr>
          <w:spacing w:val="5"/>
        </w:rPr>
        <w:t xml:space="preserve"> 年度一般公共预算支出 </w:t>
      </w:r>
      <w:r>
        <w:t>668.61</w:t>
      </w:r>
      <w:r>
        <w:rPr>
          <w:spacing w:val="7"/>
        </w:rPr>
        <w:t xml:space="preserve"> 万元，比上年预算</w:t>
      </w:r>
    </w:p>
    <w:p w14:paraId="2DA3F1BF">
      <w:pPr>
        <w:pStyle w:val="3"/>
        <w:spacing w:before="226"/>
      </w:pPr>
      <w:r>
        <w:rPr>
          <w:spacing w:val="-6"/>
        </w:rPr>
        <w:t>625.23</w:t>
      </w:r>
      <w:r>
        <w:rPr>
          <w:spacing w:val="-30"/>
        </w:rPr>
        <w:t xml:space="preserve"> 万元增加 </w:t>
      </w:r>
      <w:r>
        <w:rPr>
          <w:spacing w:val="-6"/>
        </w:rPr>
        <w:t>43.38</w:t>
      </w:r>
      <w:r>
        <w:rPr>
          <w:spacing w:val="-24"/>
        </w:rPr>
        <w:t xml:space="preserve"> 万元，其中：基本支出 </w:t>
      </w:r>
      <w:r>
        <w:rPr>
          <w:spacing w:val="-6"/>
        </w:rPr>
        <w:t>665.61</w:t>
      </w:r>
      <w:r>
        <w:rPr>
          <w:spacing w:val="-22"/>
        </w:rPr>
        <w:t xml:space="preserve"> 万元，比</w:t>
      </w:r>
    </w:p>
    <w:p w14:paraId="28CA7864">
      <w:pPr>
        <w:pStyle w:val="3"/>
        <w:spacing w:before="226"/>
        <w:jc w:val="both"/>
      </w:pPr>
      <w:r>
        <w:rPr>
          <w:spacing w:val="-19"/>
        </w:rPr>
        <w:t xml:space="preserve">上年预算 </w:t>
      </w:r>
      <w:r>
        <w:rPr>
          <w:spacing w:val="-6"/>
        </w:rPr>
        <w:t>600.58</w:t>
      </w:r>
      <w:r>
        <w:rPr>
          <w:spacing w:val="-30"/>
        </w:rPr>
        <w:t xml:space="preserve"> 万元增加 </w:t>
      </w:r>
      <w:r>
        <w:rPr>
          <w:spacing w:val="-6"/>
        </w:rPr>
        <w:t>65.03</w:t>
      </w:r>
      <w:r>
        <w:rPr>
          <w:spacing w:val="-23"/>
        </w:rPr>
        <w:t xml:space="preserve"> 万元，项目支出 </w:t>
      </w:r>
      <w:r>
        <w:rPr>
          <w:spacing w:val="-6"/>
        </w:rPr>
        <w:t>3</w:t>
      </w:r>
      <w:r>
        <w:rPr>
          <w:spacing w:val="-19"/>
        </w:rPr>
        <w:t xml:space="preserve"> 万元，比上</w:t>
      </w:r>
    </w:p>
    <w:p w14:paraId="03EAAE1B">
      <w:pPr>
        <w:pStyle w:val="3"/>
        <w:spacing w:before="226" w:line="372" w:lineRule="auto"/>
        <w:ind w:right="266"/>
        <w:jc w:val="both"/>
      </w:pPr>
      <w:r>
        <w:rPr>
          <w:spacing w:val="-12"/>
        </w:rPr>
        <w:t xml:space="preserve">年预算 </w:t>
      </w:r>
      <w:r>
        <w:rPr>
          <w:spacing w:val="-4"/>
        </w:rPr>
        <w:t>24.65</w:t>
      </w:r>
      <w:r>
        <w:rPr>
          <w:spacing w:val="-16"/>
        </w:rPr>
        <w:t xml:space="preserve"> 万元减少 </w:t>
      </w:r>
      <w:r>
        <w:rPr>
          <w:spacing w:val="-4"/>
        </w:rPr>
        <w:t>21.65</w:t>
      </w:r>
      <w:r>
        <w:rPr>
          <w:spacing w:val="-10"/>
        </w:rPr>
        <w:t xml:space="preserve"> 万元。原因：机构改革导致人员</w:t>
      </w:r>
      <w:r>
        <w:rPr>
          <w:spacing w:val="-2"/>
        </w:rPr>
        <w:t>增加，相应费用增加；项目减少，相应费用减少。</w:t>
      </w:r>
    </w:p>
    <w:p w14:paraId="304B9A49">
      <w:pPr>
        <w:pStyle w:val="2"/>
        <w:spacing w:line="549" w:lineRule="exact"/>
      </w:pPr>
      <w:r>
        <w:rPr>
          <w:spacing w:val="-2"/>
        </w:rPr>
        <w:t>（四）</w:t>
      </w:r>
      <w:r>
        <w:rPr>
          <w:spacing w:val="-4"/>
        </w:rPr>
        <w:t>政府性基金情况</w:t>
      </w:r>
    </w:p>
    <w:p w14:paraId="0BECF455">
      <w:pPr>
        <w:pStyle w:val="3"/>
        <w:spacing w:before="136" w:line="362" w:lineRule="auto"/>
        <w:ind w:right="264" w:firstLine="640"/>
        <w:jc w:val="both"/>
      </w:pPr>
      <w:r>
        <w:rPr>
          <w:spacing w:val="-6"/>
        </w:rPr>
        <w:t xml:space="preserve">政府性基金支出总额 </w:t>
      </w:r>
      <w:r>
        <w:rPr>
          <w:rFonts w:ascii="Times New Roman" w:eastAsia="Times New Roman"/>
          <w:spacing w:val="-2"/>
        </w:rPr>
        <w:t>2028</w:t>
      </w:r>
      <w:r>
        <w:rPr>
          <w:rFonts w:ascii="Times New Roman" w:eastAsia="Times New Roman"/>
          <w:spacing w:val="-18"/>
        </w:rPr>
        <w:t xml:space="preserve"> </w:t>
      </w:r>
      <w:r>
        <w:rPr>
          <w:spacing w:val="-5"/>
        </w:rPr>
        <w:t xml:space="preserve">万元，较上年预算安排增加 </w:t>
      </w:r>
      <w:r>
        <w:rPr>
          <w:rFonts w:ascii="Times New Roman" w:eastAsia="Times New Roman"/>
          <w:spacing w:val="-2"/>
        </w:rPr>
        <w:t>228</w:t>
      </w:r>
      <w:r>
        <w:rPr>
          <w:spacing w:val="-8"/>
        </w:rPr>
        <w:t xml:space="preserve">万元，增幅 </w:t>
      </w:r>
      <w:r>
        <w:rPr>
          <w:rFonts w:ascii="Times New Roman" w:eastAsia="Times New Roman"/>
          <w:spacing w:val="-2"/>
        </w:rPr>
        <w:t>12.67%</w:t>
      </w:r>
      <w:r>
        <w:rPr>
          <w:spacing w:val="-2"/>
        </w:rPr>
        <w:t>，主要原是新增其他污水处理费项目支出导</w:t>
      </w:r>
      <w:r>
        <w:rPr>
          <w:spacing w:val="-6"/>
        </w:rPr>
        <w:t>致。</w:t>
      </w:r>
    </w:p>
    <w:p w14:paraId="3D7282FC">
      <w:pPr>
        <w:pStyle w:val="2"/>
        <w:spacing w:line="486" w:lineRule="exact"/>
      </w:pPr>
      <w:r>
        <w:t>（🖂）</w:t>
      </w:r>
      <w:r>
        <w:rPr>
          <w:spacing w:val="-1"/>
        </w:rPr>
        <w:t>国有资本经营预算情况</w:t>
      </w:r>
    </w:p>
    <w:p w14:paraId="62AC0E1C">
      <w:pPr>
        <w:pStyle w:val="3"/>
        <w:spacing w:before="136"/>
        <w:ind w:left="747"/>
      </w:pPr>
      <w:r>
        <w:rPr>
          <w:rFonts w:ascii="Times New Roman" w:eastAsia="Times New Roman"/>
          <w:spacing w:val="-2"/>
        </w:rPr>
        <w:t>2025</w:t>
      </w:r>
      <w:r>
        <w:rPr>
          <w:rFonts w:ascii="Times New Roman" w:eastAsia="Times New Roman"/>
          <w:spacing w:val="-11"/>
        </w:rPr>
        <w:t xml:space="preserve"> </w:t>
      </w:r>
      <w:r>
        <w:rPr>
          <w:spacing w:val="-3"/>
        </w:rPr>
        <w:t>年没有使用国有资本经营预算拨款安排的支出。</w:t>
      </w:r>
    </w:p>
    <w:p w14:paraId="0640092C">
      <w:pPr>
        <w:pStyle w:val="3"/>
        <w:spacing w:before="212"/>
        <w:ind w:left="747"/>
      </w:pPr>
      <w:r>
        <w:rPr>
          <w:spacing w:val="-5"/>
        </w:rPr>
        <w:t>四、机关运行经费安排情况</w:t>
      </w:r>
    </w:p>
    <w:p w14:paraId="611DB127">
      <w:pPr>
        <w:spacing w:after="0"/>
        <w:sectPr>
          <w:pgSz w:w="11910" w:h="16840"/>
          <w:pgMar w:top="1920" w:right="1320" w:bottom="1720" w:left="1480" w:header="0" w:footer="1532" w:gutter="0"/>
          <w:cols w:space="720" w:num="1"/>
        </w:sectPr>
      </w:pPr>
    </w:p>
    <w:p w14:paraId="30E47777">
      <w:pPr>
        <w:pStyle w:val="3"/>
        <w:spacing w:before="1"/>
        <w:ind w:left="0"/>
        <w:rPr>
          <w:sz w:val="13"/>
        </w:rPr>
      </w:pPr>
    </w:p>
    <w:p w14:paraId="654F7FA6">
      <w:pPr>
        <w:pStyle w:val="3"/>
        <w:spacing w:before="54"/>
        <w:ind w:left="0" w:right="266"/>
        <w:jc w:val="right"/>
      </w:pPr>
      <w:r>
        <w:rPr>
          <w:spacing w:val="-4"/>
        </w:rPr>
        <w:t xml:space="preserve">本部门 </w:t>
      </w:r>
      <w:r>
        <w:rPr>
          <w:spacing w:val="-2"/>
        </w:rPr>
        <w:t>2025</w:t>
      </w:r>
      <w:r>
        <w:rPr>
          <w:spacing w:val="-17"/>
        </w:rPr>
        <w:t xml:space="preserve"> 年度机关运行经费支出 </w:t>
      </w:r>
      <w:r>
        <w:rPr>
          <w:spacing w:val="-2"/>
        </w:rPr>
        <w:t>43.76</w:t>
      </w:r>
      <w:r>
        <w:rPr>
          <w:spacing w:val="-33"/>
        </w:rPr>
        <w:t xml:space="preserve"> 万元，包括办公</w:t>
      </w:r>
    </w:p>
    <w:p w14:paraId="7D356FC9">
      <w:pPr>
        <w:pStyle w:val="3"/>
        <w:spacing w:before="212"/>
        <w:ind w:left="0" w:right="266"/>
        <w:jc w:val="right"/>
      </w:pPr>
      <w:r>
        <w:rPr>
          <w:spacing w:val="-43"/>
        </w:rPr>
        <w:t xml:space="preserve">费 </w:t>
      </w:r>
      <w:r>
        <w:rPr>
          <w:rFonts w:ascii="Times New Roman" w:eastAsia="Times New Roman"/>
          <w:spacing w:val="-6"/>
        </w:rPr>
        <w:t>12.99</w:t>
      </w:r>
      <w:r>
        <w:rPr>
          <w:rFonts w:ascii="Times New Roman" w:eastAsia="Times New Roman"/>
          <w:spacing w:val="-14"/>
        </w:rPr>
        <w:t xml:space="preserve"> </w:t>
      </w:r>
      <w:r>
        <w:rPr>
          <w:spacing w:val="-19"/>
        </w:rPr>
        <w:t xml:space="preserve">万元、电费 </w:t>
      </w:r>
      <w:r>
        <w:rPr>
          <w:rFonts w:ascii="Times New Roman" w:eastAsia="Times New Roman"/>
          <w:spacing w:val="-6"/>
        </w:rPr>
        <w:t>3</w:t>
      </w:r>
      <w:r>
        <w:rPr>
          <w:rFonts w:ascii="Times New Roman" w:eastAsia="Times New Roman"/>
          <w:spacing w:val="-14"/>
        </w:rPr>
        <w:t xml:space="preserve"> </w:t>
      </w:r>
      <w:r>
        <w:rPr>
          <w:spacing w:val="-17"/>
        </w:rPr>
        <w:t xml:space="preserve">万元、差旅费 </w:t>
      </w:r>
      <w:r>
        <w:rPr>
          <w:rFonts w:ascii="Times New Roman" w:eastAsia="Times New Roman"/>
          <w:spacing w:val="-6"/>
        </w:rPr>
        <w:t>1</w:t>
      </w:r>
      <w:r>
        <w:rPr>
          <w:rFonts w:ascii="Times New Roman" w:eastAsia="Times New Roman"/>
          <w:spacing w:val="-11"/>
        </w:rPr>
        <w:t xml:space="preserve"> </w:t>
      </w:r>
      <w:r>
        <w:rPr>
          <w:spacing w:val="-17"/>
        </w:rPr>
        <w:t xml:space="preserve">万元、维修费 </w:t>
      </w:r>
      <w:r>
        <w:rPr>
          <w:rFonts w:ascii="Times New Roman" w:eastAsia="Times New Roman"/>
          <w:spacing w:val="-6"/>
        </w:rPr>
        <w:t>2</w:t>
      </w:r>
      <w:r>
        <w:rPr>
          <w:rFonts w:ascii="Times New Roman" w:eastAsia="Times New Roman"/>
          <w:spacing w:val="-5"/>
        </w:rPr>
        <w:t xml:space="preserve"> </w:t>
      </w:r>
      <w:r>
        <w:rPr>
          <w:spacing w:val="-7"/>
        </w:rPr>
        <w:t>万元、公</w:t>
      </w:r>
    </w:p>
    <w:p w14:paraId="29E5B010">
      <w:pPr>
        <w:pStyle w:val="3"/>
        <w:spacing w:before="209"/>
        <w:ind w:left="0" w:right="266"/>
        <w:jc w:val="right"/>
      </w:pPr>
      <w:r>
        <w:rPr>
          <w:spacing w:val="-20"/>
        </w:rPr>
        <w:t xml:space="preserve">务接待费 </w:t>
      </w:r>
      <w:r>
        <w:rPr>
          <w:rFonts w:ascii="Times New Roman" w:eastAsia="Times New Roman"/>
          <w:spacing w:val="-4"/>
        </w:rPr>
        <w:t>1</w:t>
      </w:r>
      <w:r>
        <w:rPr>
          <w:rFonts w:ascii="Times New Roman" w:eastAsia="Times New Roman"/>
          <w:spacing w:val="-10"/>
        </w:rPr>
        <w:t xml:space="preserve"> </w:t>
      </w:r>
      <w:r>
        <w:rPr>
          <w:spacing w:val="-15"/>
        </w:rPr>
        <w:t xml:space="preserve">万元、劳务费 </w:t>
      </w:r>
      <w:r>
        <w:rPr>
          <w:rFonts w:ascii="Times New Roman" w:eastAsia="Times New Roman"/>
          <w:spacing w:val="-4"/>
        </w:rPr>
        <w:t xml:space="preserve">0.36 </w:t>
      </w:r>
      <w:r>
        <w:rPr>
          <w:spacing w:val="-14"/>
        </w:rPr>
        <w:t xml:space="preserve">万元、工会经费 </w:t>
      </w:r>
      <w:r>
        <w:rPr>
          <w:rFonts w:ascii="Times New Roman" w:eastAsia="Times New Roman"/>
          <w:spacing w:val="-4"/>
        </w:rPr>
        <w:t>3.99</w:t>
      </w:r>
      <w:r>
        <w:rPr>
          <w:rFonts w:ascii="Times New Roman" w:eastAsia="Times New Roman"/>
          <w:spacing w:val="-2"/>
        </w:rPr>
        <w:t xml:space="preserve"> </w:t>
      </w:r>
      <w:r>
        <w:rPr>
          <w:spacing w:val="-6"/>
        </w:rPr>
        <w:t>万元、福利</w:t>
      </w:r>
    </w:p>
    <w:p w14:paraId="683DEEB0">
      <w:pPr>
        <w:pStyle w:val="3"/>
        <w:spacing w:before="209"/>
      </w:pPr>
      <w:r>
        <w:rPr>
          <w:spacing w:val="-41"/>
        </w:rPr>
        <w:t xml:space="preserve">费 </w:t>
      </w:r>
      <w:r>
        <w:rPr>
          <w:rFonts w:ascii="Times New Roman" w:eastAsia="Times New Roman"/>
          <w:spacing w:val="-2"/>
        </w:rPr>
        <w:t>6.43</w:t>
      </w:r>
      <w:r>
        <w:rPr>
          <w:rFonts w:ascii="Times New Roman" w:eastAsia="Times New Roman"/>
          <w:spacing w:val="-3"/>
        </w:rPr>
        <w:t xml:space="preserve"> </w:t>
      </w:r>
      <w:r>
        <w:rPr>
          <w:spacing w:val="-8"/>
        </w:rPr>
        <w:t xml:space="preserve">万元、公务用车运行维护费 </w:t>
      </w:r>
      <w:r>
        <w:rPr>
          <w:rFonts w:ascii="Times New Roman" w:eastAsia="Times New Roman"/>
          <w:spacing w:val="-2"/>
        </w:rPr>
        <w:t>3</w:t>
      </w:r>
      <w:r>
        <w:rPr>
          <w:rFonts w:ascii="Times New Roman" w:eastAsia="Times New Roman"/>
          <w:spacing w:val="1"/>
        </w:rPr>
        <w:t xml:space="preserve"> </w:t>
      </w:r>
      <w:r>
        <w:rPr>
          <w:spacing w:val="-3"/>
        </w:rPr>
        <w:t>万元、其他商品和服务支</w:t>
      </w:r>
    </w:p>
    <w:p w14:paraId="20060B2C">
      <w:pPr>
        <w:pStyle w:val="3"/>
        <w:spacing w:before="212" w:line="362" w:lineRule="auto"/>
        <w:ind w:right="266"/>
      </w:pPr>
      <w:r>
        <w:rPr>
          <w:spacing w:val="-41"/>
        </w:rPr>
        <w:t xml:space="preserve">出 </w:t>
      </w:r>
      <w:r>
        <w:rPr>
          <w:rFonts w:ascii="Times New Roman" w:eastAsia="Times New Roman"/>
          <w:spacing w:val="-2"/>
        </w:rPr>
        <w:t>10</w:t>
      </w:r>
      <w:r>
        <w:rPr>
          <w:rFonts w:ascii="Times New Roman" w:eastAsia="Times New Roman"/>
          <w:spacing w:val="-18"/>
        </w:rPr>
        <w:t xml:space="preserve"> </w:t>
      </w:r>
      <w:r>
        <w:rPr>
          <w:spacing w:val="-9"/>
        </w:rPr>
        <w:t xml:space="preserve">万元，比去年预算数减少 </w:t>
      </w:r>
      <w:r>
        <w:rPr>
          <w:rFonts w:ascii="Times New Roman" w:eastAsia="Times New Roman"/>
          <w:spacing w:val="-2"/>
        </w:rPr>
        <w:t>1.53</w:t>
      </w:r>
      <w:r>
        <w:rPr>
          <w:rFonts w:ascii="Times New Roman" w:eastAsia="Times New Roman"/>
          <w:spacing w:val="-18"/>
        </w:rPr>
        <w:t xml:space="preserve"> </w:t>
      </w:r>
      <w:r>
        <w:rPr>
          <w:spacing w:val="-15"/>
        </w:rPr>
        <w:t xml:space="preserve">万元，减少 </w:t>
      </w:r>
      <w:r>
        <w:rPr>
          <w:spacing w:val="-2"/>
        </w:rPr>
        <w:t>3.38%。主要原因是：厉行节约，压缩经费开支。</w:t>
      </w:r>
    </w:p>
    <w:p w14:paraId="3F55E0D9">
      <w:pPr>
        <w:pStyle w:val="3"/>
        <w:ind w:left="747"/>
      </w:pPr>
      <w:r>
        <w:rPr>
          <w:spacing w:val="-4"/>
        </w:rPr>
        <w:t>五、一般公共预算</w:t>
      </w:r>
      <w:r>
        <w:rPr>
          <w:rFonts w:ascii="Times New Roman" w:hAnsi="Times New Roman" w:eastAsia="Times New Roman"/>
          <w:spacing w:val="-4"/>
        </w:rPr>
        <w:t>“</w:t>
      </w:r>
      <w:r>
        <w:rPr>
          <w:spacing w:val="-4"/>
        </w:rPr>
        <w:t>三公</w:t>
      </w:r>
      <w:r>
        <w:rPr>
          <w:rFonts w:ascii="Times New Roman" w:hAnsi="Times New Roman" w:eastAsia="Times New Roman"/>
          <w:spacing w:val="-4"/>
        </w:rPr>
        <w:t>”</w:t>
      </w:r>
      <w:r>
        <w:rPr>
          <w:spacing w:val="-5"/>
        </w:rPr>
        <w:t>经费及增减变化情况</w:t>
      </w:r>
    </w:p>
    <w:p w14:paraId="0F2C30E5">
      <w:pPr>
        <w:pStyle w:val="3"/>
        <w:spacing w:before="164"/>
        <w:ind w:left="747"/>
      </w:pPr>
      <w:r>
        <w:rPr>
          <w:rFonts w:ascii="Times New Roman" w:hAnsi="Times New Roman" w:eastAsia="Times New Roman"/>
          <w:spacing w:val="-4"/>
        </w:rPr>
        <w:t>202</w:t>
      </w:r>
      <w:r>
        <w:rPr>
          <w:spacing w:val="-4"/>
        </w:rPr>
        <w:t>5</w:t>
      </w:r>
      <w:r>
        <w:rPr>
          <w:spacing w:val="-17"/>
        </w:rPr>
        <w:t xml:space="preserve"> 年本单位</w:t>
      </w:r>
      <w:r>
        <w:rPr>
          <w:rFonts w:ascii="Times New Roman" w:hAnsi="Times New Roman" w:eastAsia="Times New Roman"/>
          <w:spacing w:val="-4"/>
        </w:rPr>
        <w:t>“</w:t>
      </w:r>
      <w:r>
        <w:rPr>
          <w:spacing w:val="-4"/>
        </w:rPr>
        <w:t>三公</w:t>
      </w:r>
      <w:r>
        <w:rPr>
          <w:rFonts w:ascii="Times New Roman" w:hAnsi="Times New Roman" w:eastAsia="Times New Roman"/>
          <w:spacing w:val="-4"/>
        </w:rPr>
        <w:t>”</w:t>
      </w:r>
      <w:r>
        <w:rPr>
          <w:spacing w:val="-11"/>
        </w:rPr>
        <w:t xml:space="preserve">经费年初预算安排 </w:t>
      </w:r>
      <w:r>
        <w:rPr>
          <w:spacing w:val="-4"/>
        </w:rPr>
        <w:t>4</w:t>
      </w:r>
      <w:r>
        <w:rPr>
          <w:spacing w:val="-14"/>
        </w:rPr>
        <w:t xml:space="preserve"> 万元，比上年减</w:t>
      </w:r>
    </w:p>
    <w:p w14:paraId="30BE9ADD">
      <w:pPr>
        <w:pStyle w:val="3"/>
        <w:spacing w:before="149" w:line="326" w:lineRule="auto"/>
        <w:ind w:right="264"/>
      </w:pPr>
      <w:r>
        <w:rPr>
          <w:spacing w:val="-4"/>
        </w:rPr>
        <w:t>0.5</w:t>
      </w:r>
      <w:r>
        <w:rPr>
          <w:spacing w:val="-23"/>
        </w:rPr>
        <w:t xml:space="preserve"> 万元，同比减少 </w:t>
      </w:r>
      <w:r>
        <w:rPr>
          <w:spacing w:val="-4"/>
        </w:rPr>
        <w:t>11.11</w:t>
      </w:r>
      <w:r>
        <w:rPr>
          <w:spacing w:val="-80"/>
        </w:rPr>
        <w:t xml:space="preserve"> </w:t>
      </w:r>
      <w:r>
        <w:rPr>
          <w:rFonts w:ascii="Times New Roman" w:eastAsia="Times New Roman"/>
          <w:spacing w:val="-4"/>
        </w:rPr>
        <w:t>%</w:t>
      </w:r>
      <w:r>
        <w:rPr>
          <w:spacing w:val="-4"/>
        </w:rPr>
        <w:t>，主要原因是：厉行节约，压缩经费开支。</w:t>
      </w:r>
    </w:p>
    <w:p w14:paraId="1159D987">
      <w:pPr>
        <w:pStyle w:val="3"/>
        <w:spacing w:before="54"/>
        <w:ind w:left="747"/>
      </w:pPr>
      <w:r>
        <w:rPr>
          <w:spacing w:val="-7"/>
        </w:rPr>
        <w:t>其中：</w:t>
      </w:r>
    </w:p>
    <w:p w14:paraId="1DACD3FE">
      <w:pPr>
        <w:pStyle w:val="3"/>
        <w:spacing w:before="209"/>
        <w:ind w:left="747"/>
      </w:pPr>
      <w:r>
        <w:rPr>
          <w:spacing w:val="-2"/>
        </w:rPr>
        <w:t>因公出国（境）</w:t>
      </w:r>
      <w:r>
        <w:rPr>
          <w:spacing w:val="-41"/>
        </w:rPr>
        <w:t xml:space="preserve">费 </w:t>
      </w:r>
      <w:r>
        <w:rPr>
          <w:rFonts w:ascii="Times New Roman" w:eastAsia="Times New Roman"/>
          <w:spacing w:val="-2"/>
        </w:rPr>
        <w:t>0</w:t>
      </w:r>
      <w:r>
        <w:rPr>
          <w:rFonts w:ascii="Times New Roman" w:eastAsia="Times New Roman"/>
          <w:spacing w:val="-10"/>
        </w:rPr>
        <w:t xml:space="preserve"> </w:t>
      </w:r>
      <w:r>
        <w:rPr>
          <w:spacing w:val="-12"/>
        </w:rPr>
        <w:t xml:space="preserve">万元，比上年增 </w:t>
      </w:r>
      <w:r>
        <w:rPr>
          <w:rFonts w:ascii="Times New Roman" w:eastAsia="Times New Roman"/>
          <w:spacing w:val="-2"/>
        </w:rPr>
        <w:t>0</w:t>
      </w:r>
      <w:r>
        <w:rPr>
          <w:rFonts w:ascii="Times New Roman" w:eastAsia="Times New Roman"/>
          <w:spacing w:val="-3"/>
        </w:rPr>
        <w:t xml:space="preserve"> </w:t>
      </w:r>
      <w:r>
        <w:rPr>
          <w:spacing w:val="-4"/>
        </w:rPr>
        <w:t>万元，无变化；</w:t>
      </w:r>
    </w:p>
    <w:p w14:paraId="7BB4AC91">
      <w:pPr>
        <w:pStyle w:val="3"/>
        <w:spacing w:before="209"/>
        <w:ind w:left="747"/>
      </w:pPr>
      <w:r>
        <w:rPr>
          <w:spacing w:val="-13"/>
        </w:rPr>
        <w:t xml:space="preserve">公务接待费 </w:t>
      </w:r>
      <w:r>
        <w:rPr>
          <w:rFonts w:ascii="Times New Roman" w:eastAsia="Times New Roman"/>
        </w:rPr>
        <w:t>1</w:t>
      </w:r>
      <w:r>
        <w:rPr>
          <w:rFonts w:ascii="Times New Roman" w:eastAsia="Times New Roman"/>
          <w:spacing w:val="4"/>
        </w:rPr>
        <w:t xml:space="preserve"> </w:t>
      </w:r>
      <w:r>
        <w:rPr>
          <w:spacing w:val="-11"/>
        </w:rPr>
        <w:t xml:space="preserve">万元，比上年 </w:t>
      </w:r>
      <w:r>
        <w:rPr>
          <w:rFonts w:ascii="Times New Roman" w:eastAsia="Times New Roman"/>
        </w:rPr>
        <w:t>0</w:t>
      </w:r>
      <w:r>
        <w:rPr>
          <w:rFonts w:ascii="Times New Roman" w:eastAsia="Times New Roman"/>
          <w:spacing w:val="8"/>
        </w:rPr>
        <w:t xml:space="preserve"> </w:t>
      </w:r>
      <w:r>
        <w:rPr>
          <w:spacing w:val="-15"/>
        </w:rPr>
        <w:t xml:space="preserve">万元增加 </w:t>
      </w:r>
      <w:r>
        <w:rPr>
          <w:rFonts w:ascii="Times New Roman" w:eastAsia="Times New Roman"/>
        </w:rPr>
        <w:t>1</w:t>
      </w:r>
      <w:r>
        <w:rPr>
          <w:rFonts w:ascii="Times New Roman" w:eastAsia="Times New Roman"/>
          <w:spacing w:val="8"/>
        </w:rPr>
        <w:t xml:space="preserve"> </w:t>
      </w:r>
      <w:r>
        <w:rPr>
          <w:spacing w:val="-2"/>
        </w:rPr>
        <w:t>万元，同比增加</w:t>
      </w:r>
    </w:p>
    <w:p w14:paraId="42DCD6BE">
      <w:pPr>
        <w:pStyle w:val="3"/>
        <w:spacing w:before="212"/>
      </w:pPr>
      <w:r>
        <w:rPr>
          <w:rFonts w:ascii="Times New Roman" w:eastAsia="Times New Roman"/>
          <w:spacing w:val="-4"/>
        </w:rPr>
        <w:t>0%</w:t>
      </w:r>
      <w:r>
        <w:rPr>
          <w:spacing w:val="-5"/>
        </w:rPr>
        <w:t>，主要原因是：根据单位实际情况安排预算；</w:t>
      </w:r>
    </w:p>
    <w:p w14:paraId="4EC86DB2">
      <w:pPr>
        <w:pStyle w:val="3"/>
        <w:spacing w:before="161" w:line="326" w:lineRule="auto"/>
        <w:ind w:right="266" w:firstLine="640"/>
      </w:pPr>
      <w:r>
        <w:rPr>
          <w:spacing w:val="-7"/>
        </w:rPr>
        <w:t xml:space="preserve">公务用车运行维护费 </w:t>
      </w:r>
      <w:r>
        <w:t>3</w:t>
      </w:r>
      <w:r>
        <w:rPr>
          <w:spacing w:val="-15"/>
        </w:rPr>
        <w:t xml:space="preserve"> 万元，比上年减少 </w:t>
      </w:r>
      <w:r>
        <w:t>1.5</w:t>
      </w:r>
      <w:r>
        <w:rPr>
          <w:spacing w:val="-13"/>
        </w:rPr>
        <w:t xml:space="preserve"> 万元，同比减少 </w:t>
      </w:r>
      <w:r>
        <w:t>33.33</w:t>
      </w:r>
      <w:r>
        <w:rPr>
          <w:rFonts w:ascii="Times New Roman" w:eastAsia="Times New Roman"/>
        </w:rPr>
        <w:t>%</w:t>
      </w:r>
      <w:r>
        <w:t>，主要原因是：厉行节约，压缩经费开支；</w:t>
      </w:r>
    </w:p>
    <w:p w14:paraId="45C46C72">
      <w:pPr>
        <w:pStyle w:val="3"/>
        <w:spacing w:before="53"/>
        <w:ind w:left="747"/>
      </w:pPr>
      <w:r>
        <w:rPr>
          <w:spacing w:val="-12"/>
        </w:rPr>
        <w:t xml:space="preserve">公务用车购置费 </w:t>
      </w:r>
      <w:r>
        <w:rPr>
          <w:rFonts w:ascii="Times New Roman" w:eastAsia="Times New Roman"/>
          <w:spacing w:val="-2"/>
        </w:rPr>
        <w:t>0</w:t>
      </w:r>
      <w:r>
        <w:rPr>
          <w:rFonts w:ascii="Times New Roman" w:eastAsia="Times New Roman"/>
          <w:spacing w:val="-9"/>
        </w:rPr>
        <w:t xml:space="preserve"> </w:t>
      </w:r>
      <w:r>
        <w:rPr>
          <w:spacing w:val="-12"/>
        </w:rPr>
        <w:t xml:space="preserve">万元，比上年增 </w:t>
      </w:r>
      <w:r>
        <w:rPr>
          <w:rFonts w:ascii="Times New Roman" w:eastAsia="Times New Roman"/>
          <w:spacing w:val="-2"/>
        </w:rPr>
        <w:t>0</w:t>
      </w:r>
      <w:r>
        <w:rPr>
          <w:rFonts w:ascii="Times New Roman" w:eastAsia="Times New Roman"/>
          <w:spacing w:val="-3"/>
        </w:rPr>
        <w:t xml:space="preserve"> </w:t>
      </w:r>
      <w:r>
        <w:rPr>
          <w:spacing w:val="-3"/>
        </w:rPr>
        <w:t>万元，无增减变化。</w:t>
      </w:r>
    </w:p>
    <w:p w14:paraId="6D450F76">
      <w:pPr>
        <w:pStyle w:val="3"/>
        <w:spacing w:before="210"/>
        <w:ind w:left="747"/>
      </w:pPr>
      <w:r>
        <w:rPr>
          <w:spacing w:val="-5"/>
        </w:rPr>
        <w:t>六、政府采购预算安排情况</w:t>
      </w:r>
    </w:p>
    <w:p w14:paraId="375D908A">
      <w:pPr>
        <w:pStyle w:val="3"/>
        <w:spacing w:before="209" w:line="362" w:lineRule="auto"/>
        <w:ind w:right="266" w:firstLine="640"/>
        <w:jc w:val="both"/>
      </w:pPr>
      <w:r>
        <w:rPr>
          <w:rFonts w:ascii="Times New Roman" w:eastAsia="Times New Roman"/>
        </w:rPr>
        <w:t>2025</w:t>
      </w:r>
      <w:r>
        <w:rPr>
          <w:rFonts w:ascii="Times New Roman" w:eastAsia="Times New Roman"/>
          <w:spacing w:val="-2"/>
        </w:rPr>
        <w:t xml:space="preserve"> </w:t>
      </w:r>
      <w:r>
        <w:rPr>
          <w:spacing w:val="-3"/>
        </w:rPr>
        <w:t xml:space="preserve">年部门所属各单位政府采购总额 </w:t>
      </w:r>
      <w:r>
        <w:rPr>
          <w:rFonts w:ascii="Times New Roman" w:eastAsia="Times New Roman"/>
        </w:rPr>
        <w:t>1911.59</w:t>
      </w:r>
      <w:r>
        <w:rPr>
          <w:rFonts w:ascii="Times New Roman" w:eastAsia="Times New Roman"/>
          <w:spacing w:val="19"/>
        </w:rPr>
        <w:t xml:space="preserve"> </w:t>
      </w:r>
      <w:r>
        <w:t>万元，其中</w:t>
      </w:r>
      <w:r>
        <w:rPr>
          <w:spacing w:val="-4"/>
        </w:rPr>
        <w:t xml:space="preserve">货物类采购预算金额 </w:t>
      </w:r>
      <w:r>
        <w:rPr>
          <w:rFonts w:ascii="Times New Roman" w:eastAsia="Times New Roman"/>
        </w:rPr>
        <w:t>3.59</w:t>
      </w:r>
      <w:r>
        <w:rPr>
          <w:rFonts w:ascii="Times New Roman" w:eastAsia="Times New Roman"/>
          <w:spacing w:val="-20"/>
        </w:rPr>
        <w:t xml:space="preserve"> </w:t>
      </w:r>
      <w:r>
        <w:rPr>
          <w:spacing w:val="-6"/>
        </w:rPr>
        <w:t xml:space="preserve">万元，份额比 </w:t>
      </w:r>
      <w:r>
        <w:rPr>
          <w:rFonts w:ascii="Times New Roman" w:eastAsia="Times New Roman"/>
        </w:rPr>
        <w:t>0.19%</w:t>
      </w:r>
      <w:r>
        <w:t>；工程类采购预</w:t>
      </w:r>
      <w:r>
        <w:rPr>
          <w:spacing w:val="-19"/>
        </w:rPr>
        <w:t xml:space="preserve">算金额 </w:t>
      </w:r>
      <w:r>
        <w:rPr>
          <w:rFonts w:ascii="Times New Roman" w:eastAsia="Times New Roman"/>
        </w:rPr>
        <w:t>0</w:t>
      </w:r>
      <w:r>
        <w:rPr>
          <w:rFonts w:ascii="Times New Roman" w:eastAsia="Times New Roman"/>
          <w:spacing w:val="-10"/>
        </w:rPr>
        <w:t xml:space="preserve"> </w:t>
      </w:r>
      <w:r>
        <w:rPr>
          <w:spacing w:val="-10"/>
        </w:rPr>
        <w:t xml:space="preserve">万元，份额比例 </w:t>
      </w:r>
      <w:r>
        <w:rPr>
          <w:rFonts w:ascii="Times New Roman" w:eastAsia="Times New Roman"/>
        </w:rPr>
        <w:t>0%</w:t>
      </w:r>
      <w:r>
        <w:rPr>
          <w:spacing w:val="-9"/>
        </w:rPr>
        <w:t xml:space="preserve">；服务类采购金额 </w:t>
      </w:r>
      <w:r>
        <w:rPr>
          <w:rFonts w:ascii="Times New Roman" w:eastAsia="Times New Roman"/>
        </w:rPr>
        <w:t>1908</w:t>
      </w:r>
      <w:r>
        <w:rPr>
          <w:rFonts w:ascii="Times New Roman" w:eastAsia="Times New Roman"/>
          <w:spacing w:val="-1"/>
        </w:rPr>
        <w:t xml:space="preserve"> </w:t>
      </w:r>
      <w:r>
        <w:rPr>
          <w:spacing w:val="-3"/>
        </w:rPr>
        <w:t>万元，份</w:t>
      </w:r>
    </w:p>
    <w:p w14:paraId="522423E2">
      <w:pPr>
        <w:spacing w:after="0" w:line="362" w:lineRule="auto"/>
        <w:jc w:val="both"/>
        <w:sectPr>
          <w:pgSz w:w="11910" w:h="16840"/>
          <w:pgMar w:top="1920" w:right="1320" w:bottom="1720" w:left="1480" w:header="0" w:footer="1532" w:gutter="0"/>
          <w:cols w:space="720" w:num="1"/>
        </w:sectPr>
      </w:pPr>
    </w:p>
    <w:p w14:paraId="0A10F07D">
      <w:pPr>
        <w:pStyle w:val="3"/>
        <w:spacing w:before="4"/>
        <w:ind w:left="0"/>
        <w:rPr>
          <w:sz w:val="12"/>
        </w:rPr>
      </w:pPr>
    </w:p>
    <w:p w14:paraId="1F94E1B6">
      <w:pPr>
        <w:pStyle w:val="3"/>
        <w:spacing w:before="64" w:line="362" w:lineRule="auto"/>
        <w:ind w:right="266"/>
        <w:jc w:val="both"/>
      </w:pPr>
      <w:r>
        <w:rPr>
          <w:spacing w:val="-10"/>
        </w:rPr>
        <w:t xml:space="preserve">额比例 </w:t>
      </w:r>
      <w:r>
        <w:rPr>
          <w:rFonts w:ascii="Times New Roman" w:eastAsia="Times New Roman"/>
        </w:rPr>
        <w:t>99.81%</w:t>
      </w:r>
      <w:r>
        <w:rPr>
          <w:spacing w:val="-3"/>
        </w:rPr>
        <w:t xml:space="preserve">；面向中小企业及小微企业采购金额 </w:t>
      </w:r>
      <w:r>
        <w:rPr>
          <w:rFonts w:ascii="Times New Roman" w:eastAsia="Times New Roman"/>
        </w:rPr>
        <w:t>1911.59</w:t>
      </w:r>
      <w:r>
        <w:rPr>
          <w:rFonts w:ascii="Times New Roman" w:eastAsia="Times New Roman"/>
          <w:spacing w:val="-20"/>
        </w:rPr>
        <w:t xml:space="preserve"> </w:t>
      </w:r>
      <w:r>
        <w:t>万</w:t>
      </w:r>
      <w:r>
        <w:rPr>
          <w:spacing w:val="-9"/>
        </w:rPr>
        <w:t xml:space="preserve">元，份额比例 </w:t>
      </w:r>
      <w:r>
        <w:rPr>
          <w:rFonts w:ascii="Times New Roman" w:eastAsia="Times New Roman"/>
          <w:spacing w:val="-4"/>
        </w:rPr>
        <w:t>100%</w:t>
      </w:r>
      <w:r>
        <w:rPr>
          <w:spacing w:val="-7"/>
        </w:rPr>
        <w:t xml:space="preserve">。较上年预算安排的增加 </w:t>
      </w:r>
      <w:r>
        <w:rPr>
          <w:rFonts w:ascii="Times New Roman" w:eastAsia="Times New Roman"/>
          <w:spacing w:val="-4"/>
        </w:rPr>
        <w:t>1911.59</w:t>
      </w:r>
      <w:r>
        <w:rPr>
          <w:rFonts w:ascii="Times New Roman" w:eastAsia="Times New Roman"/>
          <w:spacing w:val="-9"/>
        </w:rPr>
        <w:t xml:space="preserve"> </w:t>
      </w:r>
      <w:r>
        <w:rPr>
          <w:spacing w:val="-4"/>
        </w:rPr>
        <w:t>万元，增</w:t>
      </w:r>
      <w:r>
        <w:rPr>
          <w:spacing w:val="-20"/>
        </w:rPr>
        <w:t xml:space="preserve">幅 </w:t>
      </w:r>
      <w:r>
        <w:rPr>
          <w:rFonts w:ascii="Times New Roman" w:eastAsia="Times New Roman"/>
        </w:rPr>
        <w:t>0%</w:t>
      </w:r>
      <w:r>
        <w:t>，主要原因今年有安排政府采购预算。</w:t>
      </w:r>
    </w:p>
    <w:p w14:paraId="526E85FF">
      <w:pPr>
        <w:pStyle w:val="3"/>
        <w:spacing w:before="3"/>
        <w:ind w:left="747"/>
      </w:pPr>
      <w:r>
        <w:rPr>
          <w:spacing w:val="-5"/>
        </w:rPr>
        <w:t>七、国有资产占用情况</w:t>
      </w:r>
    </w:p>
    <w:p w14:paraId="18D9576C">
      <w:pPr>
        <w:pStyle w:val="3"/>
        <w:spacing w:before="211"/>
        <w:ind w:left="747"/>
      </w:pPr>
      <w:r>
        <w:rPr>
          <w:rFonts w:ascii="Times New Roman" w:eastAsia="Times New Roman"/>
        </w:rPr>
        <w:t>2025</w:t>
      </w:r>
      <w:r>
        <w:rPr>
          <w:rFonts w:ascii="Times New Roman" w:eastAsia="Times New Roman"/>
          <w:spacing w:val="-30"/>
        </w:rPr>
        <w:t xml:space="preserve"> </w:t>
      </w:r>
      <w:r>
        <w:rPr>
          <w:spacing w:val="2"/>
        </w:rPr>
        <w:t>年初资产总额</w:t>
      </w:r>
      <w:r>
        <w:rPr>
          <w:rFonts w:ascii="Times New Roman" w:eastAsia="Times New Roman"/>
        </w:rPr>
        <w:t>1471.66</w:t>
      </w:r>
      <w:r>
        <w:rPr>
          <w:rFonts w:ascii="Times New Roman" w:eastAsia="Times New Roman"/>
          <w:spacing w:val="-28"/>
        </w:rPr>
        <w:t xml:space="preserve"> </w:t>
      </w:r>
      <w:r>
        <w:rPr>
          <w:spacing w:val="-18"/>
        </w:rPr>
        <w:t>万元，其中流动资产</w:t>
      </w:r>
      <w:r>
        <w:rPr>
          <w:rFonts w:ascii="Times New Roman" w:eastAsia="Times New Roman"/>
        </w:rPr>
        <w:t>19.56</w:t>
      </w:r>
      <w:r>
        <w:rPr>
          <w:rFonts w:ascii="Times New Roman" w:eastAsia="Times New Roman"/>
          <w:spacing w:val="-28"/>
        </w:rPr>
        <w:t xml:space="preserve"> </w:t>
      </w:r>
      <w:r>
        <w:rPr>
          <w:spacing w:val="-4"/>
        </w:rPr>
        <w:t>万元，</w:t>
      </w:r>
    </w:p>
    <w:p w14:paraId="4C024D12">
      <w:pPr>
        <w:pStyle w:val="3"/>
        <w:spacing w:before="210"/>
        <w:jc w:val="both"/>
        <w:rPr>
          <w:rFonts w:ascii="Times New Roman" w:eastAsia="Times New Roman"/>
        </w:rPr>
      </w:pPr>
      <w:r>
        <w:rPr>
          <w:spacing w:val="-14"/>
        </w:rPr>
        <w:t xml:space="preserve">固定资产原值 </w:t>
      </w:r>
      <w:r>
        <w:rPr>
          <w:rFonts w:ascii="Times New Roman" w:eastAsia="Times New Roman"/>
          <w:spacing w:val="-2"/>
        </w:rPr>
        <w:t>2060.02</w:t>
      </w:r>
      <w:r>
        <w:rPr>
          <w:rFonts w:ascii="Times New Roman" w:eastAsia="Times New Roman"/>
          <w:spacing w:val="-9"/>
        </w:rPr>
        <w:t xml:space="preserve"> </w:t>
      </w:r>
      <w:r>
        <w:rPr>
          <w:spacing w:val="-28"/>
        </w:rPr>
        <w:t xml:space="preserve">万元，累计折旧 </w:t>
      </w:r>
      <w:r>
        <w:rPr>
          <w:rFonts w:ascii="Times New Roman" w:eastAsia="Times New Roman"/>
          <w:spacing w:val="-2"/>
        </w:rPr>
        <w:t>607.92</w:t>
      </w:r>
      <w:r>
        <w:rPr>
          <w:rFonts w:ascii="Times New Roman" w:eastAsia="Times New Roman"/>
          <w:spacing w:val="-1"/>
        </w:rPr>
        <w:t xml:space="preserve"> </w:t>
      </w:r>
      <w:r>
        <w:rPr>
          <w:spacing w:val="-34"/>
        </w:rPr>
        <w:t xml:space="preserve">万元，净值 </w:t>
      </w:r>
      <w:r>
        <w:rPr>
          <w:rFonts w:ascii="Times New Roman" w:eastAsia="Times New Roman"/>
          <w:spacing w:val="-2"/>
        </w:rPr>
        <w:t>1452.1</w:t>
      </w:r>
    </w:p>
    <w:p w14:paraId="0A6D4567">
      <w:pPr>
        <w:pStyle w:val="3"/>
        <w:spacing w:before="209" w:line="364" w:lineRule="auto"/>
        <w:ind w:right="269"/>
      </w:pPr>
      <w:r>
        <w:rPr>
          <w:spacing w:val="-14"/>
        </w:rPr>
        <w:t xml:space="preserve">万元，较上年 </w:t>
      </w:r>
      <w:r>
        <w:rPr>
          <w:rFonts w:ascii="Times New Roman" w:eastAsia="Times New Roman"/>
          <w:spacing w:val="-2"/>
        </w:rPr>
        <w:t>1521.37</w:t>
      </w:r>
      <w:r>
        <w:rPr>
          <w:rFonts w:ascii="Times New Roman" w:eastAsia="Times New Roman"/>
          <w:spacing w:val="-18"/>
        </w:rPr>
        <w:t xml:space="preserve"> </w:t>
      </w:r>
      <w:r>
        <w:rPr>
          <w:spacing w:val="-18"/>
        </w:rPr>
        <w:t xml:space="preserve">万元减少 </w:t>
      </w:r>
      <w:r>
        <w:rPr>
          <w:rFonts w:ascii="Times New Roman" w:eastAsia="Times New Roman"/>
          <w:spacing w:val="-2"/>
        </w:rPr>
        <w:t>49.71</w:t>
      </w:r>
      <w:r>
        <w:rPr>
          <w:rFonts w:ascii="Times New Roman" w:eastAsia="Times New Roman"/>
          <w:spacing w:val="-17"/>
        </w:rPr>
        <w:t xml:space="preserve"> </w:t>
      </w:r>
      <w:r>
        <w:rPr>
          <w:spacing w:val="-15"/>
        </w:rPr>
        <w:t xml:space="preserve">万元，减幅 </w:t>
      </w:r>
      <w:r>
        <w:rPr>
          <w:rFonts w:ascii="Times New Roman" w:eastAsia="Times New Roman"/>
          <w:spacing w:val="-2"/>
        </w:rPr>
        <w:t>3.27</w:t>
      </w:r>
      <w:r>
        <w:rPr>
          <w:spacing w:val="-2"/>
        </w:rPr>
        <w:t>％，主要原因是固定资产折旧导致。</w:t>
      </w:r>
    </w:p>
    <w:p w14:paraId="7E7C6E10">
      <w:pPr>
        <w:pStyle w:val="3"/>
        <w:spacing w:line="404" w:lineRule="exact"/>
        <w:ind w:left="747"/>
      </w:pPr>
      <w:r>
        <w:rPr>
          <w:spacing w:val="-5"/>
        </w:rPr>
        <w:t>八、重点项目预算绩效情况</w:t>
      </w:r>
    </w:p>
    <w:p w14:paraId="436E09D2">
      <w:pPr>
        <w:pStyle w:val="2"/>
        <w:spacing w:before="103"/>
      </w:pPr>
      <w:r>
        <w:rPr>
          <w:spacing w:val="-2"/>
        </w:rPr>
        <w:t>（一）</w:t>
      </w:r>
      <w:r>
        <w:rPr>
          <w:spacing w:val="-3"/>
        </w:rPr>
        <w:t>部门整体绩效目标编制情况</w:t>
      </w:r>
    </w:p>
    <w:p w14:paraId="54C12046">
      <w:pPr>
        <w:pStyle w:val="3"/>
        <w:spacing w:before="74" w:line="372" w:lineRule="auto"/>
        <w:ind w:right="105" w:firstLine="640"/>
      </w:pPr>
      <w:r>
        <w:rPr>
          <w:spacing w:val="-2"/>
        </w:rPr>
        <w:t>本部门整体绩效目标是：</w:t>
      </w:r>
      <w:r>
        <w:rPr>
          <w:color w:val="000009"/>
          <w:spacing w:val="-2"/>
        </w:rPr>
        <w:t>长期目标为严格守住耕地保护红</w:t>
      </w:r>
      <w:r>
        <w:rPr>
          <w:color w:val="000009"/>
          <w:spacing w:val="-4"/>
        </w:rPr>
        <w:t>线，筑牢粮食安全底线；加强用地要素保障，助力高质量发展；</w:t>
      </w:r>
      <w:r>
        <w:rPr>
          <w:color w:val="000009"/>
          <w:spacing w:val="-2"/>
        </w:rPr>
        <w:t>发挥空间规划引领作用，保障城市有序发展；加快规划编制，谋篇布局优空间；聚焦要素保障，高效利用腾空间；强化安全意识，筑牢安全防线。年度目标为突出规划引领，着力抓好规划编制，高品质完善城市功能；突出要素支撑，着力保障土地供给;突出资源保护，着力筑牢耕地保护防线；突出安全防范，着力应对自然灾害;突出靠前服务，着力优化营商环境。</w:t>
      </w:r>
    </w:p>
    <w:p w14:paraId="689C9330">
      <w:pPr>
        <w:pStyle w:val="3"/>
        <w:spacing w:before="4" w:line="372" w:lineRule="auto"/>
        <w:ind w:right="126" w:firstLine="633"/>
      </w:pPr>
      <w:r>
        <w:rPr>
          <w:color w:val="333333"/>
          <w:spacing w:val="-15"/>
        </w:rPr>
        <w:t xml:space="preserve">长期目标 </w:t>
      </w:r>
      <w:r>
        <w:rPr>
          <w:color w:val="333333"/>
          <w:spacing w:val="-2"/>
        </w:rPr>
        <w:t>1：严格守住耕地保护红线，筑牢粮食安全底线。</w:t>
      </w:r>
      <w:r>
        <w:rPr>
          <w:color w:val="000009"/>
          <w:spacing w:val="-2"/>
        </w:rPr>
        <w:t>具体指标设置为：</w:t>
      </w:r>
    </w:p>
    <w:p w14:paraId="45FA3FE5">
      <w:pPr>
        <w:spacing w:after="0" w:line="372" w:lineRule="auto"/>
        <w:sectPr>
          <w:pgSz w:w="11910" w:h="16840"/>
          <w:pgMar w:top="1920" w:right="1320" w:bottom="1720" w:left="1480" w:header="0" w:footer="1532" w:gutter="0"/>
          <w:cols w:space="720" w:num="1"/>
        </w:sectPr>
      </w:pPr>
    </w:p>
    <w:p w14:paraId="14BFE5FB">
      <w:pPr>
        <w:pStyle w:val="3"/>
        <w:spacing w:before="3"/>
        <w:ind w:left="0"/>
        <w:rPr>
          <w:sz w:val="8"/>
        </w:rPr>
      </w:pPr>
    </w:p>
    <w:p w14:paraId="77CE2E15">
      <w:pPr>
        <w:pStyle w:val="3"/>
        <w:spacing w:before="54" w:line="372" w:lineRule="auto"/>
        <w:ind w:right="358" w:firstLine="633"/>
        <w:jc w:val="both"/>
      </w:pPr>
      <w:r>
        <w:rPr>
          <w:color w:val="333333"/>
          <w:spacing w:val="-2"/>
        </w:rPr>
        <w:t>产出指标：</w:t>
      </w:r>
      <w:r>
        <w:rPr>
          <w:color w:val="000009"/>
          <w:spacing w:val="-2"/>
        </w:rPr>
        <w:t>协调经济发展与自然资源保护问题，守住自然生态安全边界，筑牢耕地保护红线。指标设立依据是按照计划标准实施。</w:t>
      </w:r>
    </w:p>
    <w:p w14:paraId="0159C6F2">
      <w:pPr>
        <w:pStyle w:val="3"/>
        <w:spacing w:before="2" w:line="372" w:lineRule="auto"/>
        <w:ind w:right="365" w:firstLine="633"/>
      </w:pPr>
      <w:r>
        <w:rPr>
          <w:color w:val="333333"/>
          <w:spacing w:val="-2"/>
        </w:rPr>
        <w:t>效益指标：</w:t>
      </w:r>
      <w:r>
        <w:rPr>
          <w:color w:val="000009"/>
          <w:spacing w:val="-2"/>
        </w:rPr>
        <w:t>满足经济社会发展和自然资源工作需要。指标</w:t>
      </w:r>
      <w:r>
        <w:rPr>
          <w:color w:val="333333"/>
          <w:spacing w:val="-2"/>
        </w:rPr>
        <w:t>设立依据是按照效益标准实施。</w:t>
      </w:r>
    </w:p>
    <w:p w14:paraId="235A7B17">
      <w:pPr>
        <w:pStyle w:val="3"/>
        <w:spacing w:line="372" w:lineRule="auto"/>
        <w:ind w:right="365" w:firstLine="633"/>
      </w:pPr>
      <w:r>
        <w:rPr>
          <w:color w:val="333333"/>
          <w:spacing w:val="-2"/>
        </w:rPr>
        <w:t>满意度指标：服务对象满意度率，指标值≥90％，指标设立依据满意度指标达标。</w:t>
      </w:r>
    </w:p>
    <w:p w14:paraId="175FB557">
      <w:pPr>
        <w:pStyle w:val="3"/>
        <w:spacing w:before="1" w:line="372" w:lineRule="auto"/>
        <w:ind w:right="264" w:firstLine="633"/>
      </w:pPr>
      <w:r>
        <w:rPr>
          <w:color w:val="333333"/>
          <w:spacing w:val="-21"/>
        </w:rPr>
        <w:t xml:space="preserve">长期目标 </w:t>
      </w:r>
      <w:r>
        <w:rPr>
          <w:color w:val="333333"/>
          <w:spacing w:val="-6"/>
        </w:rPr>
        <w:t>2：加强用地要素保障，助力高质量发展。具体指</w:t>
      </w:r>
      <w:r>
        <w:rPr>
          <w:color w:val="333333"/>
          <w:spacing w:val="-2"/>
        </w:rPr>
        <w:t>标设置为：</w:t>
      </w:r>
    </w:p>
    <w:p w14:paraId="11AE5349">
      <w:pPr>
        <w:pStyle w:val="3"/>
        <w:spacing w:before="2" w:line="372" w:lineRule="auto"/>
        <w:ind w:right="365" w:firstLine="633"/>
      </w:pPr>
      <w:r>
        <w:rPr>
          <w:color w:val="333333"/>
          <w:spacing w:val="-2"/>
        </w:rPr>
        <w:t>产出指标：可持续影响指标加强自然资源保护利用，促进人与自然和谐共生。指标设立依据是按照计划标准实施。</w:t>
      </w:r>
    </w:p>
    <w:p w14:paraId="155FEC4D">
      <w:pPr>
        <w:pStyle w:val="3"/>
        <w:spacing w:before="1" w:line="372" w:lineRule="auto"/>
        <w:ind w:right="357" w:firstLine="633"/>
        <w:jc w:val="both"/>
      </w:pPr>
      <w:r>
        <w:rPr>
          <w:color w:val="333333"/>
          <w:spacing w:val="-2"/>
        </w:rPr>
        <w:t>效益指标：重点项目、基础设施用地提供优质服务，保障项目及时报批</w:t>
      </w:r>
      <w:r>
        <w:rPr>
          <w:rFonts w:hint="eastAsia"/>
          <w:color w:val="333333"/>
          <w:spacing w:val="-2"/>
          <w:lang w:eastAsia="zh-CN"/>
        </w:rPr>
        <w:t>及</w:t>
      </w:r>
      <w:r>
        <w:rPr>
          <w:color w:val="333333"/>
          <w:spacing w:val="-2"/>
        </w:rPr>
        <w:t>时用地</w:t>
      </w:r>
      <w:r>
        <w:rPr>
          <w:rFonts w:hint="eastAsia"/>
          <w:color w:val="333333"/>
          <w:spacing w:val="-2"/>
          <w:lang w:eastAsia="zh-CN"/>
        </w:rPr>
        <w:t>及</w:t>
      </w:r>
      <w:r>
        <w:rPr>
          <w:color w:val="333333"/>
          <w:spacing w:val="-2"/>
        </w:rPr>
        <w:t>时建设。</w:t>
      </w:r>
      <w:r>
        <w:rPr>
          <w:color w:val="000009"/>
          <w:spacing w:val="-2"/>
        </w:rPr>
        <w:t>指标</w:t>
      </w:r>
      <w:r>
        <w:rPr>
          <w:color w:val="333333"/>
          <w:spacing w:val="-2"/>
        </w:rPr>
        <w:t>设立依据是按照效益标准实施。</w:t>
      </w:r>
    </w:p>
    <w:p w14:paraId="40C9A0BF">
      <w:pPr>
        <w:pStyle w:val="3"/>
        <w:spacing w:before="1" w:line="372" w:lineRule="auto"/>
        <w:ind w:right="365" w:firstLine="633"/>
      </w:pPr>
      <w:r>
        <w:rPr>
          <w:color w:val="333333"/>
          <w:spacing w:val="-2"/>
        </w:rPr>
        <w:t>满意度指标：服务对象满意度率，指标值≥90％，指标设立依据满意度指标达标。</w:t>
      </w:r>
    </w:p>
    <w:p w14:paraId="42987725">
      <w:pPr>
        <w:pStyle w:val="3"/>
        <w:spacing w:before="1" w:line="372" w:lineRule="auto"/>
        <w:ind w:right="126" w:firstLine="633"/>
      </w:pPr>
      <w:r>
        <w:rPr>
          <w:color w:val="333333"/>
          <w:spacing w:val="-15"/>
        </w:rPr>
        <w:t xml:space="preserve">长期目标 </w:t>
      </w:r>
      <w:r>
        <w:rPr>
          <w:color w:val="333333"/>
          <w:spacing w:val="-2"/>
        </w:rPr>
        <w:t>3：发挥空间规划引领作用，保障城市有序发展；加快规划编制，谋篇布局优空间。</w:t>
      </w:r>
      <w:r>
        <w:rPr>
          <w:color w:val="000009"/>
          <w:spacing w:val="-2"/>
        </w:rPr>
        <w:t>具体指标设置为：</w:t>
      </w:r>
    </w:p>
    <w:p w14:paraId="7B919258">
      <w:pPr>
        <w:pStyle w:val="3"/>
        <w:spacing w:before="1" w:line="372" w:lineRule="auto"/>
        <w:ind w:right="365" w:firstLine="633"/>
      </w:pPr>
      <w:r>
        <w:rPr>
          <w:color w:val="333333"/>
          <w:spacing w:val="-2"/>
        </w:rPr>
        <w:t>产出指标：创新服务举措，全方位提升规划服务水平，提高工作效能。指标设立依据是按照计划标准实施。</w:t>
      </w:r>
    </w:p>
    <w:p w14:paraId="484AF4D1">
      <w:pPr>
        <w:spacing w:after="0" w:line="372" w:lineRule="auto"/>
        <w:sectPr>
          <w:pgSz w:w="11910" w:h="16840"/>
          <w:pgMar w:top="1920" w:right="1320" w:bottom="1720" w:left="1480" w:header="0" w:footer="1532" w:gutter="0"/>
          <w:cols w:space="720" w:num="1"/>
        </w:sectPr>
      </w:pPr>
    </w:p>
    <w:p w14:paraId="245ABD91">
      <w:pPr>
        <w:pStyle w:val="3"/>
        <w:spacing w:before="3"/>
        <w:ind w:left="0"/>
        <w:rPr>
          <w:sz w:val="8"/>
        </w:rPr>
      </w:pPr>
    </w:p>
    <w:p w14:paraId="4B3D0092">
      <w:pPr>
        <w:pStyle w:val="3"/>
        <w:spacing w:before="54" w:line="372" w:lineRule="auto"/>
        <w:ind w:right="365" w:firstLine="633"/>
      </w:pPr>
      <w:r>
        <w:rPr>
          <w:color w:val="333333"/>
          <w:spacing w:val="-2"/>
        </w:rPr>
        <w:t>效益指标：规划审批不断提质提速，着力提升服务效能。指标设立依据是按照效益标准实施。</w:t>
      </w:r>
    </w:p>
    <w:p w14:paraId="6460D2B3">
      <w:pPr>
        <w:pStyle w:val="3"/>
        <w:spacing w:before="1" w:line="372" w:lineRule="auto"/>
        <w:ind w:right="365" w:firstLine="633"/>
      </w:pPr>
      <w:r>
        <w:rPr>
          <w:color w:val="333333"/>
          <w:spacing w:val="-2"/>
        </w:rPr>
        <w:t>满意度指标：服务对象满意度率，指标值≥90％，指标设立依据满意度指标达标。</w:t>
      </w:r>
    </w:p>
    <w:p w14:paraId="5E598C70">
      <w:pPr>
        <w:pStyle w:val="3"/>
        <w:spacing w:before="63" w:line="364" w:lineRule="auto"/>
        <w:ind w:right="266" w:firstLine="640"/>
      </w:pPr>
      <w:r>
        <w:rPr>
          <w:spacing w:val="-21"/>
        </w:rPr>
        <w:t xml:space="preserve">年度目标 </w:t>
      </w:r>
      <w:r>
        <w:rPr>
          <w:rFonts w:ascii="Times New Roman" w:eastAsia="Times New Roman"/>
          <w:spacing w:val="-6"/>
        </w:rPr>
        <w:t>1</w:t>
      </w:r>
      <w:r>
        <w:rPr>
          <w:spacing w:val="-6"/>
        </w:rPr>
        <w:t>：</w:t>
      </w:r>
      <w:r>
        <w:rPr>
          <w:color w:val="000009"/>
          <w:spacing w:val="-6"/>
        </w:rPr>
        <w:t>突出规划引领，着力抓好规划编制，高品质完</w:t>
      </w:r>
      <w:r>
        <w:rPr>
          <w:color w:val="000009"/>
          <w:spacing w:val="-2"/>
        </w:rPr>
        <w:t>善城市功能</w:t>
      </w:r>
      <w:r>
        <w:rPr>
          <w:spacing w:val="-2"/>
        </w:rPr>
        <w:t>，具体指标设置为：</w:t>
      </w:r>
    </w:p>
    <w:p w14:paraId="70386D7A">
      <w:pPr>
        <w:pStyle w:val="3"/>
        <w:spacing w:line="342" w:lineRule="exact"/>
        <w:ind w:left="740"/>
      </w:pPr>
      <w:r>
        <w:rPr>
          <w:spacing w:val="-5"/>
        </w:rPr>
        <w:t>产出指标：完成国土空间规划用地布局更新工作、重点项</w:t>
      </w:r>
    </w:p>
    <w:p w14:paraId="23D3A23A">
      <w:pPr>
        <w:pStyle w:val="3"/>
        <w:spacing w:before="226" w:line="372" w:lineRule="auto"/>
        <w:ind w:right="357"/>
      </w:pPr>
      <w:r>
        <w:rPr>
          <w:spacing w:val="-2"/>
        </w:rPr>
        <w:t>目规划编制工作，助推重点项目快动快落。指标设立依据是按照计划标准实施。</w:t>
      </w:r>
    </w:p>
    <w:p w14:paraId="289980DB">
      <w:pPr>
        <w:pStyle w:val="3"/>
        <w:spacing w:before="1" w:line="372" w:lineRule="auto"/>
        <w:ind w:right="365" w:firstLine="633"/>
      </w:pPr>
      <w:r>
        <w:rPr>
          <w:spacing w:val="-2"/>
        </w:rPr>
        <w:t>效益指标：项目在办理规划手续中节省时间、提高效率。指标设立依据是按照效益标准实施。</w:t>
      </w:r>
    </w:p>
    <w:p w14:paraId="3BBB3A2D">
      <w:pPr>
        <w:pStyle w:val="3"/>
        <w:spacing w:before="1" w:line="372" w:lineRule="auto"/>
        <w:ind w:right="365" w:firstLine="633"/>
      </w:pPr>
      <w:r>
        <w:rPr>
          <w:spacing w:val="-2"/>
        </w:rPr>
        <w:t>满意度指标：服务对象满意度率，指标值≥90％，指标设立依据满意度指标达标。</w:t>
      </w:r>
    </w:p>
    <w:p w14:paraId="5B7B5DBE">
      <w:pPr>
        <w:pStyle w:val="3"/>
        <w:spacing w:before="1" w:line="372" w:lineRule="auto"/>
        <w:ind w:right="266" w:firstLine="633"/>
      </w:pPr>
      <w:r>
        <w:rPr>
          <w:spacing w:val="-21"/>
        </w:rPr>
        <w:t xml:space="preserve">年度目标 </w:t>
      </w:r>
      <w:r>
        <w:rPr>
          <w:spacing w:val="-6"/>
        </w:rPr>
        <w:t>2：</w:t>
      </w:r>
      <w:r>
        <w:rPr>
          <w:color w:val="000009"/>
          <w:spacing w:val="-6"/>
        </w:rPr>
        <w:t>突出要素支撑，着力保障土地供给。</w:t>
      </w:r>
      <w:r>
        <w:rPr>
          <w:spacing w:val="-6"/>
        </w:rPr>
        <w:t>具体指标</w:t>
      </w:r>
      <w:r>
        <w:rPr>
          <w:spacing w:val="-4"/>
        </w:rPr>
        <w:t>设置为：</w:t>
      </w:r>
    </w:p>
    <w:p w14:paraId="2D31A4A5">
      <w:pPr>
        <w:pStyle w:val="3"/>
        <w:spacing w:before="1" w:line="372" w:lineRule="auto"/>
        <w:ind w:right="358" w:firstLine="633"/>
        <w:jc w:val="both"/>
      </w:pPr>
      <w:r>
        <w:rPr>
          <w:color w:val="000009"/>
          <w:spacing w:val="-2"/>
        </w:rPr>
        <w:t>产出指标：</w:t>
      </w:r>
      <w:r>
        <w:rPr>
          <w:color w:val="333333"/>
          <w:spacing w:val="-2"/>
        </w:rPr>
        <w:t>统筹做好“要素保障”与“资源保护”两篇文章，以高质量自然资源要素助力经济高质量发展。指标设立依据是按照计划标准实施。</w:t>
      </w:r>
    </w:p>
    <w:p w14:paraId="2CF7CB05">
      <w:pPr>
        <w:pStyle w:val="3"/>
        <w:spacing w:before="2" w:line="372" w:lineRule="auto"/>
        <w:ind w:right="105" w:firstLine="633"/>
      </w:pPr>
      <w:r>
        <w:rPr>
          <w:color w:val="000009"/>
          <w:spacing w:val="-4"/>
        </w:rPr>
        <w:t>效益指标：</w:t>
      </w:r>
      <w:r>
        <w:rPr>
          <w:color w:val="333333"/>
          <w:spacing w:val="-4"/>
        </w:rPr>
        <w:t>为项目建设争时间、抢速度，促使项目早开工、</w:t>
      </w:r>
      <w:r>
        <w:rPr>
          <w:color w:val="333333"/>
          <w:spacing w:val="-2"/>
        </w:rPr>
        <w:t>早投产、早见效。指标设立依据是按照效益标准实施。</w:t>
      </w:r>
    </w:p>
    <w:p w14:paraId="614C59E1">
      <w:pPr>
        <w:spacing w:after="0" w:line="372" w:lineRule="auto"/>
        <w:sectPr>
          <w:footerReference r:id="rId7" w:type="default"/>
          <w:footerReference r:id="rId8" w:type="even"/>
          <w:pgSz w:w="11910" w:h="16840"/>
          <w:pgMar w:top="1920" w:right="1320" w:bottom="1720" w:left="1480" w:header="0" w:footer="1532" w:gutter="0"/>
          <w:pgNumType w:start="10"/>
          <w:cols w:space="720" w:num="1"/>
        </w:sectPr>
      </w:pPr>
    </w:p>
    <w:p w14:paraId="5A5B0590">
      <w:pPr>
        <w:pStyle w:val="3"/>
        <w:spacing w:before="3"/>
        <w:ind w:left="0"/>
        <w:rPr>
          <w:sz w:val="8"/>
        </w:rPr>
      </w:pPr>
    </w:p>
    <w:p w14:paraId="2C09F026">
      <w:pPr>
        <w:pStyle w:val="3"/>
        <w:spacing w:before="54" w:line="372" w:lineRule="auto"/>
        <w:ind w:right="365" w:firstLine="633"/>
      </w:pPr>
      <w:r>
        <w:rPr>
          <w:spacing w:val="-2"/>
        </w:rPr>
        <w:t>满意度指标：服务对象满意度率，指标值≥90％，指标设立依据满意度指标达标。</w:t>
      </w:r>
    </w:p>
    <w:p w14:paraId="31E53C6D">
      <w:pPr>
        <w:pStyle w:val="3"/>
        <w:spacing w:before="1" w:line="372" w:lineRule="auto"/>
        <w:ind w:right="266" w:firstLine="633"/>
      </w:pPr>
      <w:r>
        <w:rPr>
          <w:spacing w:val="-21"/>
        </w:rPr>
        <w:t xml:space="preserve">年度目标 </w:t>
      </w:r>
      <w:r>
        <w:rPr>
          <w:spacing w:val="-6"/>
        </w:rPr>
        <w:t>3：</w:t>
      </w:r>
      <w:r>
        <w:rPr>
          <w:color w:val="000009"/>
          <w:spacing w:val="-6"/>
        </w:rPr>
        <w:t>突出资源保护，着力筑牢耕地保护防线。</w:t>
      </w:r>
      <w:r>
        <w:rPr>
          <w:spacing w:val="-6"/>
        </w:rPr>
        <w:t>具体</w:t>
      </w:r>
      <w:r>
        <w:rPr>
          <w:spacing w:val="-2"/>
        </w:rPr>
        <w:t>指标设置为：</w:t>
      </w:r>
    </w:p>
    <w:p w14:paraId="2C3E6EE5">
      <w:pPr>
        <w:pStyle w:val="3"/>
        <w:spacing w:before="1" w:line="372" w:lineRule="auto"/>
        <w:ind w:right="365" w:firstLine="633"/>
      </w:pPr>
      <w:r>
        <w:rPr>
          <w:color w:val="000009"/>
          <w:spacing w:val="-2"/>
        </w:rPr>
        <w:t>产出指标：</w:t>
      </w:r>
      <w:r>
        <w:rPr>
          <w:spacing w:val="-2"/>
        </w:rPr>
        <w:t>严厉打击自然资源违法行为，持续做好督察反馈问题整改。</w:t>
      </w:r>
      <w:r>
        <w:rPr>
          <w:color w:val="333333"/>
          <w:spacing w:val="-2"/>
        </w:rPr>
        <w:t>指标设立依据是按照计划标准实施。</w:t>
      </w:r>
    </w:p>
    <w:p w14:paraId="738394FD">
      <w:pPr>
        <w:pStyle w:val="3"/>
        <w:spacing w:before="1" w:line="372" w:lineRule="auto"/>
        <w:ind w:right="357" w:firstLine="633"/>
        <w:jc w:val="both"/>
      </w:pPr>
      <w:r>
        <w:rPr>
          <w:color w:val="333333"/>
          <w:spacing w:val="-2"/>
        </w:rPr>
        <w:t>效益指标：</w:t>
      </w:r>
      <w:r>
        <w:rPr>
          <w:spacing w:val="-2"/>
        </w:rPr>
        <w:t>严格耕地保护，全面推进耕地流出整改工作，坚决遏制耕地“非农化”、防止耕地“非粮化”。</w:t>
      </w:r>
      <w:r>
        <w:rPr>
          <w:color w:val="333333"/>
          <w:spacing w:val="-2"/>
        </w:rPr>
        <w:t>指标设立依据是按照效益标准实施。</w:t>
      </w:r>
    </w:p>
    <w:p w14:paraId="19C3CD27">
      <w:pPr>
        <w:pStyle w:val="3"/>
        <w:spacing w:before="2" w:line="372" w:lineRule="auto"/>
        <w:ind w:right="365" w:firstLine="633"/>
      </w:pPr>
      <w:r>
        <w:rPr>
          <w:spacing w:val="-2"/>
        </w:rPr>
        <w:t>满意度指标：服务对象满意度率，指标值≥90％，指标设立依据满意度指标达标。</w:t>
      </w:r>
    </w:p>
    <w:p w14:paraId="6720B062">
      <w:pPr>
        <w:pStyle w:val="3"/>
        <w:spacing w:before="1" w:line="372" w:lineRule="auto"/>
        <w:ind w:right="266" w:firstLine="633"/>
      </w:pPr>
      <w:r>
        <w:rPr>
          <w:color w:val="000009"/>
          <w:spacing w:val="-21"/>
        </w:rPr>
        <w:t xml:space="preserve">年度目标 </w:t>
      </w:r>
      <w:r>
        <w:rPr>
          <w:color w:val="000009"/>
          <w:spacing w:val="-6"/>
        </w:rPr>
        <w:t>4：突出安全防范，着力应对自然灾害。</w:t>
      </w:r>
      <w:r>
        <w:rPr>
          <w:spacing w:val="-6"/>
        </w:rPr>
        <w:t>具体指标</w:t>
      </w:r>
      <w:r>
        <w:rPr>
          <w:spacing w:val="-4"/>
        </w:rPr>
        <w:t>设置为：</w:t>
      </w:r>
    </w:p>
    <w:p w14:paraId="08C44E82">
      <w:pPr>
        <w:pStyle w:val="3"/>
        <w:spacing w:before="1" w:line="372" w:lineRule="auto"/>
        <w:ind w:right="358" w:firstLine="633"/>
        <w:jc w:val="both"/>
      </w:pPr>
      <w:r>
        <w:rPr>
          <w:color w:val="000009"/>
          <w:spacing w:val="-2"/>
        </w:rPr>
        <w:t>产出指标：紧抓地质灾害防治，完善地灾隐患治理项目；集中开展汛前隐患排查整治工作，积极应对冰冻灾害天气；开</w:t>
      </w:r>
      <w:r>
        <w:rPr>
          <w:color w:val="000009"/>
          <w:spacing w:val="-5"/>
        </w:rPr>
        <w:t>展城镇燃气全链条提升。指标设立依据是按照计划标准实施。</w:t>
      </w:r>
    </w:p>
    <w:p w14:paraId="5176B579">
      <w:pPr>
        <w:pStyle w:val="3"/>
        <w:spacing w:before="1" w:line="372" w:lineRule="auto"/>
        <w:ind w:right="108" w:firstLine="633"/>
      </w:pPr>
      <w:r>
        <w:rPr>
          <w:color w:val="333333"/>
          <w:spacing w:val="-4"/>
        </w:rPr>
        <w:t>效益指标：</w:t>
      </w:r>
      <w:r>
        <w:rPr>
          <w:spacing w:val="-4"/>
        </w:rPr>
        <w:t>建立重点监测台账，备足物料装备，专库储备、</w:t>
      </w:r>
      <w:r>
        <w:rPr>
          <w:spacing w:val="-2"/>
        </w:rPr>
        <w:t>专人管理。</w:t>
      </w:r>
      <w:r>
        <w:rPr>
          <w:color w:val="333333"/>
          <w:spacing w:val="-2"/>
        </w:rPr>
        <w:t>指标设立依据是按照效益标准实施。</w:t>
      </w:r>
    </w:p>
    <w:p w14:paraId="51EA14C5">
      <w:pPr>
        <w:pStyle w:val="3"/>
        <w:spacing w:before="1" w:line="372" w:lineRule="auto"/>
        <w:ind w:right="365" w:firstLine="633"/>
      </w:pPr>
      <w:r>
        <w:rPr>
          <w:spacing w:val="-2"/>
        </w:rPr>
        <w:t>满意度指标：服务对象满意度率，指标值≥90％，指标设立依据满意度指标达标。</w:t>
      </w:r>
    </w:p>
    <w:p w14:paraId="097E449F">
      <w:pPr>
        <w:spacing w:after="0" w:line="372" w:lineRule="auto"/>
        <w:sectPr>
          <w:pgSz w:w="11910" w:h="16840"/>
          <w:pgMar w:top="1920" w:right="1320" w:bottom="1720" w:left="1480" w:header="0" w:footer="1532" w:gutter="0"/>
          <w:cols w:space="720" w:num="1"/>
        </w:sectPr>
      </w:pPr>
    </w:p>
    <w:p w14:paraId="12C405FD">
      <w:pPr>
        <w:pStyle w:val="3"/>
        <w:spacing w:before="3"/>
        <w:ind w:left="0"/>
        <w:rPr>
          <w:sz w:val="8"/>
        </w:rPr>
      </w:pPr>
    </w:p>
    <w:p w14:paraId="5C4BABC3">
      <w:pPr>
        <w:pStyle w:val="3"/>
        <w:spacing w:before="54" w:line="372" w:lineRule="auto"/>
        <w:ind w:right="266" w:firstLine="633"/>
      </w:pPr>
      <w:r>
        <w:rPr>
          <w:color w:val="333333"/>
          <w:spacing w:val="-21"/>
        </w:rPr>
        <w:t xml:space="preserve">年度目标 </w:t>
      </w:r>
      <w:r>
        <w:rPr>
          <w:color w:val="333333"/>
          <w:spacing w:val="-6"/>
        </w:rPr>
        <w:t>5：</w:t>
      </w:r>
      <w:r>
        <w:rPr>
          <w:color w:val="000009"/>
          <w:spacing w:val="-6"/>
        </w:rPr>
        <w:t>突出靠前服务，着力优化营商环境。</w:t>
      </w:r>
      <w:r>
        <w:rPr>
          <w:spacing w:val="-6"/>
        </w:rPr>
        <w:t>具体指标</w:t>
      </w:r>
      <w:r>
        <w:rPr>
          <w:spacing w:val="-4"/>
        </w:rPr>
        <w:t>设置为：</w:t>
      </w:r>
    </w:p>
    <w:p w14:paraId="6C2EF568">
      <w:pPr>
        <w:pStyle w:val="3"/>
        <w:spacing w:before="1" w:line="372" w:lineRule="auto"/>
        <w:ind w:right="105" w:firstLine="633"/>
      </w:pPr>
      <w:r>
        <w:rPr>
          <w:color w:val="333333"/>
          <w:w w:val="99"/>
        </w:rPr>
        <w:t>产出指标：深入推进“批地即供地”，推行“一次组卷，</w:t>
      </w:r>
      <w:r>
        <w:rPr>
          <w:color w:val="333333"/>
          <w:spacing w:val="-22"/>
          <w:w w:val="99"/>
        </w:rPr>
        <w:t>联动审批”工作模式，实现“一次组卷、一套流程、一次审批”，</w:t>
      </w:r>
      <w:r>
        <w:rPr>
          <w:color w:val="333333"/>
          <w:spacing w:val="-5"/>
          <w:w w:val="99"/>
        </w:rPr>
        <w:t>缩短业务办理时间，加快项目用地快报、快批、快供。</w:t>
      </w:r>
      <w:r>
        <w:rPr>
          <w:color w:val="000009"/>
          <w:w w:val="99"/>
        </w:rPr>
        <w:t>指标设立依据是按照计划标准实施。</w:t>
      </w:r>
    </w:p>
    <w:p w14:paraId="3EBE48AC">
      <w:pPr>
        <w:pStyle w:val="3"/>
        <w:spacing w:before="2" w:line="372" w:lineRule="auto"/>
        <w:ind w:right="266" w:firstLine="633"/>
        <w:jc w:val="both"/>
      </w:pPr>
      <w:r>
        <w:rPr>
          <w:spacing w:val="-4"/>
        </w:rPr>
        <w:t>效益指标：</w:t>
      </w:r>
      <w:r>
        <w:rPr>
          <w:color w:val="333333"/>
          <w:spacing w:val="-4"/>
        </w:rPr>
        <w:t>优化窗口办件流程，积极推行“多证同发+送证</w:t>
      </w:r>
      <w:r>
        <w:rPr>
          <w:color w:val="333333"/>
          <w:spacing w:val="-2"/>
        </w:rPr>
        <w:t>上门”创新服务模式，为企业提供便捷、高效、贴心的服务。指标设立依据是按照效益标准实施。</w:t>
      </w:r>
    </w:p>
    <w:p w14:paraId="6979FA82">
      <w:pPr>
        <w:pStyle w:val="3"/>
        <w:spacing w:before="2" w:line="372" w:lineRule="auto"/>
        <w:ind w:right="365" w:firstLine="633"/>
      </w:pPr>
      <w:r>
        <w:rPr>
          <w:color w:val="333333"/>
          <w:spacing w:val="-2"/>
        </w:rPr>
        <w:t>满意度指标：服务对象满意度率，指标值≥90％，指标设立依据满意度指标达标。</w:t>
      </w:r>
    </w:p>
    <w:p w14:paraId="45E9B3E8">
      <w:pPr>
        <w:pStyle w:val="2"/>
        <w:spacing w:line="546" w:lineRule="exact"/>
      </w:pPr>
      <w:r>
        <w:rPr>
          <w:spacing w:val="-2"/>
        </w:rPr>
        <w:t>（二）</w:t>
      </w:r>
      <w:r>
        <w:rPr>
          <w:spacing w:val="-3"/>
        </w:rPr>
        <w:t>重点项目绩效目标编制情况</w:t>
      </w:r>
    </w:p>
    <w:p w14:paraId="7C65572D">
      <w:pPr>
        <w:pStyle w:val="3"/>
        <w:spacing w:before="33"/>
        <w:ind w:left="747"/>
      </w:pPr>
      <w:r>
        <w:rPr>
          <w:rFonts w:ascii="Times New Roman" w:eastAsia="Times New Roman"/>
          <w:b/>
          <w:spacing w:val="-4"/>
        </w:rPr>
        <w:t>1</w:t>
      </w:r>
      <w:r>
        <w:rPr>
          <w:rFonts w:ascii="Microsoft JhengHei" w:eastAsia="Microsoft JhengHei"/>
          <w:b/>
          <w:spacing w:val="-4"/>
        </w:rPr>
        <w:t>、</w:t>
      </w:r>
      <w:r>
        <w:rPr>
          <w:spacing w:val="-5"/>
        </w:rPr>
        <w:t>园区道路清扫保洁费</w:t>
      </w:r>
    </w:p>
    <w:p w14:paraId="1A9A283E">
      <w:pPr>
        <w:pStyle w:val="8"/>
        <w:numPr>
          <w:ilvl w:val="0"/>
          <w:numId w:val="3"/>
        </w:numPr>
        <w:tabs>
          <w:tab w:val="left" w:pos="1510"/>
        </w:tabs>
        <w:spacing w:before="136" w:after="0" w:line="362" w:lineRule="auto"/>
        <w:ind w:left="106" w:right="266" w:firstLine="640"/>
        <w:jc w:val="both"/>
        <w:rPr>
          <w:sz w:val="32"/>
        </w:rPr>
      </w:pPr>
      <w:r>
        <w:rPr>
          <w:spacing w:val="-2"/>
          <w:sz w:val="32"/>
        </w:rPr>
        <w:t>园区道路清扫保洁费主要内容是：高新区建成移交主</w:t>
      </w:r>
      <w:r>
        <w:rPr>
          <w:spacing w:val="-17"/>
          <w:sz w:val="32"/>
        </w:rPr>
        <w:t>次干道清扫保洁。</w:t>
      </w:r>
      <w:r>
        <w:rPr>
          <w:rFonts w:ascii="Times New Roman" w:eastAsia="Times New Roman"/>
          <w:spacing w:val="-4"/>
          <w:sz w:val="32"/>
        </w:rPr>
        <w:t>2025</w:t>
      </w:r>
      <w:r>
        <w:rPr>
          <w:rFonts w:ascii="Times New Roman" w:eastAsia="Times New Roman"/>
          <w:spacing w:val="-16"/>
          <w:sz w:val="32"/>
        </w:rPr>
        <w:t xml:space="preserve"> </w:t>
      </w:r>
      <w:r>
        <w:rPr>
          <w:spacing w:val="-10"/>
          <w:sz w:val="32"/>
        </w:rPr>
        <w:t xml:space="preserve">年预算安排 </w:t>
      </w:r>
      <w:r>
        <w:rPr>
          <w:rFonts w:ascii="Times New Roman" w:eastAsia="Times New Roman"/>
          <w:spacing w:val="-4"/>
          <w:sz w:val="32"/>
        </w:rPr>
        <w:t>1001.60</w:t>
      </w:r>
      <w:r>
        <w:rPr>
          <w:rFonts w:ascii="Times New Roman" w:eastAsia="Times New Roman"/>
          <w:spacing w:val="-16"/>
          <w:sz w:val="32"/>
        </w:rPr>
        <w:t xml:space="preserve"> </w:t>
      </w:r>
      <w:r>
        <w:rPr>
          <w:spacing w:val="-36"/>
          <w:sz w:val="32"/>
        </w:rPr>
        <w:t>万元，其中：</w:t>
      </w:r>
      <w:r>
        <w:rPr>
          <w:rFonts w:ascii="Times New Roman" w:eastAsia="Times New Roman"/>
          <w:spacing w:val="9"/>
          <w:sz w:val="32"/>
        </w:rPr>
        <w:t>10</w:t>
      </w:r>
      <w:r>
        <w:rPr>
          <w:rFonts w:ascii="Times New Roman" w:eastAsia="Times New Roman"/>
          <w:spacing w:val="6"/>
          <w:sz w:val="32"/>
        </w:rPr>
        <w:t>0</w:t>
      </w:r>
      <w:r>
        <w:rPr>
          <w:rFonts w:ascii="Times New Roman" w:eastAsia="Times New Roman"/>
          <w:spacing w:val="9"/>
          <w:sz w:val="32"/>
        </w:rPr>
        <w:t>1</w:t>
      </w:r>
      <w:r>
        <w:rPr>
          <w:rFonts w:ascii="Times New Roman" w:eastAsia="Times New Roman"/>
          <w:spacing w:val="7"/>
          <w:sz w:val="32"/>
        </w:rPr>
        <w:t>.</w:t>
      </w:r>
      <w:r>
        <w:rPr>
          <w:rFonts w:ascii="Times New Roman" w:eastAsia="Times New Roman"/>
          <w:spacing w:val="6"/>
          <w:sz w:val="32"/>
        </w:rPr>
        <w:t>6</w:t>
      </w:r>
      <w:r>
        <w:rPr>
          <w:rFonts w:ascii="Times New Roman" w:eastAsia="Times New Roman"/>
          <w:spacing w:val="8"/>
          <w:sz w:val="32"/>
        </w:rPr>
        <w:t>0</w:t>
      </w:r>
      <w:r>
        <w:rPr>
          <w:spacing w:val="-2"/>
          <w:sz w:val="32"/>
        </w:rPr>
        <w:t>万元资金来源为政府性基金预算资金。</w:t>
      </w:r>
    </w:p>
    <w:p w14:paraId="551745E7">
      <w:pPr>
        <w:pStyle w:val="8"/>
        <w:numPr>
          <w:ilvl w:val="0"/>
          <w:numId w:val="3"/>
        </w:numPr>
        <w:tabs>
          <w:tab w:val="left" w:pos="1523"/>
        </w:tabs>
        <w:spacing w:before="0" w:after="0" w:line="350" w:lineRule="exact"/>
        <w:ind w:left="1523" w:right="0" w:hanging="776"/>
        <w:jc w:val="left"/>
        <w:rPr>
          <w:sz w:val="32"/>
        </w:rPr>
      </w:pPr>
      <w:r>
        <w:rPr>
          <w:spacing w:val="-7"/>
          <w:sz w:val="32"/>
        </w:rPr>
        <w:t>项目年度绩效目标是：辖区内卫生状况良好，垃圾随</w:t>
      </w:r>
    </w:p>
    <w:p w14:paraId="6CD0C37A">
      <w:pPr>
        <w:pStyle w:val="3"/>
        <w:spacing w:before="226"/>
      </w:pPr>
      <w:r>
        <w:rPr>
          <w:spacing w:val="-6"/>
        </w:rPr>
        <w:t>时清理。</w:t>
      </w:r>
    </w:p>
    <w:p w14:paraId="0494A6A3">
      <w:pPr>
        <w:pStyle w:val="3"/>
        <w:spacing w:before="6"/>
        <w:ind w:left="0"/>
        <w:rPr>
          <w:sz w:val="22"/>
        </w:rPr>
      </w:pPr>
    </w:p>
    <w:p w14:paraId="33C47D14">
      <w:pPr>
        <w:pStyle w:val="8"/>
        <w:numPr>
          <w:ilvl w:val="0"/>
          <w:numId w:val="3"/>
        </w:numPr>
        <w:tabs>
          <w:tab w:val="left" w:pos="1545"/>
        </w:tabs>
        <w:spacing w:before="1" w:after="0" w:line="240" w:lineRule="auto"/>
        <w:ind w:left="1545" w:right="0" w:hanging="798"/>
        <w:jc w:val="left"/>
        <w:rPr>
          <w:sz w:val="32"/>
        </w:rPr>
      </w:pPr>
      <w:r>
        <w:rPr>
          <w:spacing w:val="-5"/>
          <w:sz w:val="32"/>
        </w:rPr>
        <w:t>项目绩效指标设置情况：</w:t>
      </w:r>
    </w:p>
    <w:p w14:paraId="2B2C783E">
      <w:pPr>
        <w:pStyle w:val="3"/>
        <w:spacing w:before="209"/>
        <w:ind w:left="747"/>
      </w:pPr>
      <w:r>
        <w:rPr>
          <w:spacing w:val="-17"/>
        </w:rPr>
        <w:t xml:space="preserve">产出指标：道路清扫保洁面积 </w:t>
      </w:r>
      <w:r>
        <w:rPr>
          <w:rFonts w:ascii="Times New Roman" w:eastAsia="Times New Roman"/>
          <w:spacing w:val="-4"/>
        </w:rPr>
        <w:t>286.2</w:t>
      </w:r>
      <w:r>
        <w:rPr>
          <w:rFonts w:ascii="Times New Roman" w:eastAsia="Times New Roman"/>
          <w:spacing w:val="16"/>
        </w:rPr>
        <w:t xml:space="preserve"> </w:t>
      </w:r>
      <w:r>
        <w:rPr>
          <w:spacing w:val="-13"/>
        </w:rPr>
        <w:t>万平方米，指标设立依</w:t>
      </w:r>
    </w:p>
    <w:p w14:paraId="3556D8D1">
      <w:pPr>
        <w:spacing w:after="0"/>
        <w:sectPr>
          <w:pgSz w:w="11910" w:h="16840"/>
          <w:pgMar w:top="1920" w:right="1320" w:bottom="1720" w:left="1480" w:header="0" w:footer="1532" w:gutter="0"/>
          <w:cols w:space="720" w:num="1"/>
        </w:sectPr>
      </w:pPr>
    </w:p>
    <w:p w14:paraId="486A64E3">
      <w:pPr>
        <w:pStyle w:val="3"/>
        <w:spacing w:before="4"/>
        <w:ind w:left="0"/>
        <w:rPr>
          <w:sz w:val="12"/>
        </w:rPr>
      </w:pPr>
    </w:p>
    <w:p w14:paraId="10C571BC">
      <w:pPr>
        <w:pStyle w:val="3"/>
        <w:spacing w:before="64" w:line="362" w:lineRule="auto"/>
        <w:ind w:right="266"/>
        <w:jc w:val="both"/>
      </w:pPr>
      <w:r>
        <w:rPr>
          <w:spacing w:val="-2"/>
        </w:rPr>
        <w:t>据是计划标准。效益指标：道路清扫保洁质量≥</w:t>
      </w:r>
      <w:r>
        <w:rPr>
          <w:rFonts w:ascii="Times New Roman" w:hAnsi="Times New Roman" w:eastAsia="Times New Roman"/>
          <w:spacing w:val="-2"/>
        </w:rPr>
        <w:t>95%</w:t>
      </w:r>
      <w:r>
        <w:rPr>
          <w:spacing w:val="-2"/>
        </w:rPr>
        <w:t>，指标设立依据是计划标准。满意度指标：清扫保洁覆盖范围群众满意率≥</w:t>
      </w:r>
      <w:r>
        <w:rPr>
          <w:rFonts w:ascii="Times New Roman" w:hAnsi="Times New Roman" w:eastAsia="Times New Roman"/>
          <w:spacing w:val="-2"/>
        </w:rPr>
        <w:t>95%</w:t>
      </w:r>
      <w:r>
        <w:rPr>
          <w:spacing w:val="-2"/>
        </w:rPr>
        <w:t>，指标设立依据是计划标准。</w:t>
      </w:r>
    </w:p>
    <w:p w14:paraId="7FED9E07">
      <w:pPr>
        <w:pStyle w:val="3"/>
        <w:spacing w:before="3"/>
        <w:ind w:left="747"/>
      </w:pPr>
      <w:r>
        <w:rPr>
          <w:rFonts w:ascii="Times New Roman" w:eastAsia="Times New Roman"/>
          <w:spacing w:val="-4"/>
        </w:rPr>
        <w:t>2</w:t>
      </w:r>
      <w:r>
        <w:rPr>
          <w:spacing w:val="-5"/>
        </w:rPr>
        <w:t>、园区园林绿化养护费</w:t>
      </w:r>
    </w:p>
    <w:p w14:paraId="39CB2797">
      <w:pPr>
        <w:pStyle w:val="8"/>
        <w:numPr>
          <w:ilvl w:val="0"/>
          <w:numId w:val="4"/>
        </w:numPr>
        <w:tabs>
          <w:tab w:val="left" w:pos="1477"/>
        </w:tabs>
        <w:spacing w:before="211" w:after="0" w:line="362" w:lineRule="auto"/>
        <w:ind w:left="106" w:right="198" w:firstLine="640"/>
        <w:jc w:val="left"/>
        <w:rPr>
          <w:sz w:val="30"/>
        </w:rPr>
      </w:pPr>
      <w:r>
        <w:rPr>
          <w:spacing w:val="-2"/>
          <w:sz w:val="32"/>
        </w:rPr>
        <w:t>园区园林绿化养护费主要内容是高新区范围内建成已</w:t>
      </w:r>
      <w:r>
        <w:rPr>
          <w:sz w:val="32"/>
        </w:rPr>
        <w:t>移交城市园林绿化养护。</w:t>
      </w:r>
      <w:r>
        <w:rPr>
          <w:rFonts w:ascii="Times New Roman" w:eastAsia="Times New Roman"/>
          <w:sz w:val="32"/>
        </w:rPr>
        <w:t>2025</w:t>
      </w:r>
      <w:r>
        <w:rPr>
          <w:rFonts w:ascii="Times New Roman" w:eastAsia="Times New Roman"/>
          <w:spacing w:val="-20"/>
          <w:sz w:val="32"/>
        </w:rPr>
        <w:t xml:space="preserve"> </w:t>
      </w:r>
      <w:r>
        <w:rPr>
          <w:spacing w:val="-14"/>
          <w:sz w:val="32"/>
        </w:rPr>
        <w:t xml:space="preserve">年预算安排 </w:t>
      </w:r>
      <w:r>
        <w:rPr>
          <w:rFonts w:ascii="Times New Roman" w:eastAsia="Times New Roman"/>
          <w:sz w:val="32"/>
        </w:rPr>
        <w:t>556.40</w:t>
      </w:r>
      <w:r>
        <w:rPr>
          <w:rFonts w:ascii="Times New Roman" w:eastAsia="Times New Roman"/>
          <w:spacing w:val="-16"/>
          <w:sz w:val="32"/>
        </w:rPr>
        <w:t xml:space="preserve"> </w:t>
      </w:r>
      <w:r>
        <w:rPr>
          <w:sz w:val="32"/>
        </w:rPr>
        <w:t>万元，其中：</w:t>
      </w:r>
    </w:p>
    <w:p w14:paraId="5F0D65B9">
      <w:pPr>
        <w:pStyle w:val="3"/>
        <w:spacing w:before="1"/>
      </w:pPr>
      <w:r>
        <w:rPr>
          <w:rFonts w:ascii="Times New Roman" w:eastAsia="Times New Roman"/>
          <w:spacing w:val="-2"/>
        </w:rPr>
        <w:t>556.40</w:t>
      </w:r>
      <w:r>
        <w:rPr>
          <w:rFonts w:ascii="Times New Roman" w:eastAsia="Times New Roman"/>
          <w:spacing w:val="-6"/>
        </w:rPr>
        <w:t xml:space="preserve"> </w:t>
      </w:r>
      <w:r>
        <w:rPr>
          <w:spacing w:val="-3"/>
        </w:rPr>
        <w:t>万元资金来源为政府性基金预算资金。</w:t>
      </w:r>
    </w:p>
    <w:p w14:paraId="79CDAC53">
      <w:pPr>
        <w:pStyle w:val="8"/>
        <w:numPr>
          <w:ilvl w:val="0"/>
          <w:numId w:val="4"/>
        </w:numPr>
        <w:tabs>
          <w:tab w:val="left" w:pos="1545"/>
        </w:tabs>
        <w:spacing w:before="211" w:after="0" w:line="240" w:lineRule="auto"/>
        <w:ind w:left="1545" w:right="0" w:hanging="798"/>
        <w:jc w:val="left"/>
        <w:rPr>
          <w:sz w:val="30"/>
        </w:rPr>
      </w:pPr>
      <w:r>
        <w:rPr>
          <w:spacing w:val="-5"/>
          <w:sz w:val="32"/>
        </w:rPr>
        <w:t>项目年度绩效目标是：园区园林绿化景观效果良好。</w:t>
      </w:r>
    </w:p>
    <w:p w14:paraId="6D5FC1CC">
      <w:pPr>
        <w:pStyle w:val="8"/>
        <w:numPr>
          <w:ilvl w:val="0"/>
          <w:numId w:val="4"/>
        </w:numPr>
        <w:tabs>
          <w:tab w:val="left" w:pos="1535"/>
        </w:tabs>
        <w:spacing w:before="209" w:after="0" w:line="240" w:lineRule="auto"/>
        <w:ind w:left="1535" w:right="0" w:hanging="788"/>
        <w:jc w:val="left"/>
        <w:rPr>
          <w:color w:val="333333"/>
          <w:sz w:val="30"/>
        </w:rPr>
      </w:pPr>
      <w:r>
        <w:rPr>
          <w:spacing w:val="-5"/>
          <w:sz w:val="32"/>
        </w:rPr>
        <w:t>项目绩效指标设置情况：</w:t>
      </w:r>
    </w:p>
    <w:p w14:paraId="6E07EA09">
      <w:pPr>
        <w:pStyle w:val="3"/>
        <w:spacing w:before="210" w:line="362" w:lineRule="auto"/>
        <w:ind w:right="266" w:firstLine="640"/>
        <w:jc w:val="both"/>
      </w:pPr>
      <w:r>
        <w:rPr>
          <w:spacing w:val="-13"/>
        </w:rPr>
        <w:t xml:space="preserve">产出指标：园林绿化养护面积 </w:t>
      </w:r>
      <w:r>
        <w:rPr>
          <w:rFonts w:ascii="Times New Roman" w:hAnsi="Times New Roman" w:eastAsia="Times New Roman"/>
          <w:spacing w:val="-2"/>
        </w:rPr>
        <w:t>84.14</w:t>
      </w:r>
      <w:r>
        <w:rPr>
          <w:rFonts w:ascii="Times New Roman" w:hAnsi="Times New Roman" w:eastAsia="Times New Roman"/>
          <w:spacing w:val="-18"/>
        </w:rPr>
        <w:t xml:space="preserve"> </w:t>
      </w:r>
      <w:r>
        <w:rPr>
          <w:spacing w:val="-11"/>
        </w:rPr>
        <w:t>万平方米，指标设立依</w:t>
      </w:r>
      <w:r>
        <w:rPr>
          <w:spacing w:val="-2"/>
        </w:rPr>
        <w:t>据是计划标准。效益指标：园林绿化养护质量≥</w:t>
      </w:r>
      <w:r>
        <w:rPr>
          <w:rFonts w:ascii="Times New Roman" w:hAnsi="Times New Roman" w:eastAsia="Times New Roman"/>
          <w:spacing w:val="-2"/>
        </w:rPr>
        <w:t>95%</w:t>
      </w:r>
      <w:r>
        <w:rPr>
          <w:spacing w:val="-2"/>
        </w:rPr>
        <w:t>，指标设立依据是计划标准。满意度指标：园林绿化养护覆盖范围群众满意度≥</w:t>
      </w:r>
      <w:r>
        <w:rPr>
          <w:rFonts w:ascii="Times New Roman" w:hAnsi="Times New Roman" w:eastAsia="Times New Roman"/>
          <w:spacing w:val="-2"/>
        </w:rPr>
        <w:t>95%</w:t>
      </w:r>
      <w:r>
        <w:rPr>
          <w:spacing w:val="-2"/>
        </w:rPr>
        <w:t>，指标设立依据是计划标准。</w:t>
      </w:r>
    </w:p>
    <w:p w14:paraId="52F3E5E2">
      <w:pPr>
        <w:pStyle w:val="3"/>
        <w:spacing w:before="5"/>
        <w:ind w:left="747"/>
      </w:pPr>
      <w:r>
        <w:rPr>
          <w:rFonts w:ascii="Times New Roman" w:eastAsia="Times New Roman"/>
          <w:spacing w:val="-4"/>
        </w:rPr>
        <w:t>3</w:t>
      </w:r>
      <w:r>
        <w:rPr>
          <w:spacing w:val="-5"/>
        </w:rPr>
        <w:t>、城区垃圾分类经费</w:t>
      </w:r>
    </w:p>
    <w:p w14:paraId="1C3BF76A">
      <w:pPr>
        <w:pStyle w:val="8"/>
        <w:numPr>
          <w:ilvl w:val="0"/>
          <w:numId w:val="5"/>
        </w:numPr>
        <w:tabs>
          <w:tab w:val="left" w:pos="1477"/>
        </w:tabs>
        <w:spacing w:before="209" w:after="0" w:line="362" w:lineRule="auto"/>
        <w:ind w:left="106" w:right="266" w:firstLine="640"/>
        <w:jc w:val="both"/>
        <w:rPr>
          <w:sz w:val="32"/>
        </w:rPr>
      </w:pPr>
      <w:r>
        <w:rPr>
          <w:spacing w:val="-2"/>
          <w:sz w:val="32"/>
        </w:rPr>
        <w:t>城区垃圾分类经费主要内容是高新区城东片区全域生活垃圾分类。</w:t>
      </w:r>
      <w:r>
        <w:rPr>
          <w:rFonts w:ascii="Times New Roman" w:eastAsia="Times New Roman"/>
          <w:spacing w:val="-2"/>
          <w:sz w:val="32"/>
        </w:rPr>
        <w:t>2025</w:t>
      </w:r>
      <w:r>
        <w:rPr>
          <w:rFonts w:ascii="Times New Roman" w:eastAsia="Times New Roman"/>
          <w:spacing w:val="-18"/>
          <w:sz w:val="32"/>
        </w:rPr>
        <w:t xml:space="preserve"> </w:t>
      </w:r>
      <w:r>
        <w:rPr>
          <w:spacing w:val="-8"/>
          <w:sz w:val="32"/>
        </w:rPr>
        <w:t xml:space="preserve">年预算安排 </w:t>
      </w:r>
      <w:r>
        <w:rPr>
          <w:rFonts w:ascii="Times New Roman" w:eastAsia="Times New Roman"/>
          <w:spacing w:val="-2"/>
          <w:sz w:val="32"/>
        </w:rPr>
        <w:t>100.0</w:t>
      </w:r>
      <w:r>
        <w:rPr>
          <w:rFonts w:ascii="Times New Roman" w:eastAsia="Times New Roman"/>
          <w:spacing w:val="-18"/>
          <w:sz w:val="32"/>
        </w:rPr>
        <w:t xml:space="preserve"> </w:t>
      </w:r>
      <w:r>
        <w:rPr>
          <w:spacing w:val="-2"/>
          <w:sz w:val="32"/>
        </w:rPr>
        <w:t>万元，其中：</w:t>
      </w:r>
      <w:r>
        <w:rPr>
          <w:rFonts w:ascii="Times New Roman" w:eastAsia="Times New Roman"/>
          <w:spacing w:val="-2"/>
          <w:sz w:val="32"/>
        </w:rPr>
        <w:t>100.0</w:t>
      </w:r>
      <w:r>
        <w:rPr>
          <w:rFonts w:ascii="Times New Roman" w:eastAsia="Times New Roman"/>
          <w:spacing w:val="-18"/>
          <w:sz w:val="32"/>
        </w:rPr>
        <w:t xml:space="preserve"> </w:t>
      </w:r>
      <w:r>
        <w:rPr>
          <w:spacing w:val="-2"/>
          <w:sz w:val="32"/>
        </w:rPr>
        <w:t>万元资金来源为政府性基金预算资金。</w:t>
      </w:r>
    </w:p>
    <w:p w14:paraId="728F38DC">
      <w:pPr>
        <w:pStyle w:val="8"/>
        <w:numPr>
          <w:ilvl w:val="0"/>
          <w:numId w:val="5"/>
        </w:numPr>
        <w:tabs>
          <w:tab w:val="left" w:pos="1469"/>
        </w:tabs>
        <w:spacing w:before="3" w:after="0" w:line="362" w:lineRule="auto"/>
        <w:ind w:left="106" w:right="105" w:firstLine="640"/>
        <w:jc w:val="left"/>
        <w:rPr>
          <w:sz w:val="32"/>
        </w:rPr>
      </w:pPr>
      <w:r>
        <w:rPr>
          <w:spacing w:val="-14"/>
          <w:sz w:val="32"/>
        </w:rPr>
        <w:t>项目年度绩效目标是：加快建立分类投放、分类收集、</w:t>
      </w:r>
      <w:r>
        <w:rPr>
          <w:spacing w:val="-2"/>
          <w:sz w:val="32"/>
        </w:rPr>
        <w:t>分类运输、分类处理的生活垃圾分类处理系统，提高生活垃圾减量化、资源化、无害化水平，打造良好的生态人居环境。</w:t>
      </w:r>
    </w:p>
    <w:p w14:paraId="79C61355">
      <w:pPr>
        <w:pStyle w:val="8"/>
        <w:numPr>
          <w:ilvl w:val="0"/>
          <w:numId w:val="5"/>
        </w:numPr>
        <w:tabs>
          <w:tab w:val="left" w:pos="1545"/>
        </w:tabs>
        <w:spacing w:before="2" w:after="0" w:line="240" w:lineRule="auto"/>
        <w:ind w:left="1545" w:right="0" w:hanging="798"/>
        <w:jc w:val="left"/>
        <w:rPr>
          <w:sz w:val="32"/>
        </w:rPr>
      </w:pPr>
      <w:r>
        <w:rPr>
          <w:spacing w:val="-5"/>
          <w:sz w:val="32"/>
        </w:rPr>
        <w:t>项目绩效指标设置情况：</w:t>
      </w:r>
    </w:p>
    <w:p w14:paraId="5A30404B">
      <w:pPr>
        <w:spacing w:after="0" w:line="240" w:lineRule="auto"/>
        <w:jc w:val="left"/>
        <w:rPr>
          <w:sz w:val="32"/>
        </w:rPr>
        <w:sectPr>
          <w:pgSz w:w="11910" w:h="16840"/>
          <w:pgMar w:top="1920" w:right="1320" w:bottom="1720" w:left="1480" w:header="0" w:footer="1532" w:gutter="0"/>
          <w:cols w:space="720" w:num="1"/>
        </w:sectPr>
      </w:pPr>
    </w:p>
    <w:p w14:paraId="22806421">
      <w:pPr>
        <w:pStyle w:val="3"/>
        <w:spacing w:before="1"/>
        <w:ind w:left="0"/>
        <w:rPr>
          <w:sz w:val="13"/>
        </w:rPr>
      </w:pPr>
    </w:p>
    <w:p w14:paraId="122DEA07">
      <w:pPr>
        <w:pStyle w:val="3"/>
        <w:spacing w:before="54" w:line="362" w:lineRule="auto"/>
        <w:ind w:right="264" w:firstLine="640"/>
        <w:jc w:val="both"/>
      </w:pPr>
      <w:r>
        <w:rPr>
          <w:spacing w:val="-2"/>
        </w:rPr>
        <w:t>产出指标：垃圾分类覆盖范围为全区域，指标设立依据是计划标准。效益指标：垃圾分类成效质量≥</w:t>
      </w:r>
      <w:r>
        <w:rPr>
          <w:rFonts w:ascii="Times New Roman" w:hAnsi="Times New Roman" w:eastAsia="Times New Roman"/>
          <w:spacing w:val="-2"/>
        </w:rPr>
        <w:t>95%</w:t>
      </w:r>
      <w:r>
        <w:rPr>
          <w:spacing w:val="-2"/>
        </w:rPr>
        <w:t>，指标设立依</w:t>
      </w:r>
      <w:r>
        <w:rPr>
          <w:spacing w:val="12"/>
        </w:rPr>
        <w:t>据是计划标准。满意度指标：垃圾分类覆盖范围群众满意度</w:t>
      </w:r>
    </w:p>
    <w:p w14:paraId="24F05128">
      <w:pPr>
        <w:pStyle w:val="3"/>
        <w:spacing w:before="3"/>
      </w:pPr>
      <w:r>
        <w:rPr>
          <w:spacing w:val="-4"/>
        </w:rPr>
        <w:t>≥</w:t>
      </w:r>
      <w:r>
        <w:rPr>
          <w:rFonts w:ascii="Times New Roman" w:hAnsi="Times New Roman" w:eastAsia="Times New Roman"/>
          <w:spacing w:val="-4"/>
        </w:rPr>
        <w:t>95%</w:t>
      </w:r>
      <w:r>
        <w:rPr>
          <w:spacing w:val="-5"/>
        </w:rPr>
        <w:t>，指标设立依据是计划标准。</w:t>
      </w:r>
    </w:p>
    <w:p w14:paraId="360B7818">
      <w:pPr>
        <w:pStyle w:val="3"/>
        <w:spacing w:before="212"/>
        <w:ind w:left="747"/>
      </w:pPr>
      <w:r>
        <w:rPr>
          <w:rFonts w:ascii="Times New Roman" w:eastAsia="Times New Roman"/>
          <w:spacing w:val="-4"/>
        </w:rPr>
        <w:t>4</w:t>
      </w:r>
      <w:r>
        <w:rPr>
          <w:spacing w:val="-5"/>
        </w:rPr>
        <w:t>、城区公厕管护费</w:t>
      </w:r>
    </w:p>
    <w:p w14:paraId="49BC3492">
      <w:pPr>
        <w:pStyle w:val="8"/>
        <w:numPr>
          <w:ilvl w:val="0"/>
          <w:numId w:val="6"/>
        </w:numPr>
        <w:tabs>
          <w:tab w:val="left" w:pos="1556"/>
        </w:tabs>
        <w:spacing w:before="209" w:after="0" w:line="362" w:lineRule="auto"/>
        <w:ind w:left="106" w:right="264" w:firstLine="640"/>
        <w:jc w:val="both"/>
        <w:rPr>
          <w:sz w:val="32"/>
        </w:rPr>
      </w:pPr>
      <w:r>
        <w:rPr>
          <w:spacing w:val="-3"/>
          <w:sz w:val="32"/>
        </w:rPr>
        <w:t xml:space="preserve">城区公厕管护费的主要内容是高新区 </w:t>
      </w:r>
      <w:r>
        <w:rPr>
          <w:rFonts w:ascii="Times New Roman" w:eastAsia="Times New Roman"/>
          <w:sz w:val="32"/>
        </w:rPr>
        <w:t>19</w:t>
      </w:r>
      <w:r>
        <w:rPr>
          <w:rFonts w:ascii="Times New Roman" w:eastAsia="Times New Roman"/>
          <w:spacing w:val="9"/>
          <w:sz w:val="32"/>
        </w:rPr>
        <w:t xml:space="preserve"> </w:t>
      </w:r>
      <w:r>
        <w:rPr>
          <w:sz w:val="32"/>
        </w:rPr>
        <w:t>座公厕管理</w:t>
      </w:r>
      <w:r>
        <w:rPr>
          <w:spacing w:val="-14"/>
          <w:sz w:val="32"/>
        </w:rPr>
        <w:t>维护工作。</w:t>
      </w:r>
      <w:r>
        <w:rPr>
          <w:rFonts w:ascii="Times New Roman" w:eastAsia="Times New Roman"/>
          <w:spacing w:val="-4"/>
          <w:sz w:val="32"/>
        </w:rPr>
        <w:t>2025</w:t>
      </w:r>
      <w:r>
        <w:rPr>
          <w:rFonts w:ascii="Times New Roman" w:eastAsia="Times New Roman"/>
          <w:spacing w:val="-16"/>
          <w:sz w:val="32"/>
        </w:rPr>
        <w:t xml:space="preserve"> </w:t>
      </w:r>
      <w:r>
        <w:rPr>
          <w:spacing w:val="-10"/>
          <w:sz w:val="32"/>
        </w:rPr>
        <w:t xml:space="preserve">年预算安排 </w:t>
      </w:r>
      <w:r>
        <w:rPr>
          <w:rFonts w:ascii="Times New Roman" w:eastAsia="Times New Roman"/>
          <w:spacing w:val="-4"/>
          <w:sz w:val="32"/>
        </w:rPr>
        <w:t>60.0</w:t>
      </w:r>
      <w:r>
        <w:rPr>
          <w:rFonts w:ascii="Times New Roman" w:eastAsia="Times New Roman"/>
          <w:spacing w:val="-16"/>
          <w:sz w:val="32"/>
        </w:rPr>
        <w:t xml:space="preserve"> </w:t>
      </w:r>
      <w:r>
        <w:rPr>
          <w:spacing w:val="-4"/>
          <w:sz w:val="32"/>
        </w:rPr>
        <w:t>万元，其中：</w:t>
      </w:r>
      <w:r>
        <w:rPr>
          <w:rFonts w:ascii="Times New Roman" w:eastAsia="Times New Roman"/>
          <w:spacing w:val="-4"/>
          <w:sz w:val="32"/>
        </w:rPr>
        <w:t>60</w:t>
      </w:r>
      <w:r>
        <w:rPr>
          <w:rFonts w:ascii="Times New Roman" w:eastAsia="Times New Roman"/>
          <w:spacing w:val="-16"/>
          <w:sz w:val="32"/>
        </w:rPr>
        <w:t xml:space="preserve"> </w:t>
      </w:r>
      <w:r>
        <w:rPr>
          <w:spacing w:val="-4"/>
          <w:sz w:val="32"/>
        </w:rPr>
        <w:t>万元资金来源</w:t>
      </w:r>
      <w:r>
        <w:rPr>
          <w:spacing w:val="-2"/>
          <w:sz w:val="32"/>
        </w:rPr>
        <w:t>为政府性基金预算资金。</w:t>
      </w:r>
    </w:p>
    <w:p w14:paraId="0060BF47">
      <w:pPr>
        <w:pStyle w:val="8"/>
        <w:numPr>
          <w:ilvl w:val="0"/>
          <w:numId w:val="6"/>
        </w:numPr>
        <w:tabs>
          <w:tab w:val="left" w:pos="1510"/>
        </w:tabs>
        <w:spacing w:before="3" w:after="0" w:line="362" w:lineRule="auto"/>
        <w:ind w:left="106" w:right="266" w:firstLine="640"/>
        <w:jc w:val="left"/>
        <w:rPr>
          <w:sz w:val="32"/>
        </w:rPr>
      </w:pPr>
      <w:r>
        <w:rPr>
          <w:spacing w:val="-2"/>
          <w:sz w:val="32"/>
        </w:rPr>
        <w:t>项目年度绩效目标是：做好高新区城市公共厕所卫生保洁和管护工作，树立园区良好形象。</w:t>
      </w:r>
    </w:p>
    <w:p w14:paraId="5200A0EB">
      <w:pPr>
        <w:pStyle w:val="8"/>
        <w:numPr>
          <w:ilvl w:val="0"/>
          <w:numId w:val="6"/>
        </w:numPr>
        <w:tabs>
          <w:tab w:val="left" w:pos="1545"/>
        </w:tabs>
        <w:spacing w:before="2" w:after="0" w:line="240" w:lineRule="auto"/>
        <w:ind w:left="1545" w:right="0" w:hanging="798"/>
        <w:jc w:val="left"/>
        <w:rPr>
          <w:sz w:val="32"/>
        </w:rPr>
      </w:pPr>
      <w:r>
        <w:rPr>
          <w:spacing w:val="-5"/>
          <w:sz w:val="32"/>
        </w:rPr>
        <w:t>项目绩效指标设置情况：</w:t>
      </w:r>
    </w:p>
    <w:p w14:paraId="4526EFA4">
      <w:pPr>
        <w:pStyle w:val="3"/>
        <w:spacing w:before="209" w:line="362" w:lineRule="auto"/>
        <w:ind w:right="105" w:firstLine="640"/>
      </w:pPr>
      <w:r>
        <w:rPr>
          <w:spacing w:val="-12"/>
          <w:w w:val="99"/>
        </w:rPr>
        <w:t>产出指标：公厕管护数量</w:t>
      </w:r>
      <w:r>
        <w:rPr>
          <w:spacing w:val="-81"/>
        </w:rPr>
        <w:t xml:space="preserve"> </w:t>
      </w:r>
      <w:r>
        <w:rPr>
          <w:rFonts w:ascii="Times New Roman" w:hAnsi="Times New Roman" w:eastAsia="Times New Roman"/>
          <w:spacing w:val="1"/>
          <w:w w:val="99"/>
        </w:rPr>
        <w:t>1</w:t>
      </w:r>
      <w:r>
        <w:rPr>
          <w:rFonts w:ascii="Times New Roman" w:hAnsi="Times New Roman" w:eastAsia="Times New Roman"/>
          <w:w w:val="99"/>
        </w:rPr>
        <w:t>9</w:t>
      </w:r>
      <w:r>
        <w:rPr>
          <w:rFonts w:ascii="Times New Roman" w:hAnsi="Times New Roman" w:eastAsia="Times New Roman"/>
        </w:rPr>
        <w:t xml:space="preserve"> </w:t>
      </w:r>
      <w:r>
        <w:rPr>
          <w:spacing w:val="-11"/>
          <w:w w:val="99"/>
        </w:rPr>
        <w:t>座，指标设立依据是计划标准。</w:t>
      </w:r>
      <w:r>
        <w:rPr>
          <w:spacing w:val="5"/>
          <w:w w:val="99"/>
        </w:rPr>
        <w:t>效益指标：公厕管护质量≥</w:t>
      </w:r>
      <w:r>
        <w:rPr>
          <w:rFonts w:ascii="Times New Roman" w:hAnsi="Times New Roman" w:eastAsia="Times New Roman"/>
          <w:spacing w:val="1"/>
          <w:w w:val="99"/>
        </w:rPr>
        <w:t>95</w:t>
      </w:r>
      <w:r>
        <w:rPr>
          <w:rFonts w:ascii="Times New Roman" w:hAnsi="Times New Roman" w:eastAsia="Times New Roman"/>
          <w:spacing w:val="5"/>
          <w:w w:val="99"/>
        </w:rPr>
        <w:t>%</w:t>
      </w:r>
      <w:r>
        <w:rPr>
          <w:spacing w:val="4"/>
          <w:w w:val="99"/>
        </w:rPr>
        <w:t>，指标设立依据是计划标准。满意度指标：公厕覆盖范围群众满意度≥</w:t>
      </w:r>
      <w:r>
        <w:rPr>
          <w:rFonts w:ascii="Times New Roman" w:hAnsi="Times New Roman" w:eastAsia="Times New Roman"/>
          <w:spacing w:val="1"/>
          <w:w w:val="99"/>
        </w:rPr>
        <w:t>9</w:t>
      </w:r>
      <w:r>
        <w:rPr>
          <w:rFonts w:ascii="Times New Roman" w:hAnsi="Times New Roman" w:eastAsia="Times New Roman"/>
          <w:spacing w:val="-2"/>
          <w:w w:val="99"/>
        </w:rPr>
        <w:t>5</w:t>
      </w:r>
      <w:r>
        <w:rPr>
          <w:rFonts w:ascii="Times New Roman" w:hAnsi="Times New Roman" w:eastAsia="Times New Roman"/>
          <w:spacing w:val="7"/>
          <w:w w:val="99"/>
        </w:rPr>
        <w:t>%</w:t>
      </w:r>
      <w:r>
        <w:rPr>
          <w:spacing w:val="5"/>
          <w:w w:val="99"/>
        </w:rPr>
        <w:t>，指标设立依据</w:t>
      </w:r>
      <w:r>
        <w:rPr>
          <w:w w:val="99"/>
        </w:rPr>
        <w:t>是计划标准。</w:t>
      </w:r>
    </w:p>
    <w:p w14:paraId="26EE5272">
      <w:pPr>
        <w:pStyle w:val="3"/>
        <w:spacing w:before="3"/>
        <w:ind w:left="747"/>
      </w:pPr>
      <w:r>
        <w:rPr>
          <w:rFonts w:ascii="Times New Roman" w:eastAsia="Times New Roman"/>
          <w:spacing w:val="-4"/>
        </w:rPr>
        <w:t>5</w:t>
      </w:r>
      <w:r>
        <w:rPr>
          <w:spacing w:val="-5"/>
        </w:rPr>
        <w:t>、漂水湿地公园养护费</w:t>
      </w:r>
    </w:p>
    <w:p w14:paraId="31E302A2">
      <w:pPr>
        <w:pStyle w:val="8"/>
        <w:numPr>
          <w:ilvl w:val="0"/>
          <w:numId w:val="7"/>
        </w:numPr>
        <w:tabs>
          <w:tab w:val="left" w:pos="1477"/>
        </w:tabs>
        <w:spacing w:before="212" w:after="0" w:line="362" w:lineRule="auto"/>
        <w:ind w:left="106" w:right="266" w:firstLine="640"/>
        <w:jc w:val="both"/>
        <w:rPr>
          <w:sz w:val="32"/>
        </w:rPr>
      </w:pPr>
      <w:r>
        <w:rPr>
          <w:spacing w:val="-2"/>
          <w:sz w:val="32"/>
        </w:rPr>
        <w:t>漂水湿地公园养护费的主要内容是高新区漂水湿地公园管理及维护。</w:t>
      </w:r>
      <w:r>
        <w:rPr>
          <w:rFonts w:ascii="Times New Roman" w:eastAsia="Times New Roman"/>
          <w:spacing w:val="-2"/>
          <w:sz w:val="32"/>
        </w:rPr>
        <w:t>2025</w:t>
      </w:r>
      <w:r>
        <w:rPr>
          <w:rFonts w:ascii="Times New Roman" w:eastAsia="Times New Roman"/>
          <w:spacing w:val="-18"/>
          <w:sz w:val="32"/>
        </w:rPr>
        <w:t xml:space="preserve"> </w:t>
      </w:r>
      <w:r>
        <w:rPr>
          <w:spacing w:val="-8"/>
          <w:sz w:val="32"/>
        </w:rPr>
        <w:t xml:space="preserve">年预算安排 </w:t>
      </w:r>
      <w:r>
        <w:rPr>
          <w:rFonts w:ascii="Times New Roman" w:eastAsia="Times New Roman"/>
          <w:spacing w:val="-2"/>
          <w:sz w:val="32"/>
        </w:rPr>
        <w:t>50.0</w:t>
      </w:r>
      <w:r>
        <w:rPr>
          <w:rFonts w:ascii="Times New Roman" w:eastAsia="Times New Roman"/>
          <w:spacing w:val="-18"/>
          <w:sz w:val="32"/>
        </w:rPr>
        <w:t xml:space="preserve"> </w:t>
      </w:r>
      <w:r>
        <w:rPr>
          <w:spacing w:val="-2"/>
          <w:sz w:val="32"/>
        </w:rPr>
        <w:t>万元，其中：</w:t>
      </w:r>
      <w:r>
        <w:rPr>
          <w:rFonts w:ascii="Times New Roman" w:eastAsia="Times New Roman"/>
          <w:spacing w:val="-2"/>
          <w:sz w:val="32"/>
        </w:rPr>
        <w:t>50.0</w:t>
      </w:r>
      <w:r>
        <w:rPr>
          <w:rFonts w:ascii="Times New Roman" w:eastAsia="Times New Roman"/>
          <w:spacing w:val="-18"/>
          <w:sz w:val="32"/>
        </w:rPr>
        <w:t xml:space="preserve"> </w:t>
      </w:r>
      <w:r>
        <w:rPr>
          <w:spacing w:val="-2"/>
          <w:sz w:val="32"/>
        </w:rPr>
        <w:t>万元资金来源为政府性基金预算资金。</w:t>
      </w:r>
    </w:p>
    <w:p w14:paraId="60C48F9F">
      <w:pPr>
        <w:pStyle w:val="8"/>
        <w:numPr>
          <w:ilvl w:val="0"/>
          <w:numId w:val="7"/>
        </w:numPr>
        <w:tabs>
          <w:tab w:val="left" w:pos="1511"/>
        </w:tabs>
        <w:spacing w:before="2" w:after="0" w:line="240" w:lineRule="auto"/>
        <w:ind w:left="1511" w:right="0" w:hanging="764"/>
        <w:jc w:val="left"/>
        <w:rPr>
          <w:sz w:val="32"/>
        </w:rPr>
      </w:pPr>
      <w:r>
        <w:rPr>
          <w:spacing w:val="-7"/>
          <w:sz w:val="32"/>
        </w:rPr>
        <w:t>项目年度绩效目标是：做好高新区漂水湿地公园管护</w:t>
      </w:r>
    </w:p>
    <w:p w14:paraId="23D624F6">
      <w:pPr>
        <w:pStyle w:val="3"/>
        <w:spacing w:before="210"/>
      </w:pPr>
      <w:r>
        <w:rPr>
          <w:spacing w:val="-5"/>
        </w:rPr>
        <w:t>工作，保证高新区漂水湿地公园良好景观效果。</w:t>
      </w:r>
    </w:p>
    <w:p w14:paraId="16E30048">
      <w:pPr>
        <w:spacing w:after="0"/>
        <w:sectPr>
          <w:pgSz w:w="11910" w:h="16840"/>
          <w:pgMar w:top="1920" w:right="1320" w:bottom="1720" w:left="1480" w:header="0" w:footer="1532" w:gutter="0"/>
          <w:cols w:space="720" w:num="1"/>
        </w:sectPr>
      </w:pPr>
    </w:p>
    <w:p w14:paraId="63DED4EE">
      <w:pPr>
        <w:pStyle w:val="3"/>
        <w:spacing w:before="4"/>
        <w:ind w:left="0"/>
        <w:rPr>
          <w:sz w:val="12"/>
        </w:rPr>
      </w:pPr>
    </w:p>
    <w:p w14:paraId="3286AD0D">
      <w:pPr>
        <w:pStyle w:val="8"/>
        <w:numPr>
          <w:ilvl w:val="0"/>
          <w:numId w:val="7"/>
        </w:numPr>
        <w:tabs>
          <w:tab w:val="left" w:pos="1545"/>
        </w:tabs>
        <w:spacing w:before="64" w:after="0" w:line="240" w:lineRule="auto"/>
        <w:ind w:left="1545" w:right="0" w:hanging="798"/>
        <w:jc w:val="left"/>
        <w:rPr>
          <w:sz w:val="32"/>
        </w:rPr>
      </w:pPr>
      <w:r>
        <w:rPr>
          <w:spacing w:val="-5"/>
          <w:sz w:val="32"/>
        </w:rPr>
        <w:t>项目绩效指标设置情况：</w:t>
      </w:r>
    </w:p>
    <w:p w14:paraId="51319DF2">
      <w:pPr>
        <w:pStyle w:val="3"/>
        <w:spacing w:before="212" w:line="362" w:lineRule="auto"/>
        <w:ind w:right="266" w:firstLine="640"/>
        <w:jc w:val="both"/>
      </w:pPr>
      <w:r>
        <w:rPr>
          <w:spacing w:val="-13"/>
        </w:rPr>
        <w:t xml:space="preserve">产出指标：漂水湿地公园养护面积 </w:t>
      </w:r>
      <w:r>
        <w:rPr>
          <w:rFonts w:ascii="Times New Roman" w:hAnsi="Times New Roman" w:eastAsia="Times New Roman"/>
          <w:spacing w:val="-2"/>
        </w:rPr>
        <w:t>9.9</w:t>
      </w:r>
      <w:r>
        <w:rPr>
          <w:rFonts w:ascii="Times New Roman" w:hAnsi="Times New Roman" w:eastAsia="Times New Roman"/>
          <w:spacing w:val="-18"/>
        </w:rPr>
        <w:t xml:space="preserve"> </w:t>
      </w:r>
      <w:r>
        <w:rPr>
          <w:spacing w:val="-12"/>
        </w:rPr>
        <w:t>万平方米，指标设立</w:t>
      </w:r>
      <w:r>
        <w:rPr>
          <w:spacing w:val="-2"/>
        </w:rPr>
        <w:t>依据是计划标准。效益指标：漂水湿地公园养护质量≥</w:t>
      </w:r>
      <w:r>
        <w:rPr>
          <w:rFonts w:ascii="Times New Roman" w:hAnsi="Times New Roman" w:eastAsia="Times New Roman"/>
          <w:spacing w:val="-2"/>
        </w:rPr>
        <w:t>95%</w:t>
      </w:r>
      <w:r>
        <w:rPr>
          <w:spacing w:val="-2"/>
        </w:rPr>
        <w:t>，指标设立依据是计划标准。满意度指标：漂水湿地公园养护覆盖范围群众满意度≥</w:t>
      </w:r>
      <w:r>
        <w:rPr>
          <w:rFonts w:ascii="Times New Roman" w:hAnsi="Times New Roman" w:eastAsia="Times New Roman"/>
          <w:spacing w:val="-2"/>
        </w:rPr>
        <w:t>95%</w:t>
      </w:r>
      <w:r>
        <w:rPr>
          <w:spacing w:val="-2"/>
        </w:rPr>
        <w:t>，指标设立依据是计划标准。</w:t>
      </w:r>
    </w:p>
    <w:p w14:paraId="315FD5AC">
      <w:pPr>
        <w:pStyle w:val="3"/>
        <w:spacing w:before="3"/>
        <w:ind w:left="747"/>
      </w:pPr>
      <w:r>
        <w:rPr>
          <w:rFonts w:ascii="Times New Roman" w:eastAsia="Times New Roman"/>
          <w:spacing w:val="-4"/>
        </w:rPr>
        <w:t>6</w:t>
      </w:r>
      <w:r>
        <w:rPr>
          <w:spacing w:val="-5"/>
        </w:rPr>
        <w:t>、排水及市政设施维护费</w:t>
      </w:r>
    </w:p>
    <w:p w14:paraId="2A72ADB0">
      <w:pPr>
        <w:pStyle w:val="8"/>
        <w:numPr>
          <w:ilvl w:val="0"/>
          <w:numId w:val="8"/>
        </w:numPr>
        <w:tabs>
          <w:tab w:val="left" w:pos="1510"/>
        </w:tabs>
        <w:spacing w:before="209" w:after="0" w:line="362" w:lineRule="auto"/>
        <w:ind w:left="106" w:right="266" w:firstLine="640"/>
        <w:jc w:val="both"/>
        <w:rPr>
          <w:sz w:val="32"/>
        </w:rPr>
      </w:pPr>
      <w:r>
        <w:rPr>
          <w:spacing w:val="-2"/>
          <w:sz w:val="32"/>
        </w:rPr>
        <w:t>排水及市政设施维护费的主要内容是管井疏通，检查更换破旧井盖，水箅子等。对道路设施进行维修等，保证安全</w:t>
      </w:r>
      <w:r>
        <w:rPr>
          <w:sz w:val="32"/>
        </w:rPr>
        <w:t>交通环境及舒适度。</w:t>
      </w:r>
      <w:r>
        <w:rPr>
          <w:rFonts w:ascii="Times New Roman" w:eastAsia="Times New Roman"/>
          <w:sz w:val="32"/>
        </w:rPr>
        <w:t>2025</w:t>
      </w:r>
      <w:r>
        <w:rPr>
          <w:rFonts w:ascii="Times New Roman" w:eastAsia="Times New Roman"/>
          <w:spacing w:val="-20"/>
          <w:sz w:val="32"/>
        </w:rPr>
        <w:t xml:space="preserve"> </w:t>
      </w:r>
      <w:r>
        <w:rPr>
          <w:spacing w:val="-7"/>
          <w:sz w:val="32"/>
        </w:rPr>
        <w:t xml:space="preserve">年预算安排 </w:t>
      </w:r>
      <w:r>
        <w:rPr>
          <w:rFonts w:ascii="Times New Roman" w:eastAsia="Times New Roman"/>
          <w:sz w:val="32"/>
        </w:rPr>
        <w:t>100.0</w:t>
      </w:r>
      <w:r>
        <w:rPr>
          <w:rFonts w:ascii="Times New Roman" w:eastAsia="Times New Roman"/>
          <w:spacing w:val="-20"/>
          <w:sz w:val="32"/>
        </w:rPr>
        <w:t xml:space="preserve"> </w:t>
      </w:r>
      <w:r>
        <w:rPr>
          <w:sz w:val="32"/>
        </w:rPr>
        <w:t>万元，其中：</w:t>
      </w:r>
      <w:r>
        <w:rPr>
          <w:rFonts w:ascii="Times New Roman" w:eastAsia="Times New Roman"/>
          <w:sz w:val="32"/>
        </w:rPr>
        <w:t>100.0</w:t>
      </w:r>
      <w:r>
        <w:rPr>
          <w:spacing w:val="-2"/>
          <w:sz w:val="32"/>
        </w:rPr>
        <w:t>万元资金来源为政府性基金预算资金。</w:t>
      </w:r>
    </w:p>
    <w:p w14:paraId="784869A9">
      <w:pPr>
        <w:pStyle w:val="8"/>
        <w:numPr>
          <w:ilvl w:val="0"/>
          <w:numId w:val="8"/>
        </w:numPr>
        <w:tabs>
          <w:tab w:val="left" w:pos="1432"/>
        </w:tabs>
        <w:spacing w:before="5" w:after="0" w:line="240" w:lineRule="auto"/>
        <w:ind w:left="1432" w:right="0" w:hanging="685"/>
        <w:jc w:val="left"/>
        <w:rPr>
          <w:sz w:val="32"/>
        </w:rPr>
      </w:pPr>
      <w:r>
        <w:rPr>
          <w:spacing w:val="-15"/>
          <w:sz w:val="32"/>
        </w:rPr>
        <w:t>项目年度绩效目标是：</w:t>
      </w:r>
      <w:r>
        <w:rPr>
          <w:color w:val="333333"/>
          <w:spacing w:val="-5"/>
          <w:sz w:val="32"/>
        </w:rPr>
        <w:t>市政道路及排水设施维护及时。</w:t>
      </w:r>
    </w:p>
    <w:p w14:paraId="1448EBB3">
      <w:pPr>
        <w:pStyle w:val="8"/>
        <w:numPr>
          <w:ilvl w:val="0"/>
          <w:numId w:val="8"/>
        </w:numPr>
        <w:tabs>
          <w:tab w:val="left" w:pos="1545"/>
        </w:tabs>
        <w:spacing w:before="209" w:after="0" w:line="240" w:lineRule="auto"/>
        <w:ind w:left="1545" w:right="0" w:hanging="798"/>
        <w:jc w:val="left"/>
        <w:rPr>
          <w:sz w:val="32"/>
        </w:rPr>
      </w:pPr>
      <w:r>
        <w:rPr>
          <w:spacing w:val="-5"/>
          <w:sz w:val="32"/>
        </w:rPr>
        <w:t>项目绩效指标设置情况：</w:t>
      </w:r>
    </w:p>
    <w:p w14:paraId="1DAC6317">
      <w:pPr>
        <w:pStyle w:val="3"/>
        <w:spacing w:before="209" w:line="362" w:lineRule="auto"/>
        <w:ind w:right="174" w:firstLine="640"/>
        <w:jc w:val="both"/>
      </w:pPr>
      <w:r>
        <w:rPr>
          <w:spacing w:val="-2"/>
        </w:rPr>
        <w:t>产出指标：排水及市政设施维修面积据实计算，指标设立</w:t>
      </w:r>
      <w:r>
        <w:rPr>
          <w:spacing w:val="-4"/>
        </w:rPr>
        <w:t xml:space="preserve">依据是行业标准。效益指标：排水及市政设施修复质量 </w:t>
      </w:r>
      <w:r>
        <w:rPr>
          <w:rFonts w:ascii="Times New Roman" w:hAnsi="Times New Roman" w:eastAsia="Times New Roman"/>
          <w:spacing w:val="-2"/>
        </w:rPr>
        <w:t>100%</w:t>
      </w:r>
      <w:r>
        <w:rPr>
          <w:spacing w:val="-2"/>
        </w:rPr>
        <w:t>，指标设立依据是行业标准。满意度指标：排水及市政设施覆盖范围群众满意度≥</w:t>
      </w:r>
      <w:r>
        <w:rPr>
          <w:rFonts w:ascii="Times New Roman" w:hAnsi="Times New Roman" w:eastAsia="Times New Roman"/>
          <w:spacing w:val="-2"/>
        </w:rPr>
        <w:t>95%</w:t>
      </w:r>
      <w:r>
        <w:rPr>
          <w:spacing w:val="-2"/>
        </w:rPr>
        <w:t>，指标设立依据是行业标准。</w:t>
      </w:r>
    </w:p>
    <w:p w14:paraId="6E47D81E">
      <w:pPr>
        <w:pStyle w:val="3"/>
        <w:spacing w:before="6"/>
        <w:ind w:left="747"/>
      </w:pPr>
      <w:r>
        <w:rPr>
          <w:rFonts w:ascii="Times New Roman" w:eastAsia="Times New Roman"/>
          <w:spacing w:val="-4"/>
        </w:rPr>
        <w:t>7</w:t>
      </w:r>
      <w:r>
        <w:rPr>
          <w:spacing w:val="-5"/>
        </w:rPr>
        <w:t>、绿化、环卫用水项目</w:t>
      </w:r>
    </w:p>
    <w:p w14:paraId="590287F2">
      <w:pPr>
        <w:pStyle w:val="8"/>
        <w:numPr>
          <w:ilvl w:val="0"/>
          <w:numId w:val="9"/>
        </w:numPr>
        <w:tabs>
          <w:tab w:val="left" w:pos="1522"/>
        </w:tabs>
        <w:spacing w:before="209" w:after="0" w:line="362" w:lineRule="auto"/>
        <w:ind w:left="106" w:right="198" w:firstLine="640"/>
        <w:jc w:val="both"/>
        <w:rPr>
          <w:sz w:val="32"/>
        </w:rPr>
      </w:pPr>
      <w:r>
        <w:rPr>
          <w:spacing w:val="-2"/>
          <w:sz w:val="32"/>
        </w:rPr>
        <w:t>绿化、环卫用水项目的主要内容是环卫压尘，绿化灌溉用，道路清扫保洁及绿化养护。</w:t>
      </w:r>
      <w:r>
        <w:rPr>
          <w:rFonts w:ascii="Times New Roman" w:eastAsia="Times New Roman"/>
          <w:spacing w:val="-2"/>
          <w:sz w:val="32"/>
        </w:rPr>
        <w:t>2025</w:t>
      </w:r>
      <w:r>
        <w:rPr>
          <w:rFonts w:ascii="Times New Roman" w:eastAsia="Times New Roman"/>
          <w:spacing w:val="-18"/>
          <w:sz w:val="32"/>
        </w:rPr>
        <w:t xml:space="preserve"> </w:t>
      </w:r>
      <w:r>
        <w:rPr>
          <w:spacing w:val="-8"/>
          <w:sz w:val="32"/>
        </w:rPr>
        <w:t xml:space="preserve">年预算安排 </w:t>
      </w:r>
      <w:r>
        <w:rPr>
          <w:rFonts w:ascii="Times New Roman" w:eastAsia="Times New Roman"/>
          <w:spacing w:val="-2"/>
          <w:sz w:val="32"/>
        </w:rPr>
        <w:t>30.0</w:t>
      </w:r>
      <w:r>
        <w:rPr>
          <w:rFonts w:ascii="Times New Roman" w:eastAsia="Times New Roman"/>
          <w:spacing w:val="3"/>
          <w:sz w:val="32"/>
        </w:rPr>
        <w:t xml:space="preserve"> </w:t>
      </w:r>
      <w:r>
        <w:rPr>
          <w:spacing w:val="-2"/>
          <w:sz w:val="32"/>
        </w:rPr>
        <w:t>万元，</w:t>
      </w:r>
      <w:r>
        <w:rPr>
          <w:sz w:val="32"/>
        </w:rPr>
        <w:t>其中：</w:t>
      </w:r>
      <w:r>
        <w:rPr>
          <w:rFonts w:ascii="Times New Roman" w:eastAsia="Times New Roman"/>
          <w:sz w:val="32"/>
        </w:rPr>
        <w:t xml:space="preserve">30.0 </w:t>
      </w:r>
      <w:r>
        <w:rPr>
          <w:sz w:val="32"/>
        </w:rPr>
        <w:t>万元资金来源为政府性基金预算资金。</w:t>
      </w:r>
    </w:p>
    <w:p w14:paraId="2ACA019C">
      <w:pPr>
        <w:pStyle w:val="8"/>
        <w:numPr>
          <w:ilvl w:val="0"/>
          <w:numId w:val="9"/>
        </w:numPr>
        <w:tabs>
          <w:tab w:val="left" w:pos="1523"/>
        </w:tabs>
        <w:spacing w:before="2" w:after="0" w:line="240" w:lineRule="auto"/>
        <w:ind w:left="1523" w:right="0" w:hanging="776"/>
        <w:jc w:val="left"/>
        <w:rPr>
          <w:sz w:val="32"/>
        </w:rPr>
      </w:pPr>
      <w:r>
        <w:rPr>
          <w:spacing w:val="-7"/>
          <w:sz w:val="32"/>
        </w:rPr>
        <w:t>项目年度绩效目标是：园区道路环境干净卫生，绿化</w:t>
      </w:r>
    </w:p>
    <w:p w14:paraId="3F36B13F">
      <w:pPr>
        <w:spacing w:after="0" w:line="240" w:lineRule="auto"/>
        <w:jc w:val="left"/>
        <w:rPr>
          <w:sz w:val="32"/>
        </w:rPr>
        <w:sectPr>
          <w:pgSz w:w="11910" w:h="16840"/>
          <w:pgMar w:top="1920" w:right="1320" w:bottom="1720" w:left="1480" w:header="0" w:footer="1532" w:gutter="0"/>
          <w:cols w:space="720" w:num="1"/>
        </w:sectPr>
      </w:pPr>
    </w:p>
    <w:p w14:paraId="341BB9CE">
      <w:pPr>
        <w:pStyle w:val="3"/>
        <w:spacing w:before="1"/>
        <w:ind w:left="0"/>
        <w:rPr>
          <w:sz w:val="13"/>
        </w:rPr>
      </w:pPr>
    </w:p>
    <w:p w14:paraId="1DA6171C">
      <w:pPr>
        <w:pStyle w:val="3"/>
        <w:spacing w:before="54"/>
      </w:pPr>
      <w:r>
        <w:rPr>
          <w:spacing w:val="-6"/>
        </w:rPr>
        <w:t>养护良好。</w:t>
      </w:r>
    </w:p>
    <w:p w14:paraId="4C7DC061">
      <w:pPr>
        <w:pStyle w:val="8"/>
        <w:numPr>
          <w:ilvl w:val="0"/>
          <w:numId w:val="9"/>
        </w:numPr>
        <w:tabs>
          <w:tab w:val="left" w:pos="1545"/>
        </w:tabs>
        <w:spacing w:before="212" w:after="0" w:line="240" w:lineRule="auto"/>
        <w:ind w:left="1545" w:right="0" w:hanging="798"/>
        <w:jc w:val="left"/>
        <w:rPr>
          <w:sz w:val="32"/>
        </w:rPr>
      </w:pPr>
      <w:r>
        <w:rPr>
          <w:spacing w:val="-5"/>
          <w:sz w:val="32"/>
        </w:rPr>
        <w:t>项目绩效指标设置情况：</w:t>
      </w:r>
    </w:p>
    <w:p w14:paraId="5BA93E85">
      <w:pPr>
        <w:pStyle w:val="3"/>
        <w:spacing w:before="209" w:line="362" w:lineRule="auto"/>
        <w:ind w:right="105" w:firstLine="640"/>
      </w:pPr>
      <w:r>
        <w:rPr>
          <w:spacing w:val="-8"/>
          <w:w w:val="99"/>
        </w:rPr>
        <w:t>产出指标：用水水量据实计算，指标设立依据是行业标准。</w:t>
      </w:r>
      <w:r>
        <w:rPr>
          <w:spacing w:val="-3"/>
          <w:w w:val="99"/>
        </w:rPr>
        <w:t>效益指标：卫生状况良好率≥</w:t>
      </w:r>
      <w:r>
        <w:rPr>
          <w:rFonts w:ascii="Times New Roman" w:hAnsi="Times New Roman" w:eastAsia="Times New Roman"/>
          <w:spacing w:val="1"/>
          <w:w w:val="99"/>
        </w:rPr>
        <w:t>90</w:t>
      </w:r>
      <w:r>
        <w:rPr>
          <w:rFonts w:ascii="Times New Roman" w:hAnsi="Times New Roman" w:eastAsia="Times New Roman"/>
          <w:w w:val="99"/>
        </w:rPr>
        <w:t>%</w:t>
      </w:r>
      <w:r>
        <w:rPr>
          <w:spacing w:val="-2"/>
          <w:w w:val="99"/>
        </w:rPr>
        <w:t>，指标设立依据是行业标准。</w:t>
      </w:r>
      <w:r>
        <w:rPr>
          <w:spacing w:val="4"/>
          <w:w w:val="99"/>
        </w:rPr>
        <w:t>满意度指标：服务对象满意度≥</w:t>
      </w:r>
      <w:r>
        <w:rPr>
          <w:rFonts w:ascii="Times New Roman" w:hAnsi="Times New Roman" w:eastAsia="Times New Roman"/>
          <w:spacing w:val="1"/>
          <w:w w:val="99"/>
        </w:rPr>
        <w:t>95</w:t>
      </w:r>
      <w:r>
        <w:rPr>
          <w:rFonts w:ascii="Times New Roman" w:hAnsi="Times New Roman" w:eastAsia="Times New Roman"/>
          <w:spacing w:val="5"/>
          <w:w w:val="99"/>
        </w:rPr>
        <w:t>%</w:t>
      </w:r>
      <w:r>
        <w:rPr>
          <w:spacing w:val="5"/>
          <w:w w:val="99"/>
        </w:rPr>
        <w:t>，指标设立依据是行业标准。</w:t>
      </w:r>
    </w:p>
    <w:p w14:paraId="30CA157E">
      <w:pPr>
        <w:pStyle w:val="3"/>
        <w:spacing w:before="3"/>
        <w:ind w:left="747"/>
      </w:pPr>
      <w:r>
        <w:rPr>
          <w:rFonts w:ascii="Times New Roman" w:eastAsia="Times New Roman"/>
          <w:spacing w:val="-4"/>
        </w:rPr>
        <w:t>8</w:t>
      </w:r>
      <w:r>
        <w:rPr>
          <w:spacing w:val="-5"/>
        </w:rPr>
        <w:t>、小型工程审计费用</w:t>
      </w:r>
    </w:p>
    <w:p w14:paraId="7AB9A940">
      <w:pPr>
        <w:pStyle w:val="8"/>
        <w:numPr>
          <w:ilvl w:val="0"/>
          <w:numId w:val="10"/>
        </w:numPr>
        <w:tabs>
          <w:tab w:val="left" w:pos="1477"/>
        </w:tabs>
        <w:spacing w:before="212" w:after="0" w:line="362" w:lineRule="auto"/>
        <w:ind w:left="106" w:right="266" w:firstLine="640"/>
        <w:jc w:val="both"/>
        <w:rPr>
          <w:sz w:val="30"/>
        </w:rPr>
      </w:pPr>
      <w:r>
        <w:rPr>
          <w:spacing w:val="-2"/>
          <w:sz w:val="32"/>
        </w:rPr>
        <w:t>小型工程审计费用的主要内容是用于高新区小型市政设施维修审计。</w:t>
      </w:r>
      <w:r>
        <w:rPr>
          <w:rFonts w:ascii="Times New Roman" w:eastAsia="Times New Roman"/>
          <w:spacing w:val="-2"/>
          <w:sz w:val="32"/>
        </w:rPr>
        <w:t>2025</w:t>
      </w:r>
      <w:r>
        <w:rPr>
          <w:rFonts w:ascii="Times New Roman" w:eastAsia="Times New Roman"/>
          <w:spacing w:val="-18"/>
          <w:sz w:val="32"/>
        </w:rPr>
        <w:t xml:space="preserve"> </w:t>
      </w:r>
      <w:r>
        <w:rPr>
          <w:spacing w:val="-8"/>
          <w:sz w:val="32"/>
        </w:rPr>
        <w:t xml:space="preserve">年预算安排 </w:t>
      </w:r>
      <w:r>
        <w:rPr>
          <w:rFonts w:ascii="Times New Roman" w:eastAsia="Times New Roman"/>
          <w:spacing w:val="-2"/>
          <w:sz w:val="32"/>
        </w:rPr>
        <w:t>3.0</w:t>
      </w:r>
      <w:r>
        <w:rPr>
          <w:rFonts w:ascii="Times New Roman" w:eastAsia="Times New Roman"/>
          <w:spacing w:val="-18"/>
          <w:sz w:val="32"/>
        </w:rPr>
        <w:t xml:space="preserve"> </w:t>
      </w:r>
      <w:r>
        <w:rPr>
          <w:spacing w:val="-2"/>
          <w:sz w:val="32"/>
        </w:rPr>
        <w:t>万元，其中：</w:t>
      </w:r>
      <w:r>
        <w:rPr>
          <w:rFonts w:ascii="Times New Roman" w:eastAsia="Times New Roman"/>
          <w:spacing w:val="-2"/>
          <w:sz w:val="32"/>
        </w:rPr>
        <w:t>3.0</w:t>
      </w:r>
      <w:r>
        <w:rPr>
          <w:rFonts w:ascii="Times New Roman" w:eastAsia="Times New Roman"/>
          <w:spacing w:val="-18"/>
          <w:sz w:val="32"/>
        </w:rPr>
        <w:t xml:space="preserve"> </w:t>
      </w:r>
      <w:r>
        <w:rPr>
          <w:spacing w:val="-2"/>
          <w:sz w:val="32"/>
        </w:rPr>
        <w:t>万元资金来源为当年一般公共预算资金。</w:t>
      </w:r>
    </w:p>
    <w:p w14:paraId="1C9651B4">
      <w:pPr>
        <w:pStyle w:val="8"/>
        <w:numPr>
          <w:ilvl w:val="0"/>
          <w:numId w:val="10"/>
        </w:numPr>
        <w:tabs>
          <w:tab w:val="left" w:pos="1523"/>
        </w:tabs>
        <w:spacing w:before="0" w:after="0" w:line="348" w:lineRule="exact"/>
        <w:ind w:left="1523" w:right="0" w:hanging="776"/>
        <w:jc w:val="left"/>
        <w:rPr>
          <w:sz w:val="30"/>
        </w:rPr>
      </w:pPr>
      <w:r>
        <w:rPr>
          <w:spacing w:val="-7"/>
          <w:sz w:val="32"/>
        </w:rPr>
        <w:t>项目年度绩效目标是：加强项目审计监督，规范投资</w:t>
      </w:r>
    </w:p>
    <w:p w14:paraId="46E45338">
      <w:pPr>
        <w:pStyle w:val="3"/>
        <w:spacing w:before="226"/>
      </w:pPr>
      <w:r>
        <w:rPr>
          <w:spacing w:val="-5"/>
        </w:rPr>
        <w:t>行为和建设管理，提高投资效益。</w:t>
      </w:r>
    </w:p>
    <w:p w14:paraId="7DDBA5D0">
      <w:pPr>
        <w:pStyle w:val="3"/>
        <w:spacing w:before="8"/>
        <w:ind w:left="0"/>
        <w:rPr>
          <w:sz w:val="22"/>
        </w:rPr>
      </w:pPr>
    </w:p>
    <w:p w14:paraId="3D251CF2">
      <w:pPr>
        <w:pStyle w:val="8"/>
        <w:numPr>
          <w:ilvl w:val="0"/>
          <w:numId w:val="10"/>
        </w:numPr>
        <w:tabs>
          <w:tab w:val="left" w:pos="1535"/>
        </w:tabs>
        <w:spacing w:before="0" w:after="0" w:line="240" w:lineRule="auto"/>
        <w:ind w:left="1535" w:right="0" w:hanging="788"/>
        <w:jc w:val="left"/>
        <w:rPr>
          <w:color w:val="333333"/>
          <w:sz w:val="30"/>
        </w:rPr>
      </w:pPr>
      <w:r>
        <w:rPr>
          <w:spacing w:val="-5"/>
          <w:sz w:val="32"/>
        </w:rPr>
        <w:t>项目绩效指标设置情况：</w:t>
      </w:r>
    </w:p>
    <w:p w14:paraId="69320222">
      <w:pPr>
        <w:pStyle w:val="3"/>
        <w:spacing w:before="210" w:line="362" w:lineRule="auto"/>
        <w:ind w:right="105" w:firstLine="640"/>
      </w:pPr>
      <w:r>
        <w:rPr>
          <w:spacing w:val="-8"/>
          <w:w w:val="99"/>
        </w:rPr>
        <w:t>产出指标：成果报告据实计算，指标设立依据是行业标准。</w:t>
      </w:r>
      <w:r>
        <w:rPr>
          <w:spacing w:val="4"/>
          <w:w w:val="99"/>
        </w:rPr>
        <w:t>效益指标：成果报告运用质量≥</w:t>
      </w:r>
      <w:r>
        <w:rPr>
          <w:rFonts w:ascii="Times New Roman" w:hAnsi="Times New Roman" w:eastAsia="Times New Roman"/>
          <w:spacing w:val="1"/>
          <w:w w:val="99"/>
        </w:rPr>
        <w:t>90</w:t>
      </w:r>
      <w:r>
        <w:rPr>
          <w:rFonts w:ascii="Times New Roman" w:hAnsi="Times New Roman" w:eastAsia="Times New Roman"/>
          <w:spacing w:val="5"/>
          <w:w w:val="99"/>
        </w:rPr>
        <w:t>%</w:t>
      </w:r>
      <w:r>
        <w:rPr>
          <w:spacing w:val="5"/>
          <w:w w:val="99"/>
        </w:rPr>
        <w:t>，指标设立依据是行业标</w:t>
      </w:r>
      <w:r>
        <w:rPr>
          <w:spacing w:val="4"/>
          <w:w w:val="99"/>
        </w:rPr>
        <w:t>准。满意度指标：服务对象满意度≥</w:t>
      </w:r>
      <w:r>
        <w:rPr>
          <w:rFonts w:ascii="Times New Roman" w:hAnsi="Times New Roman" w:eastAsia="Times New Roman"/>
          <w:spacing w:val="1"/>
          <w:w w:val="99"/>
        </w:rPr>
        <w:t>9</w:t>
      </w:r>
      <w:r>
        <w:rPr>
          <w:rFonts w:ascii="Times New Roman" w:hAnsi="Times New Roman" w:eastAsia="Times New Roman"/>
          <w:spacing w:val="-2"/>
          <w:w w:val="99"/>
        </w:rPr>
        <w:t>5</w:t>
      </w:r>
      <w:r>
        <w:rPr>
          <w:rFonts w:ascii="Times New Roman" w:hAnsi="Times New Roman" w:eastAsia="Times New Roman"/>
          <w:spacing w:val="7"/>
          <w:w w:val="99"/>
        </w:rPr>
        <w:t>%</w:t>
      </w:r>
      <w:r>
        <w:rPr>
          <w:spacing w:val="5"/>
          <w:w w:val="99"/>
        </w:rPr>
        <w:t>，指标设立依据是行</w:t>
      </w:r>
      <w:r>
        <w:rPr>
          <w:spacing w:val="1"/>
          <w:w w:val="99"/>
        </w:rPr>
        <w:t>业标准。</w:t>
      </w:r>
    </w:p>
    <w:p w14:paraId="24890AB3">
      <w:pPr>
        <w:pStyle w:val="3"/>
        <w:spacing w:before="2"/>
        <w:ind w:left="747"/>
      </w:pPr>
      <w:r>
        <w:rPr>
          <w:rFonts w:ascii="Times New Roman" w:eastAsia="Times New Roman"/>
          <w:spacing w:val="-4"/>
        </w:rPr>
        <w:t>9</w:t>
      </w:r>
      <w:r>
        <w:rPr>
          <w:spacing w:val="-5"/>
        </w:rPr>
        <w:t>、污泥处置费</w:t>
      </w:r>
    </w:p>
    <w:p w14:paraId="12C25746">
      <w:pPr>
        <w:pStyle w:val="8"/>
        <w:numPr>
          <w:ilvl w:val="0"/>
          <w:numId w:val="11"/>
        </w:numPr>
        <w:tabs>
          <w:tab w:val="left" w:pos="1477"/>
        </w:tabs>
        <w:spacing w:before="212" w:after="0" w:line="362" w:lineRule="auto"/>
        <w:ind w:left="106" w:right="264" w:firstLine="640"/>
        <w:jc w:val="left"/>
        <w:rPr>
          <w:sz w:val="32"/>
        </w:rPr>
      </w:pPr>
      <w:r>
        <w:rPr>
          <w:spacing w:val="-2"/>
          <w:sz w:val="32"/>
        </w:rPr>
        <w:t>污泥处置费的主要内容是用于污水处理厂产出污泥无害化处理。</w:t>
      </w:r>
      <w:r>
        <w:rPr>
          <w:rFonts w:ascii="Times New Roman" w:eastAsia="Times New Roman"/>
          <w:spacing w:val="-2"/>
          <w:sz w:val="32"/>
        </w:rPr>
        <w:t>2025</w:t>
      </w:r>
      <w:r>
        <w:rPr>
          <w:rFonts w:ascii="Times New Roman" w:eastAsia="Times New Roman"/>
          <w:spacing w:val="-18"/>
          <w:sz w:val="32"/>
        </w:rPr>
        <w:t xml:space="preserve"> </w:t>
      </w:r>
      <w:r>
        <w:rPr>
          <w:spacing w:val="-15"/>
          <w:sz w:val="32"/>
        </w:rPr>
        <w:t xml:space="preserve">年预算安排 </w:t>
      </w:r>
      <w:r>
        <w:rPr>
          <w:rFonts w:ascii="Times New Roman" w:eastAsia="Times New Roman"/>
          <w:spacing w:val="-2"/>
          <w:sz w:val="32"/>
        </w:rPr>
        <w:t>30.0</w:t>
      </w:r>
      <w:r>
        <w:rPr>
          <w:rFonts w:ascii="Times New Roman" w:eastAsia="Times New Roman"/>
          <w:spacing w:val="-9"/>
          <w:sz w:val="32"/>
        </w:rPr>
        <w:t xml:space="preserve"> </w:t>
      </w:r>
      <w:r>
        <w:rPr>
          <w:spacing w:val="-2"/>
          <w:sz w:val="32"/>
        </w:rPr>
        <w:t>万元，其中：</w:t>
      </w:r>
      <w:r>
        <w:rPr>
          <w:rFonts w:ascii="Times New Roman" w:eastAsia="Times New Roman"/>
          <w:spacing w:val="-2"/>
          <w:sz w:val="32"/>
        </w:rPr>
        <w:t>30.0</w:t>
      </w:r>
      <w:r>
        <w:rPr>
          <w:rFonts w:ascii="Times New Roman" w:eastAsia="Times New Roman"/>
          <w:spacing w:val="-9"/>
          <w:sz w:val="32"/>
        </w:rPr>
        <w:t xml:space="preserve"> </w:t>
      </w:r>
      <w:r>
        <w:rPr>
          <w:spacing w:val="-2"/>
          <w:sz w:val="32"/>
        </w:rPr>
        <w:t>万元资金来</w:t>
      </w:r>
    </w:p>
    <w:p w14:paraId="181576E5">
      <w:pPr>
        <w:spacing w:after="0" w:line="362" w:lineRule="auto"/>
        <w:jc w:val="left"/>
        <w:rPr>
          <w:sz w:val="32"/>
        </w:rPr>
        <w:sectPr>
          <w:pgSz w:w="11910" w:h="16840"/>
          <w:pgMar w:top="1920" w:right="1320" w:bottom="1720" w:left="1480" w:header="0" w:footer="1532" w:gutter="0"/>
          <w:cols w:space="720" w:num="1"/>
        </w:sectPr>
      </w:pPr>
    </w:p>
    <w:p w14:paraId="2AAE629B">
      <w:pPr>
        <w:pStyle w:val="3"/>
        <w:spacing w:before="1"/>
        <w:ind w:left="0"/>
        <w:rPr>
          <w:sz w:val="13"/>
        </w:rPr>
      </w:pPr>
    </w:p>
    <w:p w14:paraId="02EC3143">
      <w:pPr>
        <w:pStyle w:val="3"/>
        <w:spacing w:before="54"/>
      </w:pPr>
      <w:r>
        <w:rPr>
          <w:spacing w:val="-5"/>
        </w:rPr>
        <w:t>源为政府性基金预算资金。</w:t>
      </w:r>
    </w:p>
    <w:p w14:paraId="3A1E0999">
      <w:pPr>
        <w:pStyle w:val="8"/>
        <w:numPr>
          <w:ilvl w:val="0"/>
          <w:numId w:val="11"/>
        </w:numPr>
        <w:tabs>
          <w:tab w:val="left" w:pos="1522"/>
        </w:tabs>
        <w:spacing w:before="212" w:after="0" w:line="362" w:lineRule="auto"/>
        <w:ind w:left="106" w:right="266" w:firstLine="640"/>
        <w:jc w:val="left"/>
        <w:rPr>
          <w:sz w:val="32"/>
        </w:rPr>
      </w:pPr>
      <w:r>
        <w:rPr>
          <w:spacing w:val="-4"/>
          <w:sz w:val="32"/>
        </w:rPr>
        <w:t>项目年度绩效目标是：市政设施运转良好，污水处理全覆盖。</w:t>
      </w:r>
    </w:p>
    <w:p w14:paraId="78C9589D">
      <w:pPr>
        <w:pStyle w:val="8"/>
        <w:numPr>
          <w:ilvl w:val="0"/>
          <w:numId w:val="11"/>
        </w:numPr>
        <w:tabs>
          <w:tab w:val="left" w:pos="1522"/>
        </w:tabs>
        <w:spacing w:before="0" w:after="0" w:line="362" w:lineRule="auto"/>
        <w:ind w:left="106" w:right="264" w:firstLine="640"/>
        <w:jc w:val="both"/>
        <w:rPr>
          <w:sz w:val="32"/>
        </w:rPr>
      </w:pPr>
      <w:r>
        <w:rPr>
          <w:spacing w:val="-2"/>
          <w:sz w:val="32"/>
        </w:rPr>
        <w:t>产出指标：污泥产生量据实计算，指标设立依据是行</w:t>
      </w:r>
      <w:r>
        <w:rPr>
          <w:spacing w:val="-8"/>
          <w:sz w:val="32"/>
        </w:rPr>
        <w:t xml:space="preserve">业标准。效益指标：污泥无害化处理率 </w:t>
      </w:r>
      <w:r>
        <w:rPr>
          <w:rFonts w:ascii="Times New Roman" w:eastAsia="Times New Roman"/>
          <w:spacing w:val="-6"/>
          <w:sz w:val="32"/>
        </w:rPr>
        <w:t>100%</w:t>
      </w:r>
      <w:r>
        <w:rPr>
          <w:spacing w:val="-6"/>
          <w:sz w:val="32"/>
        </w:rPr>
        <w:t>，指标设立依据是</w:t>
      </w:r>
      <w:r>
        <w:rPr>
          <w:spacing w:val="-8"/>
          <w:sz w:val="32"/>
        </w:rPr>
        <w:t xml:space="preserve">行业标准。满意度指标：服务对象满意度 </w:t>
      </w:r>
      <w:r>
        <w:rPr>
          <w:rFonts w:ascii="Times New Roman" w:eastAsia="Times New Roman"/>
          <w:spacing w:val="-6"/>
          <w:sz w:val="32"/>
        </w:rPr>
        <w:t>100%</w:t>
      </w:r>
      <w:r>
        <w:rPr>
          <w:spacing w:val="-6"/>
          <w:sz w:val="32"/>
        </w:rPr>
        <w:t>，指标设立依据</w:t>
      </w:r>
      <w:r>
        <w:rPr>
          <w:spacing w:val="-2"/>
          <w:sz w:val="32"/>
        </w:rPr>
        <w:t>是行业标准。</w:t>
      </w:r>
    </w:p>
    <w:p w14:paraId="2D79FAED">
      <w:pPr>
        <w:pStyle w:val="3"/>
        <w:spacing w:before="5"/>
        <w:ind w:left="747"/>
      </w:pPr>
      <w:r>
        <w:rPr>
          <w:rFonts w:ascii="Times New Roman" w:eastAsia="Times New Roman"/>
          <w:spacing w:val="-4"/>
        </w:rPr>
        <w:t>10</w:t>
      </w:r>
      <w:r>
        <w:rPr>
          <w:spacing w:val="-5"/>
        </w:rPr>
        <w:t>、交通大道管网改造配套费用</w:t>
      </w:r>
    </w:p>
    <w:p w14:paraId="07F2EA1F">
      <w:pPr>
        <w:pStyle w:val="8"/>
        <w:numPr>
          <w:ilvl w:val="0"/>
          <w:numId w:val="12"/>
        </w:numPr>
        <w:tabs>
          <w:tab w:val="left" w:pos="1477"/>
        </w:tabs>
        <w:spacing w:before="210" w:after="0" w:line="362" w:lineRule="auto"/>
        <w:ind w:left="106" w:right="266" w:firstLine="640"/>
        <w:jc w:val="both"/>
        <w:rPr>
          <w:sz w:val="32"/>
        </w:rPr>
      </w:pPr>
      <w:r>
        <w:rPr>
          <w:spacing w:val="-2"/>
          <w:sz w:val="32"/>
        </w:rPr>
        <w:t>交通大道管网改造配套费用的主要内容是用于交通大</w:t>
      </w:r>
      <w:r>
        <w:rPr>
          <w:sz w:val="32"/>
        </w:rPr>
        <w:t>道管网改造设计设计、监理、竣工审计等配套费用。</w:t>
      </w:r>
      <w:r>
        <w:rPr>
          <w:rFonts w:ascii="Times New Roman" w:eastAsia="Times New Roman"/>
          <w:sz w:val="32"/>
        </w:rPr>
        <w:t>2025</w:t>
      </w:r>
      <w:r>
        <w:rPr>
          <w:rFonts w:ascii="Times New Roman" w:eastAsia="Times New Roman"/>
          <w:spacing w:val="-20"/>
          <w:sz w:val="32"/>
        </w:rPr>
        <w:t xml:space="preserve"> </w:t>
      </w:r>
      <w:r>
        <w:rPr>
          <w:sz w:val="32"/>
        </w:rPr>
        <w:t>年预</w:t>
      </w:r>
      <w:r>
        <w:rPr>
          <w:spacing w:val="-10"/>
          <w:sz w:val="32"/>
        </w:rPr>
        <w:t xml:space="preserve">算安排 </w:t>
      </w:r>
      <w:r>
        <w:rPr>
          <w:rFonts w:ascii="Times New Roman" w:eastAsia="Times New Roman"/>
          <w:sz w:val="32"/>
        </w:rPr>
        <w:t>100.0</w:t>
      </w:r>
      <w:r>
        <w:rPr>
          <w:rFonts w:ascii="Times New Roman" w:eastAsia="Times New Roman"/>
          <w:spacing w:val="-20"/>
          <w:sz w:val="32"/>
        </w:rPr>
        <w:t xml:space="preserve"> </w:t>
      </w:r>
      <w:r>
        <w:rPr>
          <w:sz w:val="32"/>
        </w:rPr>
        <w:t>万元，其中：</w:t>
      </w:r>
      <w:r>
        <w:rPr>
          <w:rFonts w:ascii="Times New Roman" w:eastAsia="Times New Roman"/>
          <w:sz w:val="32"/>
        </w:rPr>
        <w:t>100.0</w:t>
      </w:r>
      <w:r>
        <w:rPr>
          <w:rFonts w:ascii="Times New Roman" w:eastAsia="Times New Roman"/>
          <w:spacing w:val="-20"/>
          <w:sz w:val="32"/>
        </w:rPr>
        <w:t xml:space="preserve"> </w:t>
      </w:r>
      <w:r>
        <w:rPr>
          <w:sz w:val="32"/>
        </w:rPr>
        <w:t>万元资金来源为政府性基金预</w:t>
      </w:r>
      <w:r>
        <w:rPr>
          <w:spacing w:val="-4"/>
          <w:sz w:val="32"/>
        </w:rPr>
        <w:t>算资金。</w:t>
      </w:r>
    </w:p>
    <w:p w14:paraId="01658CDD">
      <w:pPr>
        <w:pStyle w:val="8"/>
        <w:numPr>
          <w:ilvl w:val="0"/>
          <w:numId w:val="12"/>
        </w:numPr>
        <w:tabs>
          <w:tab w:val="left" w:pos="1522"/>
        </w:tabs>
        <w:spacing w:before="2" w:after="0" w:line="364" w:lineRule="auto"/>
        <w:ind w:left="106" w:right="266" w:firstLine="640"/>
        <w:jc w:val="left"/>
        <w:rPr>
          <w:sz w:val="32"/>
        </w:rPr>
      </w:pPr>
      <w:r>
        <w:rPr>
          <w:spacing w:val="-4"/>
          <w:sz w:val="32"/>
        </w:rPr>
        <w:t>项目年度绩效目标是：全面提升高新区污水收集、雨</w:t>
      </w:r>
      <w:r>
        <w:rPr>
          <w:spacing w:val="-2"/>
          <w:sz w:val="32"/>
        </w:rPr>
        <w:t>水排放能力。</w:t>
      </w:r>
    </w:p>
    <w:p w14:paraId="5DC872A4">
      <w:pPr>
        <w:pStyle w:val="8"/>
        <w:numPr>
          <w:ilvl w:val="0"/>
          <w:numId w:val="12"/>
        </w:numPr>
        <w:tabs>
          <w:tab w:val="left" w:pos="1545"/>
        </w:tabs>
        <w:spacing w:before="0" w:after="0" w:line="404" w:lineRule="exact"/>
        <w:ind w:left="1545" w:right="0" w:hanging="798"/>
        <w:jc w:val="left"/>
        <w:rPr>
          <w:sz w:val="32"/>
        </w:rPr>
      </w:pPr>
      <w:r>
        <w:rPr>
          <w:spacing w:val="-5"/>
          <w:sz w:val="32"/>
        </w:rPr>
        <w:t>项目绩效指标设置情况：</w:t>
      </w:r>
    </w:p>
    <w:p w14:paraId="0CF5D5E8">
      <w:pPr>
        <w:pStyle w:val="3"/>
        <w:spacing w:before="209" w:line="362" w:lineRule="auto"/>
        <w:ind w:right="105" w:firstLine="640"/>
      </w:pPr>
      <w:r>
        <w:rPr>
          <w:spacing w:val="-8"/>
          <w:w w:val="99"/>
        </w:rPr>
        <w:t>产出指标：成果报告据实计算，指标设立依据是行业标准。</w:t>
      </w:r>
      <w:r>
        <w:rPr>
          <w:spacing w:val="4"/>
          <w:w w:val="99"/>
        </w:rPr>
        <w:t>效益指标：成果报告运用质量≥</w:t>
      </w:r>
      <w:r>
        <w:rPr>
          <w:rFonts w:ascii="Times New Roman" w:hAnsi="Times New Roman" w:eastAsia="Times New Roman"/>
          <w:spacing w:val="1"/>
          <w:w w:val="99"/>
        </w:rPr>
        <w:t>90</w:t>
      </w:r>
      <w:r>
        <w:rPr>
          <w:rFonts w:ascii="Times New Roman" w:hAnsi="Times New Roman" w:eastAsia="Times New Roman"/>
          <w:spacing w:val="5"/>
          <w:w w:val="99"/>
        </w:rPr>
        <w:t>%</w:t>
      </w:r>
      <w:r>
        <w:rPr>
          <w:spacing w:val="5"/>
          <w:w w:val="99"/>
        </w:rPr>
        <w:t>，指标设立依据是行业标</w:t>
      </w:r>
      <w:r>
        <w:rPr>
          <w:spacing w:val="4"/>
          <w:w w:val="99"/>
        </w:rPr>
        <w:t>准。满意度指标：服务对象满意度≥</w:t>
      </w:r>
      <w:r>
        <w:rPr>
          <w:rFonts w:ascii="Times New Roman" w:hAnsi="Times New Roman" w:eastAsia="Times New Roman"/>
          <w:spacing w:val="1"/>
          <w:w w:val="99"/>
        </w:rPr>
        <w:t>9</w:t>
      </w:r>
      <w:r>
        <w:rPr>
          <w:rFonts w:ascii="Times New Roman" w:hAnsi="Times New Roman" w:eastAsia="Times New Roman"/>
          <w:spacing w:val="-2"/>
          <w:w w:val="99"/>
        </w:rPr>
        <w:t>5</w:t>
      </w:r>
      <w:r>
        <w:rPr>
          <w:rFonts w:ascii="Times New Roman" w:hAnsi="Times New Roman" w:eastAsia="Times New Roman"/>
          <w:spacing w:val="7"/>
          <w:w w:val="99"/>
        </w:rPr>
        <w:t>%</w:t>
      </w:r>
      <w:r>
        <w:rPr>
          <w:spacing w:val="5"/>
          <w:w w:val="99"/>
        </w:rPr>
        <w:t>，指标设立依据是行</w:t>
      </w:r>
      <w:r>
        <w:rPr>
          <w:spacing w:val="1"/>
          <w:w w:val="99"/>
        </w:rPr>
        <w:t>业标准。</w:t>
      </w:r>
    </w:p>
    <w:p w14:paraId="3D95D467">
      <w:pPr>
        <w:pStyle w:val="3"/>
        <w:spacing w:before="6"/>
        <w:ind w:left="747"/>
      </w:pPr>
      <w:r>
        <w:rPr>
          <w:spacing w:val="-5"/>
        </w:rPr>
        <w:t>九、其他需要说明的情况</w:t>
      </w:r>
    </w:p>
    <w:p w14:paraId="650DB65C">
      <w:pPr>
        <w:pStyle w:val="2"/>
        <w:spacing w:before="103"/>
      </w:pPr>
      <w:r>
        <w:rPr>
          <w:spacing w:val="-2"/>
        </w:rPr>
        <w:t>（一）</w:t>
      </w:r>
      <w:r>
        <w:rPr>
          <w:spacing w:val="-4"/>
        </w:rPr>
        <w:t>对空表的说明</w:t>
      </w:r>
    </w:p>
    <w:p w14:paraId="7D241A43">
      <w:pPr>
        <w:spacing w:after="0"/>
        <w:sectPr>
          <w:pgSz w:w="11910" w:h="16840"/>
          <w:pgMar w:top="1920" w:right="1320" w:bottom="1720" w:left="1480" w:header="0" w:footer="1532" w:gutter="0"/>
          <w:cols w:space="720" w:num="1"/>
        </w:sectPr>
      </w:pPr>
    </w:p>
    <w:p w14:paraId="1BD39D0E">
      <w:pPr>
        <w:pStyle w:val="3"/>
        <w:spacing w:before="10"/>
        <w:ind w:left="0"/>
        <w:rPr>
          <w:rFonts w:ascii="Microsoft JhengHei"/>
          <w:b/>
          <w:sz w:val="8"/>
        </w:rPr>
      </w:pPr>
    </w:p>
    <w:p w14:paraId="04D1C1CF">
      <w:pPr>
        <w:pStyle w:val="3"/>
        <w:spacing w:before="65" w:line="364" w:lineRule="auto"/>
        <w:ind w:right="266" w:firstLine="640"/>
        <w:jc w:val="both"/>
      </w:pPr>
      <w:r>
        <w:rPr>
          <w:spacing w:val="-13"/>
        </w:rPr>
        <w:t xml:space="preserve">我部门 </w:t>
      </w:r>
      <w:r>
        <w:rPr>
          <w:rFonts w:ascii="Times New Roman" w:eastAsia="Times New Roman"/>
          <w:spacing w:val="-4"/>
        </w:rPr>
        <w:t>2025</w:t>
      </w:r>
      <w:r>
        <w:rPr>
          <w:rFonts w:ascii="Times New Roman" w:eastAsia="Times New Roman"/>
          <w:spacing w:val="-16"/>
        </w:rPr>
        <w:t xml:space="preserve"> </w:t>
      </w:r>
      <w:r>
        <w:rPr>
          <w:spacing w:val="-4"/>
        </w:rPr>
        <w:t>年无国有资本经营预算支出，与年一致，故该</w:t>
      </w:r>
      <w:r>
        <w:rPr>
          <w:spacing w:val="-2"/>
        </w:rPr>
        <w:t>表为空表。</w:t>
      </w:r>
    </w:p>
    <w:p w14:paraId="24EA2931">
      <w:pPr>
        <w:pStyle w:val="2"/>
        <w:spacing w:line="477" w:lineRule="exact"/>
      </w:pPr>
      <w:r>
        <w:rPr>
          <w:spacing w:val="-2"/>
        </w:rPr>
        <w:t>（二）</w:t>
      </w:r>
      <w:r>
        <w:rPr>
          <w:spacing w:val="-4"/>
        </w:rPr>
        <w:t>对其他情况的说明</w:t>
      </w:r>
    </w:p>
    <w:p w14:paraId="1FE89570">
      <w:pPr>
        <w:pStyle w:val="3"/>
        <w:spacing w:before="136"/>
        <w:ind w:left="747"/>
      </w:pPr>
      <w:r>
        <w:rPr>
          <w:spacing w:val="-5"/>
        </w:rPr>
        <w:t>无其他情况说明。</w:t>
      </w:r>
    </w:p>
    <w:p w14:paraId="44A089A8">
      <w:pPr>
        <w:pStyle w:val="3"/>
        <w:spacing w:before="212"/>
        <w:ind w:left="747"/>
      </w:pPr>
      <w:r>
        <w:rPr>
          <w:spacing w:val="-5"/>
        </w:rPr>
        <w:t>十、专业名词解释</w:t>
      </w:r>
    </w:p>
    <w:p w14:paraId="18C1A048">
      <w:pPr>
        <w:pStyle w:val="8"/>
        <w:numPr>
          <w:ilvl w:val="0"/>
          <w:numId w:val="13"/>
        </w:numPr>
        <w:tabs>
          <w:tab w:val="left" w:pos="985"/>
        </w:tabs>
        <w:spacing w:before="209" w:after="0" w:line="362" w:lineRule="auto"/>
        <w:ind w:left="106" w:right="264" w:firstLine="640"/>
        <w:jc w:val="both"/>
        <w:rPr>
          <w:sz w:val="32"/>
        </w:rPr>
      </w:pPr>
      <w:r>
        <w:rPr>
          <w:spacing w:val="-15"/>
          <w:sz w:val="32"/>
        </w:rPr>
        <w:t>机关运行经费：指为保障单位运行使用一般公共预算财政</w:t>
      </w:r>
      <w:r>
        <w:rPr>
          <w:spacing w:val="-2"/>
          <w:sz w:val="32"/>
        </w:rPr>
        <w:t>拨款安排的基本支出中的日常公用经费支出。包括办公及印刷费、邮电费、差旅费、会议费、福利费、日常维修费、专用材料及一般设备购置费、办公用房水电费、办公用房取暖费、办公用房物业管理费、公务用车运行维护费以及其他费用。</w:t>
      </w:r>
    </w:p>
    <w:p w14:paraId="185D05DD">
      <w:pPr>
        <w:pStyle w:val="8"/>
        <w:numPr>
          <w:ilvl w:val="0"/>
          <w:numId w:val="13"/>
        </w:numPr>
        <w:tabs>
          <w:tab w:val="left" w:pos="985"/>
        </w:tabs>
        <w:spacing w:before="5" w:after="0" w:line="362" w:lineRule="auto"/>
        <w:ind w:left="106" w:right="105" w:firstLine="640"/>
        <w:jc w:val="left"/>
        <w:rPr>
          <w:sz w:val="32"/>
        </w:rPr>
      </w:pPr>
      <w:r>
        <w:rPr>
          <w:rFonts w:ascii="Times New Roman" w:hAnsi="Times New Roman" w:eastAsia="Times New Roman"/>
          <w:spacing w:val="-2"/>
          <w:sz w:val="32"/>
        </w:rPr>
        <w:t>“</w:t>
      </w:r>
      <w:r>
        <w:rPr>
          <w:spacing w:val="-2"/>
          <w:sz w:val="32"/>
        </w:rPr>
        <w:t>三公</w:t>
      </w:r>
      <w:r>
        <w:rPr>
          <w:rFonts w:ascii="Times New Roman" w:hAnsi="Times New Roman" w:eastAsia="Times New Roman"/>
          <w:spacing w:val="-2"/>
          <w:sz w:val="32"/>
        </w:rPr>
        <w:t>”</w:t>
      </w:r>
      <w:r>
        <w:rPr>
          <w:spacing w:val="-14"/>
          <w:sz w:val="32"/>
        </w:rPr>
        <w:t>经费：指使用一般公共预算财政拨款安排的因公出</w:t>
      </w:r>
      <w:r>
        <w:rPr>
          <w:spacing w:val="-4"/>
          <w:sz w:val="32"/>
        </w:rPr>
        <w:t>国（境）费、公务用车购置及运行维护费和公务接待费。其中，</w:t>
      </w:r>
      <w:r>
        <w:rPr>
          <w:spacing w:val="-2"/>
          <w:sz w:val="32"/>
        </w:rPr>
        <w:t>因公出国（境）费用反映单位公务出国（境）的国际旅费、国外城市间交通费、住宿费、伙食费、培训费、公杂费等支出；</w:t>
      </w:r>
      <w:r>
        <w:rPr>
          <w:spacing w:val="14"/>
          <w:sz w:val="32"/>
        </w:rPr>
        <w:t>公务用车购置及运行维护费反映单位公务用车车辆购置支出</w:t>
      </w:r>
    </w:p>
    <w:p w14:paraId="2BCFB883">
      <w:pPr>
        <w:pStyle w:val="3"/>
        <w:spacing w:before="3" w:line="362" w:lineRule="auto"/>
        <w:ind w:right="266"/>
        <w:jc w:val="both"/>
      </w:pPr>
      <w:r>
        <w:rPr>
          <w:spacing w:val="-2"/>
        </w:rPr>
        <w:t>（含车辆购置税、牌照费）、燃料费、维修费、过桥过路费、保险费、安全奖励费用等支出；公务接待费反映单位按规定开支的各类公务接待（含外宾接待）费用。</w:t>
      </w:r>
    </w:p>
    <w:p w14:paraId="65FCF485">
      <w:pPr>
        <w:pStyle w:val="8"/>
        <w:numPr>
          <w:ilvl w:val="0"/>
          <w:numId w:val="13"/>
        </w:numPr>
        <w:tabs>
          <w:tab w:val="left" w:pos="985"/>
        </w:tabs>
        <w:spacing w:before="3" w:after="0" w:line="240" w:lineRule="auto"/>
        <w:ind w:left="106" w:right="0" w:firstLine="640"/>
        <w:jc w:val="left"/>
        <w:rPr>
          <w:sz w:val="32"/>
        </w:rPr>
      </w:pPr>
      <w:r>
        <w:rPr>
          <w:spacing w:val="-10"/>
          <w:sz w:val="32"/>
        </w:rPr>
        <w:t>政府采购：是指各级国家机关、事业单位和团体组织，使</w:t>
      </w:r>
    </w:p>
    <w:p w14:paraId="5ADB63AA">
      <w:pPr>
        <w:pStyle w:val="3"/>
        <w:spacing w:before="1" w:line="620" w:lineRule="atLeast"/>
        <w:ind w:right="266"/>
      </w:pPr>
      <w:r>
        <w:rPr>
          <w:spacing w:val="-2"/>
        </w:rPr>
        <w:t>用财政性资金采购依法制定的集中采购目录以内的或者采购限</w:t>
      </w:r>
      <w:r>
        <w:rPr>
          <w:spacing w:val="-1"/>
        </w:rPr>
        <w:t>额标准以上的货物、工程和服务的行为。政府采购不仅是指具</w:t>
      </w:r>
    </w:p>
    <w:p w14:paraId="556F7C89">
      <w:pPr>
        <w:spacing w:after="0" w:line="620" w:lineRule="atLeast"/>
        <w:sectPr>
          <w:pgSz w:w="11910" w:h="16840"/>
          <w:pgMar w:top="1920" w:right="1320" w:bottom="1720" w:left="1480" w:header="0" w:footer="1532" w:gutter="0"/>
          <w:cols w:space="720" w:num="1"/>
        </w:sectPr>
      </w:pPr>
    </w:p>
    <w:p w14:paraId="6A99CD44">
      <w:pPr>
        <w:pStyle w:val="3"/>
        <w:spacing w:before="1"/>
        <w:ind w:left="0"/>
        <w:rPr>
          <w:sz w:val="13"/>
        </w:rPr>
      </w:pPr>
    </w:p>
    <w:p w14:paraId="10CE7955">
      <w:pPr>
        <w:pStyle w:val="3"/>
        <w:spacing w:before="54" w:line="364" w:lineRule="auto"/>
        <w:ind w:right="105"/>
      </w:pPr>
      <w:r>
        <w:rPr>
          <w:spacing w:val="-2"/>
        </w:rPr>
        <w:t>体的采购过程，而且是采购政策、采购程序、采购过程及采购</w:t>
      </w:r>
      <w:r>
        <w:rPr>
          <w:spacing w:val="-4"/>
        </w:rPr>
        <w:t>管理的总称，是一种对公共采购管理的制度，是一种政府行为。</w:t>
      </w:r>
    </w:p>
    <w:p w14:paraId="51C4995C">
      <w:pPr>
        <w:pStyle w:val="8"/>
        <w:numPr>
          <w:ilvl w:val="0"/>
          <w:numId w:val="13"/>
        </w:numPr>
        <w:tabs>
          <w:tab w:val="left" w:pos="985"/>
        </w:tabs>
        <w:spacing w:before="0" w:after="0" w:line="362" w:lineRule="auto"/>
        <w:ind w:left="106" w:right="266" w:firstLine="640"/>
        <w:jc w:val="left"/>
        <w:rPr>
          <w:sz w:val="32"/>
        </w:rPr>
      </w:pPr>
      <w:r>
        <w:rPr>
          <w:spacing w:val="-8"/>
          <w:sz w:val="32"/>
        </w:rPr>
        <w:t>财政拨款（补助）收入：市级财政预算安排且当年拨付的</w:t>
      </w:r>
      <w:r>
        <w:rPr>
          <w:spacing w:val="-4"/>
          <w:sz w:val="32"/>
        </w:rPr>
        <w:t>资金。</w:t>
      </w:r>
    </w:p>
    <w:p w14:paraId="09DFC943">
      <w:pPr>
        <w:pStyle w:val="8"/>
        <w:numPr>
          <w:ilvl w:val="0"/>
          <w:numId w:val="13"/>
        </w:numPr>
        <w:tabs>
          <w:tab w:val="left" w:pos="985"/>
        </w:tabs>
        <w:spacing w:before="0" w:after="0" w:line="362" w:lineRule="auto"/>
        <w:ind w:left="106" w:right="266" w:firstLine="640"/>
        <w:jc w:val="left"/>
        <w:rPr>
          <w:sz w:val="32"/>
        </w:rPr>
      </w:pPr>
      <w:r>
        <w:rPr>
          <w:spacing w:val="-15"/>
          <w:sz w:val="32"/>
        </w:rPr>
        <w:t>事业收入：事业单位开展专业业务活动及辅助活动取得的</w:t>
      </w:r>
      <w:r>
        <w:rPr>
          <w:spacing w:val="-4"/>
          <w:sz w:val="32"/>
        </w:rPr>
        <w:t>收入。</w:t>
      </w:r>
    </w:p>
    <w:p w14:paraId="5380C4CB">
      <w:pPr>
        <w:pStyle w:val="8"/>
        <w:numPr>
          <w:ilvl w:val="0"/>
          <w:numId w:val="13"/>
        </w:numPr>
        <w:tabs>
          <w:tab w:val="left" w:pos="985"/>
        </w:tabs>
        <w:spacing w:before="0" w:after="0" w:line="364" w:lineRule="auto"/>
        <w:ind w:left="106" w:right="266" w:firstLine="640"/>
        <w:jc w:val="left"/>
        <w:rPr>
          <w:sz w:val="32"/>
        </w:rPr>
      </w:pPr>
      <w:r>
        <w:rPr>
          <w:spacing w:val="-15"/>
          <w:sz w:val="32"/>
        </w:rPr>
        <w:t>事业单位经营收入：事业单位在专业业务活动及其辅助活</w:t>
      </w:r>
      <w:r>
        <w:rPr>
          <w:spacing w:val="-2"/>
          <w:sz w:val="32"/>
        </w:rPr>
        <w:t>动之外开展非独立核算经营活动取得的收入。</w:t>
      </w:r>
    </w:p>
    <w:p w14:paraId="50CB73C1">
      <w:pPr>
        <w:pStyle w:val="8"/>
        <w:numPr>
          <w:ilvl w:val="0"/>
          <w:numId w:val="13"/>
        </w:numPr>
        <w:tabs>
          <w:tab w:val="left" w:pos="986"/>
        </w:tabs>
        <w:spacing w:before="0" w:after="0" w:line="404" w:lineRule="exact"/>
        <w:ind w:left="986" w:right="0" w:hanging="239"/>
        <w:jc w:val="left"/>
        <w:rPr>
          <w:sz w:val="32"/>
        </w:rPr>
      </w:pPr>
      <w:r>
        <w:rPr>
          <w:spacing w:val="-5"/>
          <w:sz w:val="32"/>
        </w:rPr>
        <w:t>其他收入：填列单位取得的除上述收入以外的各项收入。</w:t>
      </w:r>
    </w:p>
    <w:p w14:paraId="11AE7590">
      <w:pPr>
        <w:pStyle w:val="3"/>
        <w:ind w:left="0"/>
        <w:rPr>
          <w:sz w:val="41"/>
        </w:rPr>
      </w:pPr>
    </w:p>
    <w:p w14:paraId="4FC6422E">
      <w:pPr>
        <w:pStyle w:val="3"/>
        <w:spacing w:before="1" w:line="362" w:lineRule="auto"/>
        <w:ind w:left="1707" w:right="266" w:hanging="1601"/>
      </w:pPr>
      <w:r>
        <w:rPr>
          <w:spacing w:val="2"/>
        </w:rPr>
        <w:t>第二部分 随州高新区自然资源和规划建设中心</w:t>
      </w:r>
      <w:r>
        <w:rPr>
          <w:rFonts w:ascii="Times New Roman" w:eastAsia="Times New Roman"/>
        </w:rPr>
        <w:t>2025</w:t>
      </w:r>
      <w:r>
        <w:rPr>
          <w:rFonts w:ascii="Times New Roman" w:eastAsia="Times New Roman"/>
          <w:spacing w:val="-34"/>
        </w:rPr>
        <w:t xml:space="preserve"> </w:t>
      </w:r>
      <w:r>
        <w:t>年部门预</w:t>
      </w:r>
      <w:r>
        <w:rPr>
          <w:spacing w:val="-4"/>
        </w:rPr>
        <w:t>算公开表</w:t>
      </w:r>
    </w:p>
    <w:p w14:paraId="698D64C0">
      <w:pPr>
        <w:pStyle w:val="3"/>
        <w:spacing w:before="11"/>
        <w:ind w:left="0"/>
        <w:rPr>
          <w:sz w:val="24"/>
        </w:rPr>
      </w:pPr>
    </w:p>
    <w:p w14:paraId="28239321">
      <w:pPr>
        <w:pStyle w:val="3"/>
        <w:spacing w:before="1" w:line="362" w:lineRule="auto"/>
        <w:ind w:right="105" w:firstLine="640"/>
      </w:pPr>
      <w:r>
        <w:rPr>
          <w:w w:val="99"/>
        </w:rPr>
        <w:t>预算公开表共</w:t>
      </w:r>
      <w:r>
        <w:rPr>
          <w:spacing w:val="-81"/>
        </w:rPr>
        <w:t xml:space="preserve"> </w:t>
      </w:r>
      <w:r>
        <w:rPr>
          <w:rFonts w:ascii="Times New Roman" w:hAnsi="Times New Roman" w:eastAsia="Times New Roman"/>
          <w:spacing w:val="1"/>
          <w:w w:val="99"/>
        </w:rPr>
        <w:t>1</w:t>
      </w:r>
      <w:r>
        <w:rPr>
          <w:rFonts w:ascii="Times New Roman" w:hAnsi="Times New Roman" w:eastAsia="Times New Roman"/>
          <w:w w:val="99"/>
        </w:rPr>
        <w:t>0</w:t>
      </w:r>
      <w:r>
        <w:rPr>
          <w:rFonts w:ascii="Times New Roman" w:hAnsi="Times New Roman" w:eastAsia="Times New Roman"/>
        </w:rPr>
        <w:t xml:space="preserve"> </w:t>
      </w:r>
      <w:r>
        <w:rPr>
          <w:spacing w:val="-9"/>
          <w:w w:val="99"/>
        </w:rPr>
        <w:t>张，包括部门收支预算总表、部门收入总</w:t>
      </w:r>
      <w:r>
        <w:rPr>
          <w:spacing w:val="-7"/>
          <w:w w:val="99"/>
        </w:rPr>
        <w:t>表、部门支出总表、财政拨款收支总表、一般公共预算支出表、</w:t>
      </w:r>
      <w:r>
        <w:rPr>
          <w:spacing w:val="5"/>
          <w:w w:val="99"/>
        </w:rPr>
        <w:t>一般公共预算基本支出表、一般公共预算</w:t>
      </w:r>
      <w:r>
        <w:rPr>
          <w:rFonts w:ascii="Times New Roman" w:hAnsi="Times New Roman" w:eastAsia="Times New Roman"/>
          <w:spacing w:val="4"/>
          <w:w w:val="99"/>
        </w:rPr>
        <w:t>“</w:t>
      </w:r>
      <w:r>
        <w:rPr>
          <w:spacing w:val="5"/>
          <w:w w:val="99"/>
        </w:rPr>
        <w:t>三公</w:t>
      </w:r>
      <w:r>
        <w:rPr>
          <w:rFonts w:ascii="Times New Roman" w:hAnsi="Times New Roman" w:eastAsia="Times New Roman"/>
          <w:spacing w:val="7"/>
          <w:w w:val="99"/>
        </w:rPr>
        <w:t>”</w:t>
      </w:r>
      <w:r>
        <w:rPr>
          <w:spacing w:val="4"/>
          <w:w w:val="99"/>
        </w:rPr>
        <w:t>经费支出表、</w:t>
      </w:r>
      <w:r>
        <w:rPr>
          <w:w w:val="99"/>
        </w:rPr>
        <w:t>政府性基金预算支出表、项目支出表、政府采购预算表。</w:t>
      </w:r>
    </w:p>
    <w:p w14:paraId="3C8D2A65">
      <w:pPr>
        <w:pStyle w:val="3"/>
        <w:spacing w:before="2"/>
        <w:ind w:left="428"/>
      </w:pPr>
      <w:r>
        <w:rPr>
          <w:spacing w:val="-5"/>
        </w:rPr>
        <w:t>一、部门收支预算总表</w:t>
      </w:r>
    </w:p>
    <w:p w14:paraId="20010529">
      <w:pPr>
        <w:spacing w:after="0"/>
        <w:sectPr>
          <w:pgSz w:w="11910" w:h="16840"/>
          <w:pgMar w:top="1920" w:right="1320" w:bottom="1720" w:left="1480" w:header="0" w:footer="1532" w:gutter="0"/>
          <w:cols w:space="720" w:num="1"/>
        </w:sectPr>
      </w:pPr>
    </w:p>
    <w:p w14:paraId="4F07A10C">
      <w:pPr>
        <w:pStyle w:val="3"/>
        <w:spacing w:before="9"/>
        <w:ind w:left="0"/>
        <w:rPr>
          <w:sz w:val="5"/>
        </w:rPr>
      </w:pPr>
    </w:p>
    <w:p w14:paraId="0EE5DF70">
      <w:pPr>
        <w:pStyle w:val="3"/>
        <w:ind w:left="320"/>
        <w:rPr>
          <w:sz w:val="20"/>
        </w:rPr>
      </w:pPr>
      <w:r>
        <w:rPr>
          <w:sz w:val="20"/>
        </w:rPr>
        <w:drawing>
          <wp:inline distT="0" distB="0" distL="0" distR="0">
            <wp:extent cx="5297805" cy="6455410"/>
            <wp:effectExtent l="0" t="0" r="0" b="0"/>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5298054" cy="6455664"/>
                    </a:xfrm>
                    <a:prstGeom prst="rect">
                      <a:avLst/>
                    </a:prstGeom>
                  </pic:spPr>
                </pic:pic>
              </a:graphicData>
            </a:graphic>
          </wp:inline>
        </w:drawing>
      </w:r>
    </w:p>
    <w:p w14:paraId="6D346581">
      <w:pPr>
        <w:pStyle w:val="3"/>
        <w:spacing w:before="1"/>
        <w:ind w:left="0"/>
        <w:rPr>
          <w:sz w:val="8"/>
        </w:rPr>
      </w:pPr>
    </w:p>
    <w:p w14:paraId="0C9C6BE0">
      <w:pPr>
        <w:pStyle w:val="3"/>
        <w:spacing w:before="54"/>
        <w:ind w:left="747"/>
      </w:pPr>
      <w:r>
        <w:rPr>
          <w:spacing w:val="-5"/>
        </w:rPr>
        <w:t>二、部门收入总表</w:t>
      </w:r>
    </w:p>
    <w:p w14:paraId="277680DC">
      <w:pPr>
        <w:pStyle w:val="3"/>
        <w:spacing w:before="8"/>
        <w:ind w:left="0"/>
        <w:rPr>
          <w:sz w:val="12"/>
        </w:rPr>
      </w:pPr>
      <w:r>
        <w:drawing>
          <wp:anchor distT="0" distB="0" distL="0" distR="0" simplePos="0" relativeHeight="251662336" behindDoc="1" locked="0" layoutInCell="1" allowOverlap="1">
            <wp:simplePos x="0" y="0"/>
            <wp:positionH relativeFrom="page">
              <wp:posOffset>1145540</wp:posOffset>
            </wp:positionH>
            <wp:positionV relativeFrom="paragraph">
              <wp:posOffset>118110</wp:posOffset>
            </wp:positionV>
            <wp:extent cx="5197475" cy="648970"/>
            <wp:effectExtent l="0" t="0" r="0" b="0"/>
            <wp:wrapTopAndBottom/>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5197679" cy="649128"/>
                    </a:xfrm>
                    <a:prstGeom prst="rect">
                      <a:avLst/>
                    </a:prstGeom>
                  </pic:spPr>
                </pic:pic>
              </a:graphicData>
            </a:graphic>
          </wp:anchor>
        </w:drawing>
      </w:r>
    </w:p>
    <w:p w14:paraId="567D3CC0">
      <w:pPr>
        <w:pStyle w:val="3"/>
        <w:spacing w:before="275"/>
        <w:ind w:left="747"/>
      </w:pPr>
      <w:r>
        <w:rPr>
          <w:spacing w:val="-5"/>
        </w:rPr>
        <w:t>三、部门支出总表</w:t>
      </w:r>
    </w:p>
    <w:p w14:paraId="48413720">
      <w:pPr>
        <w:spacing w:after="0"/>
        <w:sectPr>
          <w:pgSz w:w="11910" w:h="16840"/>
          <w:pgMar w:top="1920" w:right="1320" w:bottom="1720" w:left="1480" w:header="0" w:footer="1532" w:gutter="0"/>
          <w:cols w:space="720" w:num="1"/>
        </w:sectPr>
      </w:pPr>
    </w:p>
    <w:p w14:paraId="0894A4EF">
      <w:pPr>
        <w:pStyle w:val="3"/>
        <w:spacing w:before="4"/>
        <w:ind w:left="0"/>
        <w:rPr>
          <w:sz w:val="29"/>
        </w:rPr>
      </w:pPr>
    </w:p>
    <w:p w14:paraId="02EDBCF4">
      <w:pPr>
        <w:pStyle w:val="3"/>
        <w:ind w:left="327"/>
        <w:rPr>
          <w:sz w:val="20"/>
        </w:rPr>
      </w:pPr>
      <w:r>
        <w:rPr>
          <w:sz w:val="20"/>
        </w:rPr>
        <w:drawing>
          <wp:inline distT="0" distB="0" distL="0" distR="0">
            <wp:extent cx="5320665" cy="4102100"/>
            <wp:effectExtent l="0" t="0" r="0" b="0"/>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2" cstate="print"/>
                    <a:stretch>
                      <a:fillRect/>
                    </a:stretch>
                  </pic:blipFill>
                  <pic:spPr>
                    <a:xfrm>
                      <a:off x="0" y="0"/>
                      <a:ext cx="5320685" cy="4102512"/>
                    </a:xfrm>
                    <a:prstGeom prst="rect">
                      <a:avLst/>
                    </a:prstGeom>
                  </pic:spPr>
                </pic:pic>
              </a:graphicData>
            </a:graphic>
          </wp:inline>
        </w:drawing>
      </w:r>
    </w:p>
    <w:p w14:paraId="13216FB8">
      <w:pPr>
        <w:pStyle w:val="3"/>
        <w:spacing w:before="6"/>
        <w:ind w:left="0"/>
        <w:rPr>
          <w:sz w:val="25"/>
        </w:rPr>
      </w:pPr>
    </w:p>
    <w:p w14:paraId="093CDEF9">
      <w:pPr>
        <w:pStyle w:val="3"/>
        <w:spacing w:before="54"/>
        <w:ind w:left="747"/>
      </w:pPr>
      <w:r>
        <w:rPr>
          <w:spacing w:val="-5"/>
        </w:rPr>
        <w:t>四、财政拨款收支总表</w:t>
      </w:r>
    </w:p>
    <w:p w14:paraId="2B370726">
      <w:pPr>
        <w:spacing w:after="0"/>
        <w:sectPr>
          <w:pgSz w:w="11910" w:h="16840"/>
          <w:pgMar w:top="1920" w:right="1320" w:bottom="1720" w:left="1480" w:header="0" w:footer="1532" w:gutter="0"/>
          <w:cols w:space="720" w:num="1"/>
        </w:sectPr>
      </w:pPr>
    </w:p>
    <w:p w14:paraId="23CD377D">
      <w:pPr>
        <w:pStyle w:val="3"/>
        <w:spacing w:before="4"/>
        <w:ind w:left="0"/>
        <w:rPr>
          <w:sz w:val="19"/>
        </w:rPr>
      </w:pPr>
    </w:p>
    <w:p w14:paraId="3E595F58">
      <w:pPr>
        <w:pStyle w:val="3"/>
        <w:rPr>
          <w:sz w:val="20"/>
        </w:rPr>
      </w:pPr>
      <w:r>
        <w:rPr>
          <w:sz w:val="20"/>
        </w:rPr>
        <w:drawing>
          <wp:inline distT="0" distB="0" distL="0" distR="0">
            <wp:extent cx="5281295" cy="5902960"/>
            <wp:effectExtent l="0" t="0" r="0" b="0"/>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3" cstate="print"/>
                    <a:stretch>
                      <a:fillRect/>
                    </a:stretch>
                  </pic:blipFill>
                  <pic:spPr>
                    <a:xfrm>
                      <a:off x="0" y="0"/>
                      <a:ext cx="5281765" cy="5903214"/>
                    </a:xfrm>
                    <a:prstGeom prst="rect">
                      <a:avLst/>
                    </a:prstGeom>
                  </pic:spPr>
                </pic:pic>
              </a:graphicData>
            </a:graphic>
          </wp:inline>
        </w:drawing>
      </w:r>
    </w:p>
    <w:p w14:paraId="6455168F">
      <w:pPr>
        <w:pStyle w:val="3"/>
        <w:spacing w:before="9"/>
        <w:ind w:left="0"/>
        <w:rPr>
          <w:sz w:val="12"/>
        </w:rPr>
      </w:pPr>
    </w:p>
    <w:p w14:paraId="5FCFD0F5">
      <w:pPr>
        <w:pStyle w:val="3"/>
        <w:spacing w:before="54"/>
        <w:ind w:left="747"/>
      </w:pPr>
      <w:r>
        <w:rPr>
          <w:spacing w:val="-5"/>
        </w:rPr>
        <w:t>五、一般公共预算支出表</w:t>
      </w:r>
    </w:p>
    <w:p w14:paraId="4A1EF029">
      <w:pPr>
        <w:spacing w:after="0"/>
        <w:sectPr>
          <w:pgSz w:w="11910" w:h="16840"/>
          <w:pgMar w:top="1920" w:right="1320" w:bottom="1720" w:left="1480" w:header="0" w:footer="1532" w:gutter="0"/>
          <w:cols w:space="720" w:num="1"/>
        </w:sectPr>
      </w:pPr>
    </w:p>
    <w:p w14:paraId="2A943811">
      <w:pPr>
        <w:pStyle w:val="3"/>
        <w:ind w:left="0"/>
        <w:rPr>
          <w:sz w:val="24"/>
        </w:rPr>
      </w:pPr>
    </w:p>
    <w:p w14:paraId="3D53244C">
      <w:pPr>
        <w:pStyle w:val="3"/>
        <w:ind w:left="327"/>
        <w:rPr>
          <w:sz w:val="20"/>
        </w:rPr>
      </w:pPr>
      <w:r>
        <w:rPr>
          <w:sz w:val="20"/>
        </w:rPr>
        <w:drawing>
          <wp:inline distT="0" distB="0" distL="0" distR="0">
            <wp:extent cx="5275580" cy="2976245"/>
            <wp:effectExtent l="0" t="0" r="0" b="0"/>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4" cstate="print"/>
                    <a:stretch>
                      <a:fillRect/>
                    </a:stretch>
                  </pic:blipFill>
                  <pic:spPr>
                    <a:xfrm>
                      <a:off x="0" y="0"/>
                      <a:ext cx="5275966" cy="2976372"/>
                    </a:xfrm>
                    <a:prstGeom prst="rect">
                      <a:avLst/>
                    </a:prstGeom>
                  </pic:spPr>
                </pic:pic>
              </a:graphicData>
            </a:graphic>
          </wp:inline>
        </w:drawing>
      </w:r>
    </w:p>
    <w:p w14:paraId="0AE9B809">
      <w:pPr>
        <w:pStyle w:val="3"/>
        <w:ind w:left="0"/>
        <w:rPr>
          <w:sz w:val="20"/>
        </w:rPr>
      </w:pPr>
    </w:p>
    <w:p w14:paraId="6083D341">
      <w:pPr>
        <w:pStyle w:val="3"/>
        <w:ind w:left="0"/>
        <w:rPr>
          <w:sz w:val="20"/>
        </w:rPr>
      </w:pPr>
    </w:p>
    <w:p w14:paraId="4ACB2AE1">
      <w:pPr>
        <w:pStyle w:val="3"/>
        <w:spacing w:before="11"/>
        <w:ind w:left="0"/>
        <w:rPr>
          <w:sz w:val="29"/>
        </w:rPr>
      </w:pPr>
    </w:p>
    <w:p w14:paraId="0B45E1A5">
      <w:pPr>
        <w:pStyle w:val="3"/>
        <w:spacing w:before="55"/>
        <w:ind w:left="747"/>
      </w:pPr>
      <w:r>
        <w:rPr>
          <w:spacing w:val="-5"/>
        </w:rPr>
        <w:t>六、一般公共预算基本支出表</w:t>
      </w:r>
    </w:p>
    <w:p w14:paraId="59A7BD40">
      <w:pPr>
        <w:spacing w:after="0"/>
        <w:sectPr>
          <w:pgSz w:w="11910" w:h="16840"/>
          <w:pgMar w:top="1920" w:right="1320" w:bottom="1720" w:left="1480" w:header="0" w:footer="1532" w:gutter="0"/>
          <w:cols w:space="720" w:num="1"/>
        </w:sectPr>
      </w:pPr>
    </w:p>
    <w:p w14:paraId="455EE107">
      <w:pPr>
        <w:pStyle w:val="3"/>
        <w:spacing w:before="9"/>
        <w:ind w:left="0"/>
        <w:rPr>
          <w:sz w:val="26"/>
        </w:rPr>
      </w:pPr>
    </w:p>
    <w:p w14:paraId="08AD020F">
      <w:pPr>
        <w:pStyle w:val="3"/>
        <w:ind w:left="324"/>
        <w:rPr>
          <w:sz w:val="20"/>
        </w:rPr>
      </w:pPr>
      <w:r>
        <w:rPr>
          <w:sz w:val="20"/>
        </w:rPr>
        <w:drawing>
          <wp:inline distT="0" distB="0" distL="0" distR="0">
            <wp:extent cx="5236210" cy="4119245"/>
            <wp:effectExtent l="0" t="0" r="0" b="0"/>
            <wp:docPr id="10" name="Image 10"/>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5" cstate="print"/>
                    <a:stretch>
                      <a:fillRect/>
                    </a:stretch>
                  </pic:blipFill>
                  <pic:spPr>
                    <a:xfrm>
                      <a:off x="0" y="0"/>
                      <a:ext cx="5236521" cy="4119372"/>
                    </a:xfrm>
                    <a:prstGeom prst="rect">
                      <a:avLst/>
                    </a:prstGeom>
                  </pic:spPr>
                </pic:pic>
              </a:graphicData>
            </a:graphic>
          </wp:inline>
        </w:drawing>
      </w:r>
    </w:p>
    <w:p w14:paraId="2CA8141A">
      <w:pPr>
        <w:pStyle w:val="3"/>
        <w:ind w:left="0"/>
        <w:rPr>
          <w:sz w:val="20"/>
        </w:rPr>
      </w:pPr>
    </w:p>
    <w:p w14:paraId="4F024925">
      <w:pPr>
        <w:pStyle w:val="3"/>
        <w:ind w:left="0"/>
        <w:rPr>
          <w:sz w:val="20"/>
        </w:rPr>
      </w:pPr>
    </w:p>
    <w:p w14:paraId="5FBCE474">
      <w:pPr>
        <w:pStyle w:val="3"/>
        <w:ind w:left="0"/>
        <w:rPr>
          <w:sz w:val="20"/>
        </w:rPr>
      </w:pPr>
    </w:p>
    <w:p w14:paraId="5F20B03C">
      <w:pPr>
        <w:pStyle w:val="3"/>
        <w:spacing w:before="11"/>
        <w:ind w:left="0"/>
        <w:rPr>
          <w:sz w:val="14"/>
        </w:rPr>
      </w:pPr>
    </w:p>
    <w:p w14:paraId="103DACF3">
      <w:pPr>
        <w:pStyle w:val="3"/>
        <w:spacing w:before="64"/>
        <w:ind w:left="747"/>
      </w:pPr>
      <w:r>
        <w:rPr>
          <w:spacing w:val="-4"/>
        </w:rPr>
        <w:t>七、一般公共预算</w:t>
      </w:r>
      <w:r>
        <w:rPr>
          <w:rFonts w:ascii="Times New Roman" w:hAnsi="Times New Roman" w:eastAsia="Times New Roman"/>
          <w:spacing w:val="-4"/>
        </w:rPr>
        <w:t>“</w:t>
      </w:r>
      <w:r>
        <w:rPr>
          <w:spacing w:val="-4"/>
        </w:rPr>
        <w:t>三公</w:t>
      </w:r>
      <w:r>
        <w:rPr>
          <w:rFonts w:ascii="Times New Roman" w:hAnsi="Times New Roman" w:eastAsia="Times New Roman"/>
          <w:spacing w:val="-4"/>
        </w:rPr>
        <w:t>”</w:t>
      </w:r>
      <w:r>
        <w:rPr>
          <w:spacing w:val="-6"/>
        </w:rPr>
        <w:t>经费支出表</w:t>
      </w:r>
    </w:p>
    <w:p w14:paraId="11DCCA4F">
      <w:pPr>
        <w:pStyle w:val="3"/>
        <w:spacing w:before="3"/>
        <w:ind w:left="0"/>
        <w:rPr>
          <w:sz w:val="17"/>
        </w:rPr>
      </w:pPr>
      <w:r>
        <w:drawing>
          <wp:anchor distT="0" distB="0" distL="0" distR="0" simplePos="0" relativeHeight="251662336" behindDoc="1" locked="0" layoutInCell="1" allowOverlap="1">
            <wp:simplePos x="0" y="0"/>
            <wp:positionH relativeFrom="page">
              <wp:posOffset>1147445</wp:posOffset>
            </wp:positionH>
            <wp:positionV relativeFrom="paragraph">
              <wp:posOffset>155575</wp:posOffset>
            </wp:positionV>
            <wp:extent cx="5267960" cy="841375"/>
            <wp:effectExtent l="0" t="0" r="0" b="0"/>
            <wp:wrapTopAndBottom/>
            <wp:docPr id="11" name="Image 1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6" cstate="print"/>
                    <a:stretch>
                      <a:fillRect/>
                    </a:stretch>
                  </pic:blipFill>
                  <pic:spPr>
                    <a:xfrm>
                      <a:off x="0" y="0"/>
                      <a:ext cx="5268009" cy="841248"/>
                    </a:xfrm>
                    <a:prstGeom prst="rect">
                      <a:avLst/>
                    </a:prstGeom>
                  </pic:spPr>
                </pic:pic>
              </a:graphicData>
            </a:graphic>
          </wp:anchor>
        </w:drawing>
      </w:r>
    </w:p>
    <w:p w14:paraId="5642495D">
      <w:pPr>
        <w:pStyle w:val="3"/>
        <w:ind w:left="0"/>
        <w:rPr>
          <w:sz w:val="34"/>
        </w:rPr>
      </w:pPr>
    </w:p>
    <w:p w14:paraId="410CE77F">
      <w:pPr>
        <w:pStyle w:val="3"/>
        <w:ind w:left="0"/>
        <w:rPr>
          <w:sz w:val="34"/>
        </w:rPr>
      </w:pPr>
    </w:p>
    <w:p w14:paraId="1C224733">
      <w:pPr>
        <w:pStyle w:val="3"/>
        <w:spacing w:before="7"/>
        <w:ind w:left="0"/>
        <w:rPr>
          <w:sz w:val="24"/>
        </w:rPr>
      </w:pPr>
    </w:p>
    <w:p w14:paraId="62C3DA97">
      <w:pPr>
        <w:pStyle w:val="3"/>
        <w:ind w:left="747"/>
      </w:pPr>
      <w:r>
        <w:rPr>
          <w:spacing w:val="-5"/>
        </w:rPr>
        <w:t>八、政府性基金预算支出表</w:t>
      </w:r>
    </w:p>
    <w:p w14:paraId="21AAB882">
      <w:pPr>
        <w:spacing w:after="0"/>
        <w:sectPr>
          <w:pgSz w:w="11910" w:h="16840"/>
          <w:pgMar w:top="1920" w:right="1320" w:bottom="1720" w:left="1480" w:header="0" w:footer="1532" w:gutter="0"/>
          <w:cols w:space="720" w:num="1"/>
        </w:sectPr>
      </w:pPr>
    </w:p>
    <w:p w14:paraId="4701C5EB">
      <w:pPr>
        <w:pStyle w:val="3"/>
        <w:ind w:left="0"/>
        <w:rPr>
          <w:sz w:val="20"/>
        </w:rPr>
      </w:pPr>
    </w:p>
    <w:p w14:paraId="18C61D4E">
      <w:pPr>
        <w:pStyle w:val="3"/>
        <w:spacing w:before="3" w:after="1"/>
        <w:ind w:left="0"/>
        <w:rPr>
          <w:sz w:val="18"/>
        </w:rPr>
      </w:pPr>
    </w:p>
    <w:p w14:paraId="5C3B174C">
      <w:pPr>
        <w:pStyle w:val="3"/>
        <w:ind w:left="324"/>
        <w:rPr>
          <w:sz w:val="20"/>
        </w:rPr>
      </w:pPr>
      <w:r>
        <w:rPr>
          <w:sz w:val="20"/>
        </w:rPr>
        <w:drawing>
          <wp:inline distT="0" distB="0" distL="0" distR="0">
            <wp:extent cx="5268595" cy="2355850"/>
            <wp:effectExtent l="0" t="0" r="0" b="0"/>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7" cstate="print"/>
                    <a:stretch>
                      <a:fillRect/>
                    </a:stretch>
                  </pic:blipFill>
                  <pic:spPr>
                    <a:xfrm>
                      <a:off x="0" y="0"/>
                      <a:ext cx="5268877" cy="2356294"/>
                    </a:xfrm>
                    <a:prstGeom prst="rect">
                      <a:avLst/>
                    </a:prstGeom>
                  </pic:spPr>
                </pic:pic>
              </a:graphicData>
            </a:graphic>
          </wp:inline>
        </w:drawing>
      </w:r>
    </w:p>
    <w:p w14:paraId="53DC3FB4">
      <w:pPr>
        <w:pStyle w:val="3"/>
        <w:ind w:left="0"/>
        <w:rPr>
          <w:sz w:val="20"/>
        </w:rPr>
      </w:pPr>
    </w:p>
    <w:p w14:paraId="1B4BAC55">
      <w:pPr>
        <w:pStyle w:val="3"/>
        <w:ind w:left="0"/>
        <w:rPr>
          <w:sz w:val="20"/>
        </w:rPr>
      </w:pPr>
    </w:p>
    <w:p w14:paraId="5A1C66F4">
      <w:pPr>
        <w:pStyle w:val="3"/>
        <w:ind w:left="0"/>
        <w:rPr>
          <w:sz w:val="20"/>
        </w:rPr>
      </w:pPr>
    </w:p>
    <w:p w14:paraId="3C5E01F5">
      <w:pPr>
        <w:pStyle w:val="3"/>
        <w:spacing w:before="3"/>
        <w:ind w:left="0"/>
        <w:rPr>
          <w:sz w:val="22"/>
        </w:rPr>
      </w:pPr>
    </w:p>
    <w:p w14:paraId="353E40F1">
      <w:pPr>
        <w:pStyle w:val="3"/>
        <w:spacing w:before="54"/>
        <w:ind w:left="747"/>
      </w:pPr>
      <w:r>
        <w:rPr>
          <w:spacing w:val="-5"/>
        </w:rPr>
        <w:t>九、项目支出表</w:t>
      </w:r>
    </w:p>
    <w:p w14:paraId="348B59E0">
      <w:pPr>
        <w:pStyle w:val="3"/>
        <w:spacing w:before="1"/>
        <w:ind w:left="0"/>
        <w:rPr>
          <w:sz w:val="8"/>
        </w:rPr>
      </w:pPr>
      <w:r>
        <w:drawing>
          <wp:anchor distT="0" distB="0" distL="0" distR="0" simplePos="0" relativeHeight="251663360" behindDoc="1" locked="0" layoutInCell="1" allowOverlap="1">
            <wp:simplePos x="0" y="0"/>
            <wp:positionH relativeFrom="page">
              <wp:posOffset>1145540</wp:posOffset>
            </wp:positionH>
            <wp:positionV relativeFrom="paragraph">
              <wp:posOffset>81280</wp:posOffset>
            </wp:positionV>
            <wp:extent cx="5282565" cy="1906270"/>
            <wp:effectExtent l="0" t="0" r="0" b="0"/>
            <wp:wrapTopAndBottom/>
            <wp:docPr id="13" name="Image 13"/>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8" cstate="print"/>
                    <a:stretch>
                      <a:fillRect/>
                    </a:stretch>
                  </pic:blipFill>
                  <pic:spPr>
                    <a:xfrm>
                      <a:off x="0" y="0"/>
                      <a:ext cx="5282660" cy="1906524"/>
                    </a:xfrm>
                    <a:prstGeom prst="rect">
                      <a:avLst/>
                    </a:prstGeom>
                  </pic:spPr>
                </pic:pic>
              </a:graphicData>
            </a:graphic>
          </wp:anchor>
        </w:drawing>
      </w:r>
    </w:p>
    <w:p w14:paraId="3F48946F">
      <w:pPr>
        <w:pStyle w:val="3"/>
        <w:ind w:left="0"/>
      </w:pPr>
    </w:p>
    <w:p w14:paraId="04D519FD">
      <w:pPr>
        <w:pStyle w:val="3"/>
        <w:ind w:left="0"/>
        <w:rPr>
          <w:sz w:val="38"/>
        </w:rPr>
      </w:pPr>
    </w:p>
    <w:p w14:paraId="5B23648A">
      <w:pPr>
        <w:pStyle w:val="3"/>
        <w:spacing w:before="1"/>
        <w:ind w:left="747"/>
      </w:pPr>
      <w:r>
        <w:rPr>
          <w:spacing w:val="-5"/>
        </w:rPr>
        <w:t>十、政府采购预算表</w:t>
      </w:r>
    </w:p>
    <w:p w14:paraId="108A210D">
      <w:pPr>
        <w:pStyle w:val="3"/>
        <w:spacing w:before="2"/>
        <w:ind w:left="0"/>
        <w:rPr>
          <w:sz w:val="6"/>
        </w:rPr>
      </w:pPr>
      <w:r>
        <w:drawing>
          <wp:anchor distT="0" distB="0" distL="0" distR="0" simplePos="0" relativeHeight="251663360" behindDoc="1" locked="0" layoutInCell="1" allowOverlap="1">
            <wp:simplePos x="0" y="0"/>
            <wp:positionH relativeFrom="page">
              <wp:posOffset>1144270</wp:posOffset>
            </wp:positionH>
            <wp:positionV relativeFrom="paragraph">
              <wp:posOffset>65405</wp:posOffset>
            </wp:positionV>
            <wp:extent cx="5195570" cy="1503680"/>
            <wp:effectExtent l="0" t="0" r="0" b="0"/>
            <wp:wrapTopAndBottom/>
            <wp:docPr id="14" name="Image 14"/>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9" cstate="print"/>
                    <a:stretch>
                      <a:fillRect/>
                    </a:stretch>
                  </pic:blipFill>
                  <pic:spPr>
                    <a:xfrm>
                      <a:off x="0" y="0"/>
                      <a:ext cx="5195484" cy="1503521"/>
                    </a:xfrm>
                    <a:prstGeom prst="rect">
                      <a:avLst/>
                    </a:prstGeom>
                  </pic:spPr>
                </pic:pic>
              </a:graphicData>
            </a:graphic>
          </wp:anchor>
        </w:drawing>
      </w:r>
    </w:p>
    <w:p w14:paraId="1B4C95EC">
      <w:pPr>
        <w:spacing w:after="0"/>
        <w:rPr>
          <w:sz w:val="6"/>
        </w:rPr>
        <w:sectPr>
          <w:pgSz w:w="11910" w:h="16840"/>
          <w:pgMar w:top="1920" w:right="1320" w:bottom="1720" w:left="1480" w:header="0" w:footer="1532" w:gutter="0"/>
          <w:cols w:space="720" w:num="1"/>
        </w:sectPr>
      </w:pPr>
    </w:p>
    <w:p w14:paraId="5036E312">
      <w:pPr>
        <w:pStyle w:val="3"/>
        <w:spacing w:before="7"/>
        <w:ind w:left="0"/>
        <w:rPr>
          <w:sz w:val="15"/>
        </w:rPr>
      </w:pPr>
    </w:p>
    <w:sectPr>
      <w:pgSz w:w="11910" w:h="16840"/>
      <w:pgMar w:top="1920" w:right="1320" w:bottom="1720" w:left="1480" w:header="0" w:footer="153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Segoe UI Emoji">
    <w:panose1 w:val="020B0502040204020203"/>
    <w:charset w:val="00"/>
    <w:family w:val="auto"/>
    <w:pitch w:val="default"/>
    <w:sig w:usb0="00000001"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F7A36">
    <w:pPr>
      <w:pStyle w:val="3"/>
      <w:spacing w:line="14" w:lineRule="auto"/>
      <w:ind w:left="0"/>
      <w:rPr>
        <w:sz w:val="20"/>
      </w:rPr>
    </w:pPr>
    <w:r>
      <mc:AlternateContent>
        <mc:Choice Requires="wps">
          <w:drawing>
            <wp:anchor distT="0" distB="0" distL="0" distR="0" simplePos="0" relativeHeight="251659264" behindDoc="1" locked="0" layoutInCell="1" allowOverlap="1">
              <wp:simplePos x="0" y="0"/>
              <wp:positionH relativeFrom="page">
                <wp:posOffset>5935345</wp:posOffset>
              </wp:positionH>
              <wp:positionV relativeFrom="page">
                <wp:posOffset>9579610</wp:posOffset>
              </wp:positionV>
              <wp:extent cx="482600" cy="194310"/>
              <wp:effectExtent l="0" t="0" r="0" b="0"/>
              <wp:wrapNone/>
              <wp:docPr id="1" name="Textbox 1"/>
              <wp:cNvGraphicFramePr/>
              <a:graphic xmlns:a="http://schemas.openxmlformats.org/drawingml/2006/main">
                <a:graphicData uri="http://schemas.microsoft.com/office/word/2010/wordprocessingShape">
                  <wps:wsp>
                    <wps:cNvSpPr txBox="1"/>
                    <wps:spPr>
                      <a:xfrm>
                        <a:off x="0" y="0"/>
                        <a:ext cx="482600" cy="194310"/>
                      </a:xfrm>
                      <a:prstGeom prst="rect">
                        <a:avLst/>
                      </a:prstGeom>
                    </wps:spPr>
                    <wps:txbx>
                      <w:txbxContent>
                        <w:p w14:paraId="4BBCD94D">
                          <w:pPr>
                            <w:spacing w:before="10"/>
                            <w:ind w:left="20" w:right="0" w:firstLine="0"/>
                            <w:jc w:val="left"/>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w:instrText>
                          </w:r>
                          <w:r>
                            <w:rPr>
                              <w:rFonts w:ascii="Times New Roman" w:hAnsi="Times New Roman"/>
                              <w:sz w:val="24"/>
                            </w:rPr>
                            <w:fldChar w:fldCharType="separate"/>
                          </w:r>
                          <w:r>
                            <w:rPr>
                              <w:rFonts w:ascii="Times New Roman" w:hAnsi="Times New Roman"/>
                              <w:sz w:val="24"/>
                            </w:rPr>
                            <w:t>1</w:t>
                          </w:r>
                          <w:r>
                            <w:rPr>
                              <w:rFonts w:ascii="Times New Roman" w:hAnsi="Times New Roman"/>
                              <w:sz w:val="24"/>
                            </w:rPr>
                            <w:fldChar w:fldCharType="end"/>
                          </w:r>
                          <w:r>
                            <w:rPr>
                              <w:rFonts w:ascii="Times New Roman" w:hAnsi="Times New Roman"/>
                              <w:sz w:val="24"/>
                            </w:rPr>
                            <w:t xml:space="preserve"> </w:t>
                          </w:r>
                          <w:r>
                            <w:rPr>
                              <w:rFonts w:ascii="Times New Roman" w:hAnsi="Times New Roman"/>
                              <w:spacing w:val="-10"/>
                              <w:sz w:val="24"/>
                            </w:rPr>
                            <w:t>—</w:t>
                          </w:r>
                        </w:p>
                      </w:txbxContent>
                    </wps:txbx>
                    <wps:bodyPr wrap="square" lIns="0" tIns="0" rIns="0" bIns="0" rtlCol="0">
                      <a:noAutofit/>
                    </wps:bodyPr>
                  </wps:wsp>
                </a:graphicData>
              </a:graphic>
            </wp:anchor>
          </w:drawing>
        </mc:Choice>
        <mc:Fallback>
          <w:pict>
            <v:shape id="Textbox 1" o:spid="_x0000_s1026" o:spt="202" type="#_x0000_t202" style="position:absolute;left:0pt;margin-left:467.35pt;margin-top:754.3pt;height:15.3pt;width:38pt;mso-position-horizontal-relative:page;mso-position-vertical-relative:page;z-index:-251657216;mso-width-relative:page;mso-height-relative:page;" filled="f" stroked="f" coordsize="21600,21600" o:gfxdata="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LA53n9oAAAAOAQAADwAAAAAAAAABACAAAAAiAAAAZHJzL2Rvd25yZXYueG1sUEsBAhQAFAAAAAgA&#10;h07iQDMsJCOxAQAAcwMAAA4AAAAAAAAAAQAgAAAAKQEAAGRycy9lMm9Eb2MueG1sUEsFBgAAAAAG&#10;AAYAWQEAAEwFAAAAAA==&#10;">
              <v:fill on="f" focussize="0,0"/>
              <v:stroke on="f"/>
              <v:imagedata o:title=""/>
              <o:lock v:ext="edit" aspectratio="f"/>
              <v:textbox inset="0mm,0mm,0mm,0mm">
                <w:txbxContent>
                  <w:p w14:paraId="4BBCD94D">
                    <w:pPr>
                      <w:spacing w:before="10"/>
                      <w:ind w:left="20" w:right="0" w:firstLine="0"/>
                      <w:jc w:val="left"/>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w:instrText>
                    </w:r>
                    <w:r>
                      <w:rPr>
                        <w:rFonts w:ascii="Times New Roman" w:hAnsi="Times New Roman"/>
                        <w:sz w:val="24"/>
                      </w:rPr>
                      <w:fldChar w:fldCharType="separate"/>
                    </w:r>
                    <w:r>
                      <w:rPr>
                        <w:rFonts w:ascii="Times New Roman" w:hAnsi="Times New Roman"/>
                        <w:sz w:val="24"/>
                      </w:rPr>
                      <w:t>1</w:t>
                    </w:r>
                    <w:r>
                      <w:rPr>
                        <w:rFonts w:ascii="Times New Roman" w:hAnsi="Times New Roman"/>
                        <w:sz w:val="24"/>
                      </w:rPr>
                      <w:fldChar w:fldCharType="end"/>
                    </w:r>
                    <w:r>
                      <w:rPr>
                        <w:rFonts w:ascii="Times New Roman" w:hAnsi="Times New Roman"/>
                        <w:sz w:val="24"/>
                      </w:rPr>
                      <w:t xml:space="preserve"> </w:t>
                    </w:r>
                    <w:r>
                      <w:rPr>
                        <w:rFonts w:ascii="Times New Roman" w:hAnsi="Times New Roman"/>
                        <w:spacing w:val="-10"/>
                        <w:sz w:val="24"/>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F0E0A">
    <w:pPr>
      <w:pStyle w:val="3"/>
      <w:spacing w:line="14" w:lineRule="auto"/>
      <w:ind w:left="0"/>
      <w:rPr>
        <w:sz w:val="20"/>
      </w:rPr>
    </w:pPr>
    <w:r>
      <mc:AlternateContent>
        <mc:Choice Requires="wps">
          <w:drawing>
            <wp:anchor distT="0" distB="0" distL="0" distR="0" simplePos="0" relativeHeight="251660288" behindDoc="1" locked="0" layoutInCell="1" allowOverlap="1">
              <wp:simplePos x="0" y="0"/>
              <wp:positionH relativeFrom="page">
                <wp:posOffset>994410</wp:posOffset>
              </wp:positionH>
              <wp:positionV relativeFrom="page">
                <wp:posOffset>9579610</wp:posOffset>
              </wp:positionV>
              <wp:extent cx="482600" cy="194310"/>
              <wp:effectExtent l="0" t="0" r="0" b="0"/>
              <wp:wrapNone/>
              <wp:docPr id="2" name="Textbox 2"/>
              <wp:cNvGraphicFramePr/>
              <a:graphic xmlns:a="http://schemas.openxmlformats.org/drawingml/2006/main">
                <a:graphicData uri="http://schemas.microsoft.com/office/word/2010/wordprocessingShape">
                  <wps:wsp>
                    <wps:cNvSpPr txBox="1"/>
                    <wps:spPr>
                      <a:xfrm>
                        <a:off x="0" y="0"/>
                        <a:ext cx="482600" cy="194310"/>
                      </a:xfrm>
                      <a:prstGeom prst="rect">
                        <a:avLst/>
                      </a:prstGeom>
                    </wps:spPr>
                    <wps:txbx>
                      <w:txbxContent>
                        <w:p w14:paraId="5B24670D">
                          <w:pPr>
                            <w:spacing w:before="10"/>
                            <w:ind w:left="20" w:right="0" w:firstLine="0"/>
                            <w:jc w:val="left"/>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w:instrText>
                          </w:r>
                          <w:r>
                            <w:rPr>
                              <w:rFonts w:ascii="Times New Roman" w:hAnsi="Times New Roman"/>
                              <w:sz w:val="24"/>
                            </w:rPr>
                            <w:fldChar w:fldCharType="separate"/>
                          </w:r>
                          <w:r>
                            <w:rPr>
                              <w:rFonts w:ascii="Times New Roman" w:hAnsi="Times New Roman"/>
                              <w:sz w:val="24"/>
                            </w:rPr>
                            <w:t>2</w:t>
                          </w:r>
                          <w:r>
                            <w:rPr>
                              <w:rFonts w:ascii="Times New Roman" w:hAnsi="Times New Roman"/>
                              <w:sz w:val="24"/>
                            </w:rPr>
                            <w:fldChar w:fldCharType="end"/>
                          </w:r>
                          <w:r>
                            <w:rPr>
                              <w:rFonts w:ascii="Times New Roman" w:hAnsi="Times New Roman"/>
                              <w:sz w:val="24"/>
                            </w:rPr>
                            <w:t xml:space="preserve"> </w:t>
                          </w:r>
                          <w:r>
                            <w:rPr>
                              <w:rFonts w:ascii="Times New Roman" w:hAnsi="Times New Roman"/>
                              <w:spacing w:val="-10"/>
                              <w:sz w:val="24"/>
                            </w:rPr>
                            <w:t>—</w:t>
                          </w:r>
                        </w:p>
                      </w:txbxContent>
                    </wps:txbx>
                    <wps:bodyPr wrap="square" lIns="0" tIns="0" rIns="0" bIns="0" rtlCol="0">
                      <a:noAutofit/>
                    </wps:bodyPr>
                  </wps:wsp>
                </a:graphicData>
              </a:graphic>
            </wp:anchor>
          </w:drawing>
        </mc:Choice>
        <mc:Fallback>
          <w:pict>
            <v:shape id="Textbox 2" o:spid="_x0000_s1026" o:spt="202" type="#_x0000_t202" style="position:absolute;left:0pt;margin-left:78.3pt;margin-top:754.3pt;height:15.3pt;width:38pt;mso-position-horizontal-relative:page;mso-position-vertical-relative:page;z-index:-251656192;mso-width-relative:page;mso-height-relative:page;" filled="f" stroked="f" coordsize="21600,21600" o:gfxdata="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DPL&#10;STbYAAAADQEAAA8AAAAAAAAAAQAgAAAAIgAAAGRycy9kb3ducmV2LnhtbFBLAQIUABQAAAAIAIdO&#10;4kCbxyKfsQEAAHMDAAAOAAAAAAAAAAEAIAAAACcBAABkcnMvZTJvRG9jLnhtbFBLBQYAAAAABgAG&#10;AFkBAABKBQAAAAA=&#10;">
              <v:fill on="f" focussize="0,0"/>
              <v:stroke on="f"/>
              <v:imagedata o:title=""/>
              <o:lock v:ext="edit" aspectratio="f"/>
              <v:textbox inset="0mm,0mm,0mm,0mm">
                <w:txbxContent>
                  <w:p w14:paraId="5B24670D">
                    <w:pPr>
                      <w:spacing w:before="10"/>
                      <w:ind w:left="20" w:right="0" w:firstLine="0"/>
                      <w:jc w:val="left"/>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w:instrText>
                    </w:r>
                    <w:r>
                      <w:rPr>
                        <w:rFonts w:ascii="Times New Roman" w:hAnsi="Times New Roman"/>
                        <w:sz w:val="24"/>
                      </w:rPr>
                      <w:fldChar w:fldCharType="separate"/>
                    </w:r>
                    <w:r>
                      <w:rPr>
                        <w:rFonts w:ascii="Times New Roman" w:hAnsi="Times New Roman"/>
                        <w:sz w:val="24"/>
                      </w:rPr>
                      <w:t>2</w:t>
                    </w:r>
                    <w:r>
                      <w:rPr>
                        <w:rFonts w:ascii="Times New Roman" w:hAnsi="Times New Roman"/>
                        <w:sz w:val="24"/>
                      </w:rPr>
                      <w:fldChar w:fldCharType="end"/>
                    </w:r>
                    <w:r>
                      <w:rPr>
                        <w:rFonts w:ascii="Times New Roman" w:hAnsi="Times New Roman"/>
                        <w:sz w:val="24"/>
                      </w:rPr>
                      <w:t xml:space="preserve"> </w:t>
                    </w:r>
                    <w:r>
                      <w:rPr>
                        <w:rFonts w:ascii="Times New Roman" w:hAnsi="Times New Roman"/>
                        <w:spacing w:val="-10"/>
                        <w:sz w:val="24"/>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6B348">
    <w:pPr>
      <w:pStyle w:val="3"/>
      <w:spacing w:line="14" w:lineRule="auto"/>
      <w:ind w:left="0"/>
      <w:rPr>
        <w:sz w:val="20"/>
      </w:rPr>
    </w:pPr>
    <w:r>
      <mc:AlternateContent>
        <mc:Choice Requires="wps">
          <w:drawing>
            <wp:anchor distT="0" distB="0" distL="0" distR="0" simplePos="0" relativeHeight="251661312" behindDoc="1" locked="0" layoutInCell="1" allowOverlap="1">
              <wp:simplePos x="0" y="0"/>
              <wp:positionH relativeFrom="page">
                <wp:posOffset>5935345</wp:posOffset>
              </wp:positionH>
              <wp:positionV relativeFrom="page">
                <wp:posOffset>9579610</wp:posOffset>
              </wp:positionV>
              <wp:extent cx="553085" cy="194310"/>
              <wp:effectExtent l="0" t="0" r="0" b="0"/>
              <wp:wrapNone/>
              <wp:docPr id="4" name="Textbox 4"/>
              <wp:cNvGraphicFramePr/>
              <a:graphic xmlns:a="http://schemas.openxmlformats.org/drawingml/2006/main">
                <a:graphicData uri="http://schemas.microsoft.com/office/word/2010/wordprocessingShape">
                  <wps:wsp>
                    <wps:cNvSpPr txBox="1"/>
                    <wps:spPr>
                      <a:xfrm>
                        <a:off x="0" y="0"/>
                        <a:ext cx="553085" cy="194310"/>
                      </a:xfrm>
                      <a:prstGeom prst="rect">
                        <a:avLst/>
                      </a:prstGeom>
                    </wps:spPr>
                    <wps:txbx>
                      <w:txbxContent>
                        <w:p w14:paraId="3D9838A3">
                          <w:pPr>
                            <w:spacing w:before="10"/>
                            <w:ind w:left="20" w:right="0" w:firstLine="0"/>
                            <w:jc w:val="left"/>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w:instrText>
                          </w:r>
                          <w:r>
                            <w:rPr>
                              <w:rFonts w:ascii="Times New Roman" w:hAnsi="Times New Roman"/>
                              <w:sz w:val="24"/>
                            </w:rPr>
                            <w:fldChar w:fldCharType="separate"/>
                          </w:r>
                          <w:r>
                            <w:rPr>
                              <w:rFonts w:ascii="Times New Roman" w:hAnsi="Times New Roman"/>
                              <w:sz w:val="24"/>
                            </w:rPr>
                            <w:t>11</w:t>
                          </w:r>
                          <w:r>
                            <w:rPr>
                              <w:rFonts w:ascii="Times New Roman" w:hAnsi="Times New Roman"/>
                              <w:sz w:val="24"/>
                            </w:rPr>
                            <w:fldChar w:fldCharType="end"/>
                          </w:r>
                          <w:r>
                            <w:rPr>
                              <w:rFonts w:ascii="Times New Roman" w:hAnsi="Times New Roman"/>
                              <w:spacing w:val="-5"/>
                              <w:sz w:val="24"/>
                            </w:rPr>
                            <w:t xml:space="preserve"> </w:t>
                          </w:r>
                          <w:r>
                            <w:rPr>
                              <w:rFonts w:ascii="Times New Roman" w:hAnsi="Times New Roman"/>
                              <w:spacing w:val="-10"/>
                              <w:sz w:val="24"/>
                            </w:rPr>
                            <w:t>—</w:t>
                          </w:r>
                        </w:p>
                      </w:txbxContent>
                    </wps:txbx>
                    <wps:bodyPr wrap="square" lIns="0" tIns="0" rIns="0" bIns="0" rtlCol="0">
                      <a:noAutofit/>
                    </wps:bodyPr>
                  </wps:wsp>
                </a:graphicData>
              </a:graphic>
            </wp:anchor>
          </w:drawing>
        </mc:Choice>
        <mc:Fallback>
          <w:pict>
            <v:shape id="Textbox 4" o:spid="_x0000_s1026" o:spt="202" type="#_x0000_t202" style="position:absolute;left:0pt;margin-left:467.35pt;margin-top:754.3pt;height:15.3pt;width:43.55pt;mso-position-horizontal-relative:page;mso-position-vertical-relative:page;z-index:-251655168;mso-width-relative:page;mso-height-relative:page;" filled="f" stroked="f" coordsize="21600,21600" o:gfxdata="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SBiF7NsAAAAOAQAADwAAAAAAAAABACAAAAAiAAAAZHJzL2Rvd25yZXYueG1sUEsBAhQAFAAA&#10;AAgAh07iQFAMTHGzAQAAcwMAAA4AAAAAAAAAAQAgAAAAKgEAAGRycy9lMm9Eb2MueG1sUEsFBgAA&#10;AAAGAAYAWQEAAE8FAAAAAA==&#10;">
              <v:fill on="f" focussize="0,0"/>
              <v:stroke on="f"/>
              <v:imagedata o:title=""/>
              <o:lock v:ext="edit" aspectratio="f"/>
              <v:textbox inset="0mm,0mm,0mm,0mm">
                <w:txbxContent>
                  <w:p w14:paraId="3D9838A3">
                    <w:pPr>
                      <w:spacing w:before="10"/>
                      <w:ind w:left="20" w:right="0" w:firstLine="0"/>
                      <w:jc w:val="left"/>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w:instrText>
                    </w:r>
                    <w:r>
                      <w:rPr>
                        <w:rFonts w:ascii="Times New Roman" w:hAnsi="Times New Roman"/>
                        <w:sz w:val="24"/>
                      </w:rPr>
                      <w:fldChar w:fldCharType="separate"/>
                    </w:r>
                    <w:r>
                      <w:rPr>
                        <w:rFonts w:ascii="Times New Roman" w:hAnsi="Times New Roman"/>
                        <w:sz w:val="24"/>
                      </w:rPr>
                      <w:t>11</w:t>
                    </w:r>
                    <w:r>
                      <w:rPr>
                        <w:rFonts w:ascii="Times New Roman" w:hAnsi="Times New Roman"/>
                        <w:sz w:val="24"/>
                      </w:rPr>
                      <w:fldChar w:fldCharType="end"/>
                    </w:r>
                    <w:r>
                      <w:rPr>
                        <w:rFonts w:ascii="Times New Roman" w:hAnsi="Times New Roman"/>
                        <w:spacing w:val="-5"/>
                        <w:sz w:val="24"/>
                      </w:rPr>
                      <w:t xml:space="preserve"> </w:t>
                    </w:r>
                    <w:r>
                      <w:rPr>
                        <w:rFonts w:ascii="Times New Roman" w:hAnsi="Times New Roman"/>
                        <w:spacing w:val="-10"/>
                        <w:sz w:val="24"/>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A05D4">
    <w:pPr>
      <w:pStyle w:val="3"/>
      <w:spacing w:line="14" w:lineRule="auto"/>
      <w:ind w:left="0"/>
      <w:rPr>
        <w:sz w:val="20"/>
      </w:rPr>
    </w:pPr>
    <w:r>
      <mc:AlternateContent>
        <mc:Choice Requires="wps">
          <w:drawing>
            <wp:anchor distT="0" distB="0" distL="0" distR="0" simplePos="0" relativeHeight="251660288" behindDoc="1" locked="0" layoutInCell="1" allowOverlap="1">
              <wp:simplePos x="0" y="0"/>
              <wp:positionH relativeFrom="page">
                <wp:posOffset>994410</wp:posOffset>
              </wp:positionH>
              <wp:positionV relativeFrom="page">
                <wp:posOffset>9579610</wp:posOffset>
              </wp:positionV>
              <wp:extent cx="558800" cy="194310"/>
              <wp:effectExtent l="0" t="0" r="0" b="0"/>
              <wp:wrapNone/>
              <wp:docPr id="3" name="Textbox 3"/>
              <wp:cNvGraphicFramePr/>
              <a:graphic xmlns:a="http://schemas.openxmlformats.org/drawingml/2006/main">
                <a:graphicData uri="http://schemas.microsoft.com/office/word/2010/wordprocessingShape">
                  <wps:wsp>
                    <wps:cNvSpPr txBox="1"/>
                    <wps:spPr>
                      <a:xfrm>
                        <a:off x="0" y="0"/>
                        <a:ext cx="558800" cy="194310"/>
                      </a:xfrm>
                      <a:prstGeom prst="rect">
                        <a:avLst/>
                      </a:prstGeom>
                    </wps:spPr>
                    <wps:txbx>
                      <w:txbxContent>
                        <w:p w14:paraId="72A32A21">
                          <w:pPr>
                            <w:spacing w:before="10"/>
                            <w:ind w:left="20" w:right="0" w:firstLine="0"/>
                            <w:jc w:val="left"/>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w:instrText>
                          </w:r>
                          <w:r>
                            <w:rPr>
                              <w:rFonts w:ascii="Times New Roman" w:hAnsi="Times New Roman"/>
                              <w:sz w:val="24"/>
                            </w:rPr>
                            <w:fldChar w:fldCharType="separate"/>
                          </w:r>
                          <w:r>
                            <w:rPr>
                              <w:rFonts w:ascii="Times New Roman" w:hAnsi="Times New Roman"/>
                              <w:sz w:val="24"/>
                            </w:rPr>
                            <w:t>10</w:t>
                          </w:r>
                          <w:r>
                            <w:rPr>
                              <w:rFonts w:ascii="Times New Roman" w:hAnsi="Times New Roman"/>
                              <w:sz w:val="24"/>
                            </w:rPr>
                            <w:fldChar w:fldCharType="end"/>
                          </w:r>
                          <w:r>
                            <w:rPr>
                              <w:rFonts w:ascii="Times New Roman" w:hAnsi="Times New Roman"/>
                              <w:sz w:val="24"/>
                            </w:rPr>
                            <w:t xml:space="preserve"> </w:t>
                          </w:r>
                          <w:r>
                            <w:rPr>
                              <w:rFonts w:ascii="Times New Roman" w:hAnsi="Times New Roman"/>
                              <w:spacing w:val="-10"/>
                              <w:sz w:val="24"/>
                            </w:rPr>
                            <w:t>—</w:t>
                          </w:r>
                        </w:p>
                      </w:txbxContent>
                    </wps:txbx>
                    <wps:bodyPr wrap="square" lIns="0" tIns="0" rIns="0" bIns="0" rtlCol="0">
                      <a:noAutofit/>
                    </wps:bodyPr>
                  </wps:wsp>
                </a:graphicData>
              </a:graphic>
            </wp:anchor>
          </w:drawing>
        </mc:Choice>
        <mc:Fallback>
          <w:pict>
            <v:shape id="Textbox 3" o:spid="_x0000_s1026" o:spt="202" type="#_x0000_t202" style="position:absolute;left:0pt;margin-left:78.3pt;margin-top:754.3pt;height:15.3pt;width:44pt;mso-position-horizontal-relative:page;mso-position-vertical-relative:page;z-index:-251656192;mso-width-relative:page;mso-height-relative:page;" filled="f" stroked="f" coordsize="21600,21600" o:gfxdata="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0&#10;G7yX2AAAAA0BAAAPAAAAAAAAAAEAIAAAACIAAABkcnMvZG93bnJldi54bWxQSwECFAAUAAAACACH&#10;TuJAM6MmtLIBAABzAwAADgAAAAAAAAABACAAAAAnAQAAZHJzL2Uyb0RvYy54bWxQSwUGAAAAAAYA&#10;BgBZAQAASwUAAAAA&#10;">
              <v:fill on="f" focussize="0,0"/>
              <v:stroke on="f"/>
              <v:imagedata o:title=""/>
              <o:lock v:ext="edit" aspectratio="f"/>
              <v:textbox inset="0mm,0mm,0mm,0mm">
                <w:txbxContent>
                  <w:p w14:paraId="72A32A21">
                    <w:pPr>
                      <w:spacing w:before="10"/>
                      <w:ind w:left="20" w:right="0" w:firstLine="0"/>
                      <w:jc w:val="left"/>
                      <w:rPr>
                        <w:rFonts w:ascii="Times New Roman" w:hAnsi="Times New Roman"/>
                        <w:sz w:val="24"/>
                      </w:rPr>
                    </w:pP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PAGE </w:instrText>
                    </w:r>
                    <w:r>
                      <w:rPr>
                        <w:rFonts w:ascii="Times New Roman" w:hAnsi="Times New Roman"/>
                        <w:sz w:val="24"/>
                      </w:rPr>
                      <w:fldChar w:fldCharType="separate"/>
                    </w:r>
                    <w:r>
                      <w:rPr>
                        <w:rFonts w:ascii="Times New Roman" w:hAnsi="Times New Roman"/>
                        <w:sz w:val="24"/>
                      </w:rPr>
                      <w:t>10</w:t>
                    </w:r>
                    <w:r>
                      <w:rPr>
                        <w:rFonts w:ascii="Times New Roman" w:hAnsi="Times New Roman"/>
                        <w:sz w:val="24"/>
                      </w:rPr>
                      <w:fldChar w:fldCharType="end"/>
                    </w:r>
                    <w:r>
                      <w:rPr>
                        <w:rFonts w:ascii="Times New Roman" w:hAnsi="Times New Roman"/>
                        <w:sz w:val="24"/>
                      </w:rPr>
                      <w:t xml:space="preserve"> </w:t>
                    </w:r>
                    <w:r>
                      <w:rPr>
                        <w:rFonts w:ascii="Times New Roman" w:hAnsi="Times New Roman"/>
                        <w:spacing w:val="-10"/>
                        <w:sz w:val="24"/>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decimal"/>
      <w:lvlText w:val="（%1）"/>
      <w:lvlJc w:val="left"/>
      <w:pPr>
        <w:ind w:left="106" w:hanging="800"/>
        <w:jc w:val="left"/>
      </w:pPr>
      <w:rPr>
        <w:rFonts w:hint="default"/>
        <w:spacing w:val="-67"/>
        <w:w w:val="99"/>
        <w:lang w:val="en-US" w:eastAsia="zh-CN" w:bidi="ar-SA"/>
      </w:rPr>
    </w:lvl>
    <w:lvl w:ilvl="1" w:tentative="0">
      <w:start w:val="0"/>
      <w:numFmt w:val="bullet"/>
      <w:lvlText w:val="•"/>
      <w:lvlJc w:val="left"/>
      <w:pPr>
        <w:ind w:left="1000" w:hanging="800"/>
      </w:pPr>
      <w:rPr>
        <w:rFonts w:hint="default"/>
        <w:lang w:val="en-US" w:eastAsia="zh-CN" w:bidi="ar-SA"/>
      </w:rPr>
    </w:lvl>
    <w:lvl w:ilvl="2" w:tentative="0">
      <w:start w:val="0"/>
      <w:numFmt w:val="bullet"/>
      <w:lvlText w:val="•"/>
      <w:lvlJc w:val="left"/>
      <w:pPr>
        <w:ind w:left="1901" w:hanging="800"/>
      </w:pPr>
      <w:rPr>
        <w:rFonts w:hint="default"/>
        <w:lang w:val="en-US" w:eastAsia="zh-CN" w:bidi="ar-SA"/>
      </w:rPr>
    </w:lvl>
    <w:lvl w:ilvl="3" w:tentative="0">
      <w:start w:val="0"/>
      <w:numFmt w:val="bullet"/>
      <w:lvlText w:val="•"/>
      <w:lvlJc w:val="left"/>
      <w:pPr>
        <w:ind w:left="2801" w:hanging="800"/>
      </w:pPr>
      <w:rPr>
        <w:rFonts w:hint="default"/>
        <w:lang w:val="en-US" w:eastAsia="zh-CN" w:bidi="ar-SA"/>
      </w:rPr>
    </w:lvl>
    <w:lvl w:ilvl="4" w:tentative="0">
      <w:start w:val="0"/>
      <w:numFmt w:val="bullet"/>
      <w:lvlText w:val="•"/>
      <w:lvlJc w:val="left"/>
      <w:pPr>
        <w:ind w:left="3702" w:hanging="800"/>
      </w:pPr>
      <w:rPr>
        <w:rFonts w:hint="default"/>
        <w:lang w:val="en-US" w:eastAsia="zh-CN" w:bidi="ar-SA"/>
      </w:rPr>
    </w:lvl>
    <w:lvl w:ilvl="5" w:tentative="0">
      <w:start w:val="0"/>
      <w:numFmt w:val="bullet"/>
      <w:lvlText w:val="•"/>
      <w:lvlJc w:val="left"/>
      <w:pPr>
        <w:ind w:left="4603" w:hanging="800"/>
      </w:pPr>
      <w:rPr>
        <w:rFonts w:hint="default"/>
        <w:lang w:val="en-US" w:eastAsia="zh-CN" w:bidi="ar-SA"/>
      </w:rPr>
    </w:lvl>
    <w:lvl w:ilvl="6" w:tentative="0">
      <w:start w:val="0"/>
      <w:numFmt w:val="bullet"/>
      <w:lvlText w:val="•"/>
      <w:lvlJc w:val="left"/>
      <w:pPr>
        <w:ind w:left="5503" w:hanging="800"/>
      </w:pPr>
      <w:rPr>
        <w:rFonts w:hint="default"/>
        <w:lang w:val="en-US" w:eastAsia="zh-CN" w:bidi="ar-SA"/>
      </w:rPr>
    </w:lvl>
    <w:lvl w:ilvl="7" w:tentative="0">
      <w:start w:val="0"/>
      <w:numFmt w:val="bullet"/>
      <w:lvlText w:val="•"/>
      <w:lvlJc w:val="left"/>
      <w:pPr>
        <w:ind w:left="6404" w:hanging="800"/>
      </w:pPr>
      <w:rPr>
        <w:rFonts w:hint="default"/>
        <w:lang w:val="en-US" w:eastAsia="zh-CN" w:bidi="ar-SA"/>
      </w:rPr>
    </w:lvl>
    <w:lvl w:ilvl="8" w:tentative="0">
      <w:start w:val="0"/>
      <w:numFmt w:val="bullet"/>
      <w:lvlText w:val="•"/>
      <w:lvlJc w:val="left"/>
      <w:pPr>
        <w:ind w:left="7304" w:hanging="800"/>
      </w:pPr>
      <w:rPr>
        <w:rFonts w:hint="default"/>
        <w:lang w:val="en-US" w:eastAsia="zh-CN" w:bidi="ar-SA"/>
      </w:rPr>
    </w:lvl>
  </w:abstractNum>
  <w:abstractNum w:abstractNumId="1">
    <w:nsid w:val="B5E306ED"/>
    <w:multiLevelType w:val="multilevel"/>
    <w:tmpl w:val="B5E306ED"/>
    <w:lvl w:ilvl="0" w:tentative="0">
      <w:start w:val="1"/>
      <w:numFmt w:val="decimal"/>
      <w:lvlText w:val="（%1）"/>
      <w:lvlJc w:val="left"/>
      <w:pPr>
        <w:ind w:left="106" w:hanging="800"/>
        <w:jc w:val="left"/>
      </w:pPr>
      <w:rPr>
        <w:rFonts w:hint="default" w:ascii="宋体" w:hAnsi="宋体" w:eastAsia="宋体" w:cs="宋体"/>
        <w:b w:val="0"/>
        <w:bCs w:val="0"/>
        <w:i w:val="0"/>
        <w:iCs w:val="0"/>
        <w:spacing w:val="-67"/>
        <w:w w:val="99"/>
        <w:sz w:val="30"/>
        <w:szCs w:val="30"/>
        <w:lang w:val="en-US" w:eastAsia="zh-CN" w:bidi="ar-SA"/>
      </w:rPr>
    </w:lvl>
    <w:lvl w:ilvl="1" w:tentative="0">
      <w:start w:val="0"/>
      <w:numFmt w:val="bullet"/>
      <w:lvlText w:val="•"/>
      <w:lvlJc w:val="left"/>
      <w:pPr>
        <w:ind w:left="1000" w:hanging="800"/>
      </w:pPr>
      <w:rPr>
        <w:rFonts w:hint="default"/>
        <w:lang w:val="en-US" w:eastAsia="zh-CN" w:bidi="ar-SA"/>
      </w:rPr>
    </w:lvl>
    <w:lvl w:ilvl="2" w:tentative="0">
      <w:start w:val="0"/>
      <w:numFmt w:val="bullet"/>
      <w:lvlText w:val="•"/>
      <w:lvlJc w:val="left"/>
      <w:pPr>
        <w:ind w:left="1901" w:hanging="800"/>
      </w:pPr>
      <w:rPr>
        <w:rFonts w:hint="default"/>
        <w:lang w:val="en-US" w:eastAsia="zh-CN" w:bidi="ar-SA"/>
      </w:rPr>
    </w:lvl>
    <w:lvl w:ilvl="3" w:tentative="0">
      <w:start w:val="0"/>
      <w:numFmt w:val="bullet"/>
      <w:lvlText w:val="•"/>
      <w:lvlJc w:val="left"/>
      <w:pPr>
        <w:ind w:left="2801" w:hanging="800"/>
      </w:pPr>
      <w:rPr>
        <w:rFonts w:hint="default"/>
        <w:lang w:val="en-US" w:eastAsia="zh-CN" w:bidi="ar-SA"/>
      </w:rPr>
    </w:lvl>
    <w:lvl w:ilvl="4" w:tentative="0">
      <w:start w:val="0"/>
      <w:numFmt w:val="bullet"/>
      <w:lvlText w:val="•"/>
      <w:lvlJc w:val="left"/>
      <w:pPr>
        <w:ind w:left="3702" w:hanging="800"/>
      </w:pPr>
      <w:rPr>
        <w:rFonts w:hint="default"/>
        <w:lang w:val="en-US" w:eastAsia="zh-CN" w:bidi="ar-SA"/>
      </w:rPr>
    </w:lvl>
    <w:lvl w:ilvl="5" w:tentative="0">
      <w:start w:val="0"/>
      <w:numFmt w:val="bullet"/>
      <w:lvlText w:val="•"/>
      <w:lvlJc w:val="left"/>
      <w:pPr>
        <w:ind w:left="4603" w:hanging="800"/>
      </w:pPr>
      <w:rPr>
        <w:rFonts w:hint="default"/>
        <w:lang w:val="en-US" w:eastAsia="zh-CN" w:bidi="ar-SA"/>
      </w:rPr>
    </w:lvl>
    <w:lvl w:ilvl="6" w:tentative="0">
      <w:start w:val="0"/>
      <w:numFmt w:val="bullet"/>
      <w:lvlText w:val="•"/>
      <w:lvlJc w:val="left"/>
      <w:pPr>
        <w:ind w:left="5503" w:hanging="800"/>
      </w:pPr>
      <w:rPr>
        <w:rFonts w:hint="default"/>
        <w:lang w:val="en-US" w:eastAsia="zh-CN" w:bidi="ar-SA"/>
      </w:rPr>
    </w:lvl>
    <w:lvl w:ilvl="7" w:tentative="0">
      <w:start w:val="0"/>
      <w:numFmt w:val="bullet"/>
      <w:lvlText w:val="•"/>
      <w:lvlJc w:val="left"/>
      <w:pPr>
        <w:ind w:left="6404" w:hanging="800"/>
      </w:pPr>
      <w:rPr>
        <w:rFonts w:hint="default"/>
        <w:lang w:val="en-US" w:eastAsia="zh-CN" w:bidi="ar-SA"/>
      </w:rPr>
    </w:lvl>
    <w:lvl w:ilvl="8" w:tentative="0">
      <w:start w:val="0"/>
      <w:numFmt w:val="bullet"/>
      <w:lvlText w:val="•"/>
      <w:lvlJc w:val="left"/>
      <w:pPr>
        <w:ind w:left="7304" w:hanging="800"/>
      </w:pPr>
      <w:rPr>
        <w:rFonts w:hint="default"/>
        <w:lang w:val="en-US" w:eastAsia="zh-CN" w:bidi="ar-SA"/>
      </w:rPr>
    </w:lvl>
  </w:abstractNum>
  <w:abstractNum w:abstractNumId="2">
    <w:nsid w:val="BF205925"/>
    <w:multiLevelType w:val="multilevel"/>
    <w:tmpl w:val="BF205925"/>
    <w:lvl w:ilvl="0" w:tentative="0">
      <w:start w:val="1"/>
      <w:numFmt w:val="decimal"/>
      <w:lvlText w:val="（%1）"/>
      <w:lvlJc w:val="left"/>
      <w:pPr>
        <w:ind w:left="106" w:hanging="800"/>
        <w:jc w:val="left"/>
      </w:pPr>
      <w:rPr>
        <w:rFonts w:hint="default"/>
        <w:spacing w:val="-67"/>
        <w:w w:val="99"/>
        <w:lang w:val="en-US" w:eastAsia="zh-CN" w:bidi="ar-SA"/>
      </w:rPr>
    </w:lvl>
    <w:lvl w:ilvl="1" w:tentative="0">
      <w:start w:val="0"/>
      <w:numFmt w:val="bullet"/>
      <w:lvlText w:val="•"/>
      <w:lvlJc w:val="left"/>
      <w:pPr>
        <w:ind w:left="1000" w:hanging="800"/>
      </w:pPr>
      <w:rPr>
        <w:rFonts w:hint="default"/>
        <w:lang w:val="en-US" w:eastAsia="zh-CN" w:bidi="ar-SA"/>
      </w:rPr>
    </w:lvl>
    <w:lvl w:ilvl="2" w:tentative="0">
      <w:start w:val="0"/>
      <w:numFmt w:val="bullet"/>
      <w:lvlText w:val="•"/>
      <w:lvlJc w:val="left"/>
      <w:pPr>
        <w:ind w:left="1901" w:hanging="800"/>
      </w:pPr>
      <w:rPr>
        <w:rFonts w:hint="default"/>
        <w:lang w:val="en-US" w:eastAsia="zh-CN" w:bidi="ar-SA"/>
      </w:rPr>
    </w:lvl>
    <w:lvl w:ilvl="3" w:tentative="0">
      <w:start w:val="0"/>
      <w:numFmt w:val="bullet"/>
      <w:lvlText w:val="•"/>
      <w:lvlJc w:val="left"/>
      <w:pPr>
        <w:ind w:left="2801" w:hanging="800"/>
      </w:pPr>
      <w:rPr>
        <w:rFonts w:hint="default"/>
        <w:lang w:val="en-US" w:eastAsia="zh-CN" w:bidi="ar-SA"/>
      </w:rPr>
    </w:lvl>
    <w:lvl w:ilvl="4" w:tentative="0">
      <w:start w:val="0"/>
      <w:numFmt w:val="bullet"/>
      <w:lvlText w:val="•"/>
      <w:lvlJc w:val="left"/>
      <w:pPr>
        <w:ind w:left="3702" w:hanging="800"/>
      </w:pPr>
      <w:rPr>
        <w:rFonts w:hint="default"/>
        <w:lang w:val="en-US" w:eastAsia="zh-CN" w:bidi="ar-SA"/>
      </w:rPr>
    </w:lvl>
    <w:lvl w:ilvl="5" w:tentative="0">
      <w:start w:val="0"/>
      <w:numFmt w:val="bullet"/>
      <w:lvlText w:val="•"/>
      <w:lvlJc w:val="left"/>
      <w:pPr>
        <w:ind w:left="4603" w:hanging="800"/>
      </w:pPr>
      <w:rPr>
        <w:rFonts w:hint="default"/>
        <w:lang w:val="en-US" w:eastAsia="zh-CN" w:bidi="ar-SA"/>
      </w:rPr>
    </w:lvl>
    <w:lvl w:ilvl="6" w:tentative="0">
      <w:start w:val="0"/>
      <w:numFmt w:val="bullet"/>
      <w:lvlText w:val="•"/>
      <w:lvlJc w:val="left"/>
      <w:pPr>
        <w:ind w:left="5503" w:hanging="800"/>
      </w:pPr>
      <w:rPr>
        <w:rFonts w:hint="default"/>
        <w:lang w:val="en-US" w:eastAsia="zh-CN" w:bidi="ar-SA"/>
      </w:rPr>
    </w:lvl>
    <w:lvl w:ilvl="7" w:tentative="0">
      <w:start w:val="0"/>
      <w:numFmt w:val="bullet"/>
      <w:lvlText w:val="•"/>
      <w:lvlJc w:val="left"/>
      <w:pPr>
        <w:ind w:left="6404" w:hanging="800"/>
      </w:pPr>
      <w:rPr>
        <w:rFonts w:hint="default"/>
        <w:lang w:val="en-US" w:eastAsia="zh-CN" w:bidi="ar-SA"/>
      </w:rPr>
    </w:lvl>
    <w:lvl w:ilvl="8" w:tentative="0">
      <w:start w:val="0"/>
      <w:numFmt w:val="bullet"/>
      <w:lvlText w:val="•"/>
      <w:lvlJc w:val="left"/>
      <w:pPr>
        <w:ind w:left="7304" w:hanging="800"/>
      </w:pPr>
      <w:rPr>
        <w:rFonts w:hint="default"/>
        <w:lang w:val="en-US" w:eastAsia="zh-CN" w:bidi="ar-SA"/>
      </w:rPr>
    </w:lvl>
  </w:abstractNum>
  <w:abstractNum w:abstractNumId="3">
    <w:nsid w:val="C8879AEF"/>
    <w:multiLevelType w:val="multilevel"/>
    <w:tmpl w:val="C8879AEF"/>
    <w:lvl w:ilvl="0" w:tentative="0">
      <w:start w:val="1"/>
      <w:numFmt w:val="decimal"/>
      <w:lvlText w:val="%1."/>
      <w:lvlJc w:val="left"/>
      <w:pPr>
        <w:ind w:left="106" w:hanging="242"/>
        <w:jc w:val="left"/>
      </w:pPr>
      <w:rPr>
        <w:rFonts w:hint="default" w:ascii="Times New Roman" w:hAnsi="Times New Roman" w:eastAsia="Times New Roman" w:cs="Times New Roman"/>
        <w:b w:val="0"/>
        <w:bCs w:val="0"/>
        <w:i w:val="0"/>
        <w:iCs w:val="0"/>
        <w:spacing w:val="-1"/>
        <w:w w:val="97"/>
        <w:sz w:val="30"/>
        <w:szCs w:val="30"/>
        <w:lang w:val="en-US" w:eastAsia="zh-CN" w:bidi="ar-SA"/>
      </w:rPr>
    </w:lvl>
    <w:lvl w:ilvl="1" w:tentative="0">
      <w:start w:val="0"/>
      <w:numFmt w:val="bullet"/>
      <w:lvlText w:val="•"/>
      <w:lvlJc w:val="left"/>
      <w:pPr>
        <w:ind w:left="1000" w:hanging="242"/>
      </w:pPr>
      <w:rPr>
        <w:rFonts w:hint="default"/>
        <w:lang w:val="en-US" w:eastAsia="zh-CN" w:bidi="ar-SA"/>
      </w:rPr>
    </w:lvl>
    <w:lvl w:ilvl="2" w:tentative="0">
      <w:start w:val="0"/>
      <w:numFmt w:val="bullet"/>
      <w:lvlText w:val="•"/>
      <w:lvlJc w:val="left"/>
      <w:pPr>
        <w:ind w:left="1901" w:hanging="242"/>
      </w:pPr>
      <w:rPr>
        <w:rFonts w:hint="default"/>
        <w:lang w:val="en-US" w:eastAsia="zh-CN" w:bidi="ar-SA"/>
      </w:rPr>
    </w:lvl>
    <w:lvl w:ilvl="3" w:tentative="0">
      <w:start w:val="0"/>
      <w:numFmt w:val="bullet"/>
      <w:lvlText w:val="•"/>
      <w:lvlJc w:val="left"/>
      <w:pPr>
        <w:ind w:left="2801" w:hanging="242"/>
      </w:pPr>
      <w:rPr>
        <w:rFonts w:hint="default"/>
        <w:lang w:val="en-US" w:eastAsia="zh-CN" w:bidi="ar-SA"/>
      </w:rPr>
    </w:lvl>
    <w:lvl w:ilvl="4" w:tentative="0">
      <w:start w:val="0"/>
      <w:numFmt w:val="bullet"/>
      <w:lvlText w:val="•"/>
      <w:lvlJc w:val="left"/>
      <w:pPr>
        <w:ind w:left="3702" w:hanging="242"/>
      </w:pPr>
      <w:rPr>
        <w:rFonts w:hint="default"/>
        <w:lang w:val="en-US" w:eastAsia="zh-CN" w:bidi="ar-SA"/>
      </w:rPr>
    </w:lvl>
    <w:lvl w:ilvl="5" w:tentative="0">
      <w:start w:val="0"/>
      <w:numFmt w:val="bullet"/>
      <w:lvlText w:val="•"/>
      <w:lvlJc w:val="left"/>
      <w:pPr>
        <w:ind w:left="4603" w:hanging="242"/>
      </w:pPr>
      <w:rPr>
        <w:rFonts w:hint="default"/>
        <w:lang w:val="en-US" w:eastAsia="zh-CN" w:bidi="ar-SA"/>
      </w:rPr>
    </w:lvl>
    <w:lvl w:ilvl="6" w:tentative="0">
      <w:start w:val="0"/>
      <w:numFmt w:val="bullet"/>
      <w:lvlText w:val="•"/>
      <w:lvlJc w:val="left"/>
      <w:pPr>
        <w:ind w:left="5503" w:hanging="242"/>
      </w:pPr>
      <w:rPr>
        <w:rFonts w:hint="default"/>
        <w:lang w:val="en-US" w:eastAsia="zh-CN" w:bidi="ar-SA"/>
      </w:rPr>
    </w:lvl>
    <w:lvl w:ilvl="7" w:tentative="0">
      <w:start w:val="0"/>
      <w:numFmt w:val="bullet"/>
      <w:lvlText w:val="•"/>
      <w:lvlJc w:val="left"/>
      <w:pPr>
        <w:ind w:left="6404" w:hanging="242"/>
      </w:pPr>
      <w:rPr>
        <w:rFonts w:hint="default"/>
        <w:lang w:val="en-US" w:eastAsia="zh-CN" w:bidi="ar-SA"/>
      </w:rPr>
    </w:lvl>
    <w:lvl w:ilvl="8" w:tentative="0">
      <w:start w:val="0"/>
      <w:numFmt w:val="bullet"/>
      <w:lvlText w:val="•"/>
      <w:lvlJc w:val="left"/>
      <w:pPr>
        <w:ind w:left="7304" w:hanging="242"/>
      </w:pPr>
      <w:rPr>
        <w:rFonts w:hint="default"/>
        <w:lang w:val="en-US" w:eastAsia="zh-CN" w:bidi="ar-SA"/>
      </w:rPr>
    </w:lvl>
  </w:abstractNum>
  <w:abstractNum w:abstractNumId="4">
    <w:nsid w:val="CF092B84"/>
    <w:multiLevelType w:val="multilevel"/>
    <w:tmpl w:val="CF092B84"/>
    <w:lvl w:ilvl="0" w:tentative="0">
      <w:start w:val="1"/>
      <w:numFmt w:val="decimal"/>
      <w:lvlText w:val="%1."/>
      <w:lvlJc w:val="left"/>
      <w:pPr>
        <w:ind w:left="106" w:hanging="322"/>
        <w:jc w:val="left"/>
      </w:pPr>
      <w:rPr>
        <w:rFonts w:hint="default" w:ascii="宋体" w:hAnsi="宋体" w:eastAsia="宋体" w:cs="宋体"/>
        <w:b w:val="0"/>
        <w:bCs w:val="0"/>
        <w:i w:val="0"/>
        <w:iCs w:val="0"/>
        <w:spacing w:val="-2"/>
        <w:w w:val="99"/>
        <w:sz w:val="30"/>
        <w:szCs w:val="30"/>
        <w:lang w:val="en-US" w:eastAsia="zh-CN" w:bidi="ar-SA"/>
      </w:rPr>
    </w:lvl>
    <w:lvl w:ilvl="1" w:tentative="0">
      <w:start w:val="0"/>
      <w:numFmt w:val="bullet"/>
      <w:lvlText w:val="•"/>
      <w:lvlJc w:val="left"/>
      <w:pPr>
        <w:ind w:left="1000" w:hanging="322"/>
      </w:pPr>
      <w:rPr>
        <w:rFonts w:hint="default"/>
        <w:lang w:val="en-US" w:eastAsia="zh-CN" w:bidi="ar-SA"/>
      </w:rPr>
    </w:lvl>
    <w:lvl w:ilvl="2" w:tentative="0">
      <w:start w:val="0"/>
      <w:numFmt w:val="bullet"/>
      <w:lvlText w:val="•"/>
      <w:lvlJc w:val="left"/>
      <w:pPr>
        <w:ind w:left="1901" w:hanging="322"/>
      </w:pPr>
      <w:rPr>
        <w:rFonts w:hint="default"/>
        <w:lang w:val="en-US" w:eastAsia="zh-CN" w:bidi="ar-SA"/>
      </w:rPr>
    </w:lvl>
    <w:lvl w:ilvl="3" w:tentative="0">
      <w:start w:val="0"/>
      <w:numFmt w:val="bullet"/>
      <w:lvlText w:val="•"/>
      <w:lvlJc w:val="left"/>
      <w:pPr>
        <w:ind w:left="2801" w:hanging="322"/>
      </w:pPr>
      <w:rPr>
        <w:rFonts w:hint="default"/>
        <w:lang w:val="en-US" w:eastAsia="zh-CN" w:bidi="ar-SA"/>
      </w:rPr>
    </w:lvl>
    <w:lvl w:ilvl="4" w:tentative="0">
      <w:start w:val="0"/>
      <w:numFmt w:val="bullet"/>
      <w:lvlText w:val="•"/>
      <w:lvlJc w:val="left"/>
      <w:pPr>
        <w:ind w:left="3702" w:hanging="322"/>
      </w:pPr>
      <w:rPr>
        <w:rFonts w:hint="default"/>
        <w:lang w:val="en-US" w:eastAsia="zh-CN" w:bidi="ar-SA"/>
      </w:rPr>
    </w:lvl>
    <w:lvl w:ilvl="5" w:tentative="0">
      <w:start w:val="0"/>
      <w:numFmt w:val="bullet"/>
      <w:lvlText w:val="•"/>
      <w:lvlJc w:val="left"/>
      <w:pPr>
        <w:ind w:left="4603" w:hanging="322"/>
      </w:pPr>
      <w:rPr>
        <w:rFonts w:hint="default"/>
        <w:lang w:val="en-US" w:eastAsia="zh-CN" w:bidi="ar-SA"/>
      </w:rPr>
    </w:lvl>
    <w:lvl w:ilvl="6" w:tentative="0">
      <w:start w:val="0"/>
      <w:numFmt w:val="bullet"/>
      <w:lvlText w:val="•"/>
      <w:lvlJc w:val="left"/>
      <w:pPr>
        <w:ind w:left="5503" w:hanging="322"/>
      </w:pPr>
      <w:rPr>
        <w:rFonts w:hint="default"/>
        <w:lang w:val="en-US" w:eastAsia="zh-CN" w:bidi="ar-SA"/>
      </w:rPr>
    </w:lvl>
    <w:lvl w:ilvl="7" w:tentative="0">
      <w:start w:val="0"/>
      <w:numFmt w:val="bullet"/>
      <w:lvlText w:val="•"/>
      <w:lvlJc w:val="left"/>
      <w:pPr>
        <w:ind w:left="6404" w:hanging="322"/>
      </w:pPr>
      <w:rPr>
        <w:rFonts w:hint="default"/>
        <w:lang w:val="en-US" w:eastAsia="zh-CN" w:bidi="ar-SA"/>
      </w:rPr>
    </w:lvl>
    <w:lvl w:ilvl="8" w:tentative="0">
      <w:start w:val="0"/>
      <w:numFmt w:val="bullet"/>
      <w:lvlText w:val="•"/>
      <w:lvlJc w:val="left"/>
      <w:pPr>
        <w:ind w:left="7304" w:hanging="322"/>
      </w:pPr>
      <w:rPr>
        <w:rFonts w:hint="default"/>
        <w:lang w:val="en-US" w:eastAsia="zh-CN" w:bidi="ar-SA"/>
      </w:rPr>
    </w:lvl>
  </w:abstractNum>
  <w:abstractNum w:abstractNumId="5">
    <w:nsid w:val="0053208E"/>
    <w:multiLevelType w:val="multilevel"/>
    <w:tmpl w:val="0053208E"/>
    <w:lvl w:ilvl="0" w:tentative="0">
      <w:start w:val="1"/>
      <w:numFmt w:val="decimal"/>
      <w:lvlText w:val="%1."/>
      <w:lvlJc w:val="left"/>
      <w:pPr>
        <w:ind w:left="106" w:hanging="322"/>
        <w:jc w:val="left"/>
      </w:pPr>
      <w:rPr>
        <w:rFonts w:hint="default" w:ascii="宋体" w:hAnsi="宋体" w:eastAsia="宋体" w:cs="宋体"/>
        <w:b w:val="0"/>
        <w:bCs w:val="0"/>
        <w:i w:val="0"/>
        <w:iCs w:val="0"/>
        <w:spacing w:val="-2"/>
        <w:w w:val="99"/>
        <w:sz w:val="30"/>
        <w:szCs w:val="30"/>
        <w:lang w:val="en-US" w:eastAsia="zh-CN" w:bidi="ar-SA"/>
      </w:rPr>
    </w:lvl>
    <w:lvl w:ilvl="1" w:tentative="0">
      <w:start w:val="0"/>
      <w:numFmt w:val="bullet"/>
      <w:lvlText w:val="•"/>
      <w:lvlJc w:val="left"/>
      <w:pPr>
        <w:ind w:left="1000" w:hanging="322"/>
      </w:pPr>
      <w:rPr>
        <w:rFonts w:hint="default"/>
        <w:lang w:val="en-US" w:eastAsia="zh-CN" w:bidi="ar-SA"/>
      </w:rPr>
    </w:lvl>
    <w:lvl w:ilvl="2" w:tentative="0">
      <w:start w:val="0"/>
      <w:numFmt w:val="bullet"/>
      <w:lvlText w:val="•"/>
      <w:lvlJc w:val="left"/>
      <w:pPr>
        <w:ind w:left="1901" w:hanging="322"/>
      </w:pPr>
      <w:rPr>
        <w:rFonts w:hint="default"/>
        <w:lang w:val="en-US" w:eastAsia="zh-CN" w:bidi="ar-SA"/>
      </w:rPr>
    </w:lvl>
    <w:lvl w:ilvl="3" w:tentative="0">
      <w:start w:val="0"/>
      <w:numFmt w:val="bullet"/>
      <w:lvlText w:val="•"/>
      <w:lvlJc w:val="left"/>
      <w:pPr>
        <w:ind w:left="2801" w:hanging="322"/>
      </w:pPr>
      <w:rPr>
        <w:rFonts w:hint="default"/>
        <w:lang w:val="en-US" w:eastAsia="zh-CN" w:bidi="ar-SA"/>
      </w:rPr>
    </w:lvl>
    <w:lvl w:ilvl="4" w:tentative="0">
      <w:start w:val="0"/>
      <w:numFmt w:val="bullet"/>
      <w:lvlText w:val="•"/>
      <w:lvlJc w:val="left"/>
      <w:pPr>
        <w:ind w:left="3702" w:hanging="322"/>
      </w:pPr>
      <w:rPr>
        <w:rFonts w:hint="default"/>
        <w:lang w:val="en-US" w:eastAsia="zh-CN" w:bidi="ar-SA"/>
      </w:rPr>
    </w:lvl>
    <w:lvl w:ilvl="5" w:tentative="0">
      <w:start w:val="0"/>
      <w:numFmt w:val="bullet"/>
      <w:lvlText w:val="•"/>
      <w:lvlJc w:val="left"/>
      <w:pPr>
        <w:ind w:left="4603" w:hanging="322"/>
      </w:pPr>
      <w:rPr>
        <w:rFonts w:hint="default"/>
        <w:lang w:val="en-US" w:eastAsia="zh-CN" w:bidi="ar-SA"/>
      </w:rPr>
    </w:lvl>
    <w:lvl w:ilvl="6" w:tentative="0">
      <w:start w:val="0"/>
      <w:numFmt w:val="bullet"/>
      <w:lvlText w:val="•"/>
      <w:lvlJc w:val="left"/>
      <w:pPr>
        <w:ind w:left="5503" w:hanging="322"/>
      </w:pPr>
      <w:rPr>
        <w:rFonts w:hint="default"/>
        <w:lang w:val="en-US" w:eastAsia="zh-CN" w:bidi="ar-SA"/>
      </w:rPr>
    </w:lvl>
    <w:lvl w:ilvl="7" w:tentative="0">
      <w:start w:val="0"/>
      <w:numFmt w:val="bullet"/>
      <w:lvlText w:val="•"/>
      <w:lvlJc w:val="left"/>
      <w:pPr>
        <w:ind w:left="6404" w:hanging="322"/>
      </w:pPr>
      <w:rPr>
        <w:rFonts w:hint="default"/>
        <w:lang w:val="en-US" w:eastAsia="zh-CN" w:bidi="ar-SA"/>
      </w:rPr>
    </w:lvl>
    <w:lvl w:ilvl="8" w:tentative="0">
      <w:start w:val="0"/>
      <w:numFmt w:val="bullet"/>
      <w:lvlText w:val="•"/>
      <w:lvlJc w:val="left"/>
      <w:pPr>
        <w:ind w:left="7304" w:hanging="322"/>
      </w:pPr>
      <w:rPr>
        <w:rFonts w:hint="default"/>
        <w:lang w:val="en-US" w:eastAsia="zh-CN" w:bidi="ar-SA"/>
      </w:rPr>
    </w:lvl>
  </w:abstractNum>
  <w:abstractNum w:abstractNumId="6">
    <w:nsid w:val="0248C179"/>
    <w:multiLevelType w:val="multilevel"/>
    <w:tmpl w:val="0248C179"/>
    <w:lvl w:ilvl="0" w:tentative="0">
      <w:start w:val="1"/>
      <w:numFmt w:val="decimal"/>
      <w:lvlText w:val="（%1）"/>
      <w:lvlJc w:val="left"/>
      <w:pPr>
        <w:ind w:left="106" w:hanging="800"/>
        <w:jc w:val="left"/>
      </w:pPr>
      <w:rPr>
        <w:rFonts w:hint="default" w:ascii="宋体" w:hAnsi="宋体" w:eastAsia="宋体" w:cs="宋体"/>
        <w:b w:val="0"/>
        <w:bCs w:val="0"/>
        <w:i w:val="0"/>
        <w:iCs w:val="0"/>
        <w:spacing w:val="-22"/>
        <w:w w:val="99"/>
        <w:sz w:val="30"/>
        <w:szCs w:val="30"/>
        <w:lang w:val="en-US" w:eastAsia="zh-CN" w:bidi="ar-SA"/>
      </w:rPr>
    </w:lvl>
    <w:lvl w:ilvl="1" w:tentative="0">
      <w:start w:val="0"/>
      <w:numFmt w:val="bullet"/>
      <w:lvlText w:val="•"/>
      <w:lvlJc w:val="left"/>
      <w:pPr>
        <w:ind w:left="1000" w:hanging="800"/>
      </w:pPr>
      <w:rPr>
        <w:rFonts w:hint="default"/>
        <w:lang w:val="en-US" w:eastAsia="zh-CN" w:bidi="ar-SA"/>
      </w:rPr>
    </w:lvl>
    <w:lvl w:ilvl="2" w:tentative="0">
      <w:start w:val="0"/>
      <w:numFmt w:val="bullet"/>
      <w:lvlText w:val="•"/>
      <w:lvlJc w:val="left"/>
      <w:pPr>
        <w:ind w:left="1901" w:hanging="800"/>
      </w:pPr>
      <w:rPr>
        <w:rFonts w:hint="default"/>
        <w:lang w:val="en-US" w:eastAsia="zh-CN" w:bidi="ar-SA"/>
      </w:rPr>
    </w:lvl>
    <w:lvl w:ilvl="3" w:tentative="0">
      <w:start w:val="0"/>
      <w:numFmt w:val="bullet"/>
      <w:lvlText w:val="•"/>
      <w:lvlJc w:val="left"/>
      <w:pPr>
        <w:ind w:left="2801" w:hanging="800"/>
      </w:pPr>
      <w:rPr>
        <w:rFonts w:hint="default"/>
        <w:lang w:val="en-US" w:eastAsia="zh-CN" w:bidi="ar-SA"/>
      </w:rPr>
    </w:lvl>
    <w:lvl w:ilvl="4" w:tentative="0">
      <w:start w:val="0"/>
      <w:numFmt w:val="bullet"/>
      <w:lvlText w:val="•"/>
      <w:lvlJc w:val="left"/>
      <w:pPr>
        <w:ind w:left="3702" w:hanging="800"/>
      </w:pPr>
      <w:rPr>
        <w:rFonts w:hint="default"/>
        <w:lang w:val="en-US" w:eastAsia="zh-CN" w:bidi="ar-SA"/>
      </w:rPr>
    </w:lvl>
    <w:lvl w:ilvl="5" w:tentative="0">
      <w:start w:val="0"/>
      <w:numFmt w:val="bullet"/>
      <w:lvlText w:val="•"/>
      <w:lvlJc w:val="left"/>
      <w:pPr>
        <w:ind w:left="4603" w:hanging="800"/>
      </w:pPr>
      <w:rPr>
        <w:rFonts w:hint="default"/>
        <w:lang w:val="en-US" w:eastAsia="zh-CN" w:bidi="ar-SA"/>
      </w:rPr>
    </w:lvl>
    <w:lvl w:ilvl="6" w:tentative="0">
      <w:start w:val="0"/>
      <w:numFmt w:val="bullet"/>
      <w:lvlText w:val="•"/>
      <w:lvlJc w:val="left"/>
      <w:pPr>
        <w:ind w:left="5503" w:hanging="800"/>
      </w:pPr>
      <w:rPr>
        <w:rFonts w:hint="default"/>
        <w:lang w:val="en-US" w:eastAsia="zh-CN" w:bidi="ar-SA"/>
      </w:rPr>
    </w:lvl>
    <w:lvl w:ilvl="7" w:tentative="0">
      <w:start w:val="0"/>
      <w:numFmt w:val="bullet"/>
      <w:lvlText w:val="•"/>
      <w:lvlJc w:val="left"/>
      <w:pPr>
        <w:ind w:left="6404" w:hanging="800"/>
      </w:pPr>
      <w:rPr>
        <w:rFonts w:hint="default"/>
        <w:lang w:val="en-US" w:eastAsia="zh-CN" w:bidi="ar-SA"/>
      </w:rPr>
    </w:lvl>
    <w:lvl w:ilvl="8" w:tentative="0">
      <w:start w:val="0"/>
      <w:numFmt w:val="bullet"/>
      <w:lvlText w:val="•"/>
      <w:lvlJc w:val="left"/>
      <w:pPr>
        <w:ind w:left="7304" w:hanging="800"/>
      </w:pPr>
      <w:rPr>
        <w:rFonts w:hint="default"/>
        <w:lang w:val="en-US" w:eastAsia="zh-CN" w:bidi="ar-SA"/>
      </w:rPr>
    </w:lvl>
  </w:abstractNum>
  <w:abstractNum w:abstractNumId="7">
    <w:nsid w:val="03D62ECE"/>
    <w:multiLevelType w:val="multilevel"/>
    <w:tmpl w:val="03D62ECE"/>
    <w:lvl w:ilvl="0" w:tentative="0">
      <w:start w:val="1"/>
      <w:numFmt w:val="decimal"/>
      <w:lvlText w:val="（%1）"/>
      <w:lvlJc w:val="left"/>
      <w:pPr>
        <w:ind w:left="106" w:hanging="812"/>
        <w:jc w:val="left"/>
      </w:pPr>
      <w:rPr>
        <w:rFonts w:hint="default" w:ascii="宋体" w:hAnsi="宋体" w:eastAsia="宋体" w:cs="宋体"/>
        <w:b w:val="0"/>
        <w:bCs w:val="0"/>
        <w:i w:val="0"/>
        <w:iCs w:val="0"/>
        <w:spacing w:val="2"/>
        <w:w w:val="97"/>
        <w:sz w:val="30"/>
        <w:szCs w:val="30"/>
        <w:lang w:val="en-US" w:eastAsia="zh-CN" w:bidi="ar-SA"/>
      </w:rPr>
    </w:lvl>
    <w:lvl w:ilvl="1" w:tentative="0">
      <w:start w:val="0"/>
      <w:numFmt w:val="bullet"/>
      <w:lvlText w:val="•"/>
      <w:lvlJc w:val="left"/>
      <w:pPr>
        <w:ind w:left="1000" w:hanging="812"/>
      </w:pPr>
      <w:rPr>
        <w:rFonts w:hint="default"/>
        <w:lang w:val="en-US" w:eastAsia="zh-CN" w:bidi="ar-SA"/>
      </w:rPr>
    </w:lvl>
    <w:lvl w:ilvl="2" w:tentative="0">
      <w:start w:val="0"/>
      <w:numFmt w:val="bullet"/>
      <w:lvlText w:val="•"/>
      <w:lvlJc w:val="left"/>
      <w:pPr>
        <w:ind w:left="1901" w:hanging="812"/>
      </w:pPr>
      <w:rPr>
        <w:rFonts w:hint="default"/>
        <w:lang w:val="en-US" w:eastAsia="zh-CN" w:bidi="ar-SA"/>
      </w:rPr>
    </w:lvl>
    <w:lvl w:ilvl="3" w:tentative="0">
      <w:start w:val="0"/>
      <w:numFmt w:val="bullet"/>
      <w:lvlText w:val="•"/>
      <w:lvlJc w:val="left"/>
      <w:pPr>
        <w:ind w:left="2801" w:hanging="812"/>
      </w:pPr>
      <w:rPr>
        <w:rFonts w:hint="default"/>
        <w:lang w:val="en-US" w:eastAsia="zh-CN" w:bidi="ar-SA"/>
      </w:rPr>
    </w:lvl>
    <w:lvl w:ilvl="4" w:tentative="0">
      <w:start w:val="0"/>
      <w:numFmt w:val="bullet"/>
      <w:lvlText w:val="•"/>
      <w:lvlJc w:val="left"/>
      <w:pPr>
        <w:ind w:left="3702" w:hanging="812"/>
      </w:pPr>
      <w:rPr>
        <w:rFonts w:hint="default"/>
        <w:lang w:val="en-US" w:eastAsia="zh-CN" w:bidi="ar-SA"/>
      </w:rPr>
    </w:lvl>
    <w:lvl w:ilvl="5" w:tentative="0">
      <w:start w:val="0"/>
      <w:numFmt w:val="bullet"/>
      <w:lvlText w:val="•"/>
      <w:lvlJc w:val="left"/>
      <w:pPr>
        <w:ind w:left="4603" w:hanging="812"/>
      </w:pPr>
      <w:rPr>
        <w:rFonts w:hint="default"/>
        <w:lang w:val="en-US" w:eastAsia="zh-CN" w:bidi="ar-SA"/>
      </w:rPr>
    </w:lvl>
    <w:lvl w:ilvl="6" w:tentative="0">
      <w:start w:val="0"/>
      <w:numFmt w:val="bullet"/>
      <w:lvlText w:val="•"/>
      <w:lvlJc w:val="left"/>
      <w:pPr>
        <w:ind w:left="5503" w:hanging="812"/>
      </w:pPr>
      <w:rPr>
        <w:rFonts w:hint="default"/>
        <w:lang w:val="en-US" w:eastAsia="zh-CN" w:bidi="ar-SA"/>
      </w:rPr>
    </w:lvl>
    <w:lvl w:ilvl="7" w:tentative="0">
      <w:start w:val="0"/>
      <w:numFmt w:val="bullet"/>
      <w:lvlText w:val="•"/>
      <w:lvlJc w:val="left"/>
      <w:pPr>
        <w:ind w:left="6404" w:hanging="812"/>
      </w:pPr>
      <w:rPr>
        <w:rFonts w:hint="default"/>
        <w:lang w:val="en-US" w:eastAsia="zh-CN" w:bidi="ar-SA"/>
      </w:rPr>
    </w:lvl>
    <w:lvl w:ilvl="8" w:tentative="0">
      <w:start w:val="0"/>
      <w:numFmt w:val="bullet"/>
      <w:lvlText w:val="•"/>
      <w:lvlJc w:val="left"/>
      <w:pPr>
        <w:ind w:left="7304" w:hanging="812"/>
      </w:pPr>
      <w:rPr>
        <w:rFonts w:hint="default"/>
        <w:lang w:val="en-US" w:eastAsia="zh-CN" w:bidi="ar-SA"/>
      </w:rPr>
    </w:lvl>
  </w:abstractNum>
  <w:abstractNum w:abstractNumId="8">
    <w:nsid w:val="25B654F3"/>
    <w:multiLevelType w:val="multilevel"/>
    <w:tmpl w:val="25B654F3"/>
    <w:lvl w:ilvl="0" w:tentative="0">
      <w:start w:val="1"/>
      <w:numFmt w:val="decimal"/>
      <w:lvlText w:val="（%1）"/>
      <w:lvlJc w:val="left"/>
      <w:pPr>
        <w:ind w:left="106" w:hanging="800"/>
        <w:jc w:val="left"/>
      </w:pPr>
      <w:rPr>
        <w:rFonts w:hint="default" w:ascii="宋体" w:hAnsi="宋体" w:eastAsia="宋体" w:cs="宋体"/>
        <w:b w:val="0"/>
        <w:bCs w:val="0"/>
        <w:i w:val="0"/>
        <w:iCs w:val="0"/>
        <w:spacing w:val="-67"/>
        <w:w w:val="99"/>
        <w:sz w:val="30"/>
        <w:szCs w:val="30"/>
        <w:lang w:val="en-US" w:eastAsia="zh-CN" w:bidi="ar-SA"/>
      </w:rPr>
    </w:lvl>
    <w:lvl w:ilvl="1" w:tentative="0">
      <w:start w:val="0"/>
      <w:numFmt w:val="bullet"/>
      <w:lvlText w:val="•"/>
      <w:lvlJc w:val="left"/>
      <w:pPr>
        <w:ind w:left="1000" w:hanging="800"/>
      </w:pPr>
      <w:rPr>
        <w:rFonts w:hint="default"/>
        <w:lang w:val="en-US" w:eastAsia="zh-CN" w:bidi="ar-SA"/>
      </w:rPr>
    </w:lvl>
    <w:lvl w:ilvl="2" w:tentative="0">
      <w:start w:val="0"/>
      <w:numFmt w:val="bullet"/>
      <w:lvlText w:val="•"/>
      <w:lvlJc w:val="left"/>
      <w:pPr>
        <w:ind w:left="1901" w:hanging="800"/>
      </w:pPr>
      <w:rPr>
        <w:rFonts w:hint="default"/>
        <w:lang w:val="en-US" w:eastAsia="zh-CN" w:bidi="ar-SA"/>
      </w:rPr>
    </w:lvl>
    <w:lvl w:ilvl="3" w:tentative="0">
      <w:start w:val="0"/>
      <w:numFmt w:val="bullet"/>
      <w:lvlText w:val="•"/>
      <w:lvlJc w:val="left"/>
      <w:pPr>
        <w:ind w:left="2801" w:hanging="800"/>
      </w:pPr>
      <w:rPr>
        <w:rFonts w:hint="default"/>
        <w:lang w:val="en-US" w:eastAsia="zh-CN" w:bidi="ar-SA"/>
      </w:rPr>
    </w:lvl>
    <w:lvl w:ilvl="4" w:tentative="0">
      <w:start w:val="0"/>
      <w:numFmt w:val="bullet"/>
      <w:lvlText w:val="•"/>
      <w:lvlJc w:val="left"/>
      <w:pPr>
        <w:ind w:left="3702" w:hanging="800"/>
      </w:pPr>
      <w:rPr>
        <w:rFonts w:hint="default"/>
        <w:lang w:val="en-US" w:eastAsia="zh-CN" w:bidi="ar-SA"/>
      </w:rPr>
    </w:lvl>
    <w:lvl w:ilvl="5" w:tentative="0">
      <w:start w:val="0"/>
      <w:numFmt w:val="bullet"/>
      <w:lvlText w:val="•"/>
      <w:lvlJc w:val="left"/>
      <w:pPr>
        <w:ind w:left="4603" w:hanging="800"/>
      </w:pPr>
      <w:rPr>
        <w:rFonts w:hint="default"/>
        <w:lang w:val="en-US" w:eastAsia="zh-CN" w:bidi="ar-SA"/>
      </w:rPr>
    </w:lvl>
    <w:lvl w:ilvl="6" w:tentative="0">
      <w:start w:val="0"/>
      <w:numFmt w:val="bullet"/>
      <w:lvlText w:val="•"/>
      <w:lvlJc w:val="left"/>
      <w:pPr>
        <w:ind w:left="5503" w:hanging="800"/>
      </w:pPr>
      <w:rPr>
        <w:rFonts w:hint="default"/>
        <w:lang w:val="en-US" w:eastAsia="zh-CN" w:bidi="ar-SA"/>
      </w:rPr>
    </w:lvl>
    <w:lvl w:ilvl="7" w:tentative="0">
      <w:start w:val="0"/>
      <w:numFmt w:val="bullet"/>
      <w:lvlText w:val="•"/>
      <w:lvlJc w:val="left"/>
      <w:pPr>
        <w:ind w:left="6404" w:hanging="800"/>
      </w:pPr>
      <w:rPr>
        <w:rFonts w:hint="default"/>
        <w:lang w:val="en-US" w:eastAsia="zh-CN" w:bidi="ar-SA"/>
      </w:rPr>
    </w:lvl>
    <w:lvl w:ilvl="8" w:tentative="0">
      <w:start w:val="0"/>
      <w:numFmt w:val="bullet"/>
      <w:lvlText w:val="•"/>
      <w:lvlJc w:val="left"/>
      <w:pPr>
        <w:ind w:left="7304" w:hanging="800"/>
      </w:pPr>
      <w:rPr>
        <w:rFonts w:hint="default"/>
        <w:lang w:val="en-US" w:eastAsia="zh-CN" w:bidi="ar-SA"/>
      </w:rPr>
    </w:lvl>
  </w:abstractNum>
  <w:abstractNum w:abstractNumId="9">
    <w:nsid w:val="2A8F537B"/>
    <w:multiLevelType w:val="multilevel"/>
    <w:tmpl w:val="2A8F537B"/>
    <w:lvl w:ilvl="0" w:tentative="0">
      <w:start w:val="1"/>
      <w:numFmt w:val="decimal"/>
      <w:lvlText w:val="（%1）"/>
      <w:lvlJc w:val="left"/>
      <w:pPr>
        <w:ind w:left="106" w:hanging="800"/>
        <w:jc w:val="left"/>
      </w:pPr>
      <w:rPr>
        <w:rFonts w:hint="default" w:ascii="宋体" w:hAnsi="宋体" w:eastAsia="宋体" w:cs="宋体"/>
        <w:b w:val="0"/>
        <w:bCs w:val="0"/>
        <w:i w:val="0"/>
        <w:iCs w:val="0"/>
        <w:spacing w:val="-67"/>
        <w:w w:val="99"/>
        <w:sz w:val="30"/>
        <w:szCs w:val="30"/>
        <w:lang w:val="en-US" w:eastAsia="zh-CN" w:bidi="ar-SA"/>
      </w:rPr>
    </w:lvl>
    <w:lvl w:ilvl="1" w:tentative="0">
      <w:start w:val="0"/>
      <w:numFmt w:val="bullet"/>
      <w:lvlText w:val="•"/>
      <w:lvlJc w:val="left"/>
      <w:pPr>
        <w:ind w:left="1000" w:hanging="800"/>
      </w:pPr>
      <w:rPr>
        <w:rFonts w:hint="default"/>
        <w:lang w:val="en-US" w:eastAsia="zh-CN" w:bidi="ar-SA"/>
      </w:rPr>
    </w:lvl>
    <w:lvl w:ilvl="2" w:tentative="0">
      <w:start w:val="0"/>
      <w:numFmt w:val="bullet"/>
      <w:lvlText w:val="•"/>
      <w:lvlJc w:val="left"/>
      <w:pPr>
        <w:ind w:left="1901" w:hanging="800"/>
      </w:pPr>
      <w:rPr>
        <w:rFonts w:hint="default"/>
        <w:lang w:val="en-US" w:eastAsia="zh-CN" w:bidi="ar-SA"/>
      </w:rPr>
    </w:lvl>
    <w:lvl w:ilvl="3" w:tentative="0">
      <w:start w:val="0"/>
      <w:numFmt w:val="bullet"/>
      <w:lvlText w:val="•"/>
      <w:lvlJc w:val="left"/>
      <w:pPr>
        <w:ind w:left="2801" w:hanging="800"/>
      </w:pPr>
      <w:rPr>
        <w:rFonts w:hint="default"/>
        <w:lang w:val="en-US" w:eastAsia="zh-CN" w:bidi="ar-SA"/>
      </w:rPr>
    </w:lvl>
    <w:lvl w:ilvl="4" w:tentative="0">
      <w:start w:val="0"/>
      <w:numFmt w:val="bullet"/>
      <w:lvlText w:val="•"/>
      <w:lvlJc w:val="left"/>
      <w:pPr>
        <w:ind w:left="3702" w:hanging="800"/>
      </w:pPr>
      <w:rPr>
        <w:rFonts w:hint="default"/>
        <w:lang w:val="en-US" w:eastAsia="zh-CN" w:bidi="ar-SA"/>
      </w:rPr>
    </w:lvl>
    <w:lvl w:ilvl="5" w:tentative="0">
      <w:start w:val="0"/>
      <w:numFmt w:val="bullet"/>
      <w:lvlText w:val="•"/>
      <w:lvlJc w:val="left"/>
      <w:pPr>
        <w:ind w:left="4603" w:hanging="800"/>
      </w:pPr>
      <w:rPr>
        <w:rFonts w:hint="default"/>
        <w:lang w:val="en-US" w:eastAsia="zh-CN" w:bidi="ar-SA"/>
      </w:rPr>
    </w:lvl>
    <w:lvl w:ilvl="6" w:tentative="0">
      <w:start w:val="0"/>
      <w:numFmt w:val="bullet"/>
      <w:lvlText w:val="•"/>
      <w:lvlJc w:val="left"/>
      <w:pPr>
        <w:ind w:left="5503" w:hanging="800"/>
      </w:pPr>
      <w:rPr>
        <w:rFonts w:hint="default"/>
        <w:lang w:val="en-US" w:eastAsia="zh-CN" w:bidi="ar-SA"/>
      </w:rPr>
    </w:lvl>
    <w:lvl w:ilvl="7" w:tentative="0">
      <w:start w:val="0"/>
      <w:numFmt w:val="bullet"/>
      <w:lvlText w:val="•"/>
      <w:lvlJc w:val="left"/>
      <w:pPr>
        <w:ind w:left="6404" w:hanging="800"/>
      </w:pPr>
      <w:rPr>
        <w:rFonts w:hint="default"/>
        <w:lang w:val="en-US" w:eastAsia="zh-CN" w:bidi="ar-SA"/>
      </w:rPr>
    </w:lvl>
    <w:lvl w:ilvl="8" w:tentative="0">
      <w:start w:val="0"/>
      <w:numFmt w:val="bullet"/>
      <w:lvlText w:val="•"/>
      <w:lvlJc w:val="left"/>
      <w:pPr>
        <w:ind w:left="7304" w:hanging="800"/>
      </w:pPr>
      <w:rPr>
        <w:rFonts w:hint="default"/>
        <w:lang w:val="en-US" w:eastAsia="zh-CN" w:bidi="ar-SA"/>
      </w:rPr>
    </w:lvl>
  </w:abstractNum>
  <w:abstractNum w:abstractNumId="10">
    <w:nsid w:val="59ADCABA"/>
    <w:multiLevelType w:val="multilevel"/>
    <w:tmpl w:val="59ADCABA"/>
    <w:lvl w:ilvl="0" w:tentative="0">
      <w:start w:val="1"/>
      <w:numFmt w:val="decimal"/>
      <w:lvlText w:val="（%1）"/>
      <w:lvlJc w:val="left"/>
      <w:pPr>
        <w:ind w:left="106" w:hanging="800"/>
        <w:jc w:val="left"/>
      </w:pPr>
      <w:rPr>
        <w:rFonts w:hint="default" w:ascii="宋体" w:hAnsi="宋体" w:eastAsia="宋体" w:cs="宋体"/>
        <w:b w:val="0"/>
        <w:bCs w:val="0"/>
        <w:i w:val="0"/>
        <w:iCs w:val="0"/>
        <w:spacing w:val="-34"/>
        <w:w w:val="99"/>
        <w:sz w:val="30"/>
        <w:szCs w:val="30"/>
        <w:lang w:val="en-US" w:eastAsia="zh-CN" w:bidi="ar-SA"/>
      </w:rPr>
    </w:lvl>
    <w:lvl w:ilvl="1" w:tentative="0">
      <w:start w:val="0"/>
      <w:numFmt w:val="bullet"/>
      <w:lvlText w:val="•"/>
      <w:lvlJc w:val="left"/>
      <w:pPr>
        <w:ind w:left="1000" w:hanging="800"/>
      </w:pPr>
      <w:rPr>
        <w:rFonts w:hint="default"/>
        <w:lang w:val="en-US" w:eastAsia="zh-CN" w:bidi="ar-SA"/>
      </w:rPr>
    </w:lvl>
    <w:lvl w:ilvl="2" w:tentative="0">
      <w:start w:val="0"/>
      <w:numFmt w:val="bullet"/>
      <w:lvlText w:val="•"/>
      <w:lvlJc w:val="left"/>
      <w:pPr>
        <w:ind w:left="1901" w:hanging="800"/>
      </w:pPr>
      <w:rPr>
        <w:rFonts w:hint="default"/>
        <w:lang w:val="en-US" w:eastAsia="zh-CN" w:bidi="ar-SA"/>
      </w:rPr>
    </w:lvl>
    <w:lvl w:ilvl="3" w:tentative="0">
      <w:start w:val="0"/>
      <w:numFmt w:val="bullet"/>
      <w:lvlText w:val="•"/>
      <w:lvlJc w:val="left"/>
      <w:pPr>
        <w:ind w:left="2801" w:hanging="800"/>
      </w:pPr>
      <w:rPr>
        <w:rFonts w:hint="default"/>
        <w:lang w:val="en-US" w:eastAsia="zh-CN" w:bidi="ar-SA"/>
      </w:rPr>
    </w:lvl>
    <w:lvl w:ilvl="4" w:tentative="0">
      <w:start w:val="0"/>
      <w:numFmt w:val="bullet"/>
      <w:lvlText w:val="•"/>
      <w:lvlJc w:val="left"/>
      <w:pPr>
        <w:ind w:left="3702" w:hanging="800"/>
      </w:pPr>
      <w:rPr>
        <w:rFonts w:hint="default"/>
        <w:lang w:val="en-US" w:eastAsia="zh-CN" w:bidi="ar-SA"/>
      </w:rPr>
    </w:lvl>
    <w:lvl w:ilvl="5" w:tentative="0">
      <w:start w:val="0"/>
      <w:numFmt w:val="bullet"/>
      <w:lvlText w:val="•"/>
      <w:lvlJc w:val="left"/>
      <w:pPr>
        <w:ind w:left="4603" w:hanging="800"/>
      </w:pPr>
      <w:rPr>
        <w:rFonts w:hint="default"/>
        <w:lang w:val="en-US" w:eastAsia="zh-CN" w:bidi="ar-SA"/>
      </w:rPr>
    </w:lvl>
    <w:lvl w:ilvl="6" w:tentative="0">
      <w:start w:val="0"/>
      <w:numFmt w:val="bullet"/>
      <w:lvlText w:val="•"/>
      <w:lvlJc w:val="left"/>
      <w:pPr>
        <w:ind w:left="5503" w:hanging="800"/>
      </w:pPr>
      <w:rPr>
        <w:rFonts w:hint="default"/>
        <w:lang w:val="en-US" w:eastAsia="zh-CN" w:bidi="ar-SA"/>
      </w:rPr>
    </w:lvl>
    <w:lvl w:ilvl="7" w:tentative="0">
      <w:start w:val="0"/>
      <w:numFmt w:val="bullet"/>
      <w:lvlText w:val="•"/>
      <w:lvlJc w:val="left"/>
      <w:pPr>
        <w:ind w:left="6404" w:hanging="800"/>
      </w:pPr>
      <w:rPr>
        <w:rFonts w:hint="default"/>
        <w:lang w:val="en-US" w:eastAsia="zh-CN" w:bidi="ar-SA"/>
      </w:rPr>
    </w:lvl>
    <w:lvl w:ilvl="8" w:tentative="0">
      <w:start w:val="0"/>
      <w:numFmt w:val="bullet"/>
      <w:lvlText w:val="•"/>
      <w:lvlJc w:val="left"/>
      <w:pPr>
        <w:ind w:left="7304" w:hanging="800"/>
      </w:pPr>
      <w:rPr>
        <w:rFonts w:hint="default"/>
        <w:lang w:val="en-US" w:eastAsia="zh-CN" w:bidi="ar-SA"/>
      </w:rPr>
    </w:lvl>
  </w:abstractNum>
  <w:abstractNum w:abstractNumId="11">
    <w:nsid w:val="5A241D34"/>
    <w:multiLevelType w:val="multilevel"/>
    <w:tmpl w:val="5A241D34"/>
    <w:lvl w:ilvl="0" w:tentative="0">
      <w:start w:val="1"/>
      <w:numFmt w:val="decimal"/>
      <w:lvlText w:val="（%1）"/>
      <w:lvlJc w:val="left"/>
      <w:pPr>
        <w:ind w:left="106" w:hanging="800"/>
        <w:jc w:val="left"/>
      </w:pPr>
      <w:rPr>
        <w:rFonts w:hint="default" w:ascii="宋体" w:hAnsi="宋体" w:eastAsia="宋体" w:cs="宋体"/>
        <w:b w:val="0"/>
        <w:bCs w:val="0"/>
        <w:i w:val="0"/>
        <w:iCs w:val="0"/>
        <w:spacing w:val="-67"/>
        <w:w w:val="99"/>
        <w:sz w:val="30"/>
        <w:szCs w:val="30"/>
        <w:lang w:val="en-US" w:eastAsia="zh-CN" w:bidi="ar-SA"/>
      </w:rPr>
    </w:lvl>
    <w:lvl w:ilvl="1" w:tentative="0">
      <w:start w:val="0"/>
      <w:numFmt w:val="bullet"/>
      <w:lvlText w:val="•"/>
      <w:lvlJc w:val="left"/>
      <w:pPr>
        <w:ind w:left="1000" w:hanging="800"/>
      </w:pPr>
      <w:rPr>
        <w:rFonts w:hint="default"/>
        <w:lang w:val="en-US" w:eastAsia="zh-CN" w:bidi="ar-SA"/>
      </w:rPr>
    </w:lvl>
    <w:lvl w:ilvl="2" w:tentative="0">
      <w:start w:val="0"/>
      <w:numFmt w:val="bullet"/>
      <w:lvlText w:val="•"/>
      <w:lvlJc w:val="left"/>
      <w:pPr>
        <w:ind w:left="1901" w:hanging="800"/>
      </w:pPr>
      <w:rPr>
        <w:rFonts w:hint="default"/>
        <w:lang w:val="en-US" w:eastAsia="zh-CN" w:bidi="ar-SA"/>
      </w:rPr>
    </w:lvl>
    <w:lvl w:ilvl="3" w:tentative="0">
      <w:start w:val="0"/>
      <w:numFmt w:val="bullet"/>
      <w:lvlText w:val="•"/>
      <w:lvlJc w:val="left"/>
      <w:pPr>
        <w:ind w:left="2801" w:hanging="800"/>
      </w:pPr>
      <w:rPr>
        <w:rFonts w:hint="default"/>
        <w:lang w:val="en-US" w:eastAsia="zh-CN" w:bidi="ar-SA"/>
      </w:rPr>
    </w:lvl>
    <w:lvl w:ilvl="4" w:tentative="0">
      <w:start w:val="0"/>
      <w:numFmt w:val="bullet"/>
      <w:lvlText w:val="•"/>
      <w:lvlJc w:val="left"/>
      <w:pPr>
        <w:ind w:left="3702" w:hanging="800"/>
      </w:pPr>
      <w:rPr>
        <w:rFonts w:hint="default"/>
        <w:lang w:val="en-US" w:eastAsia="zh-CN" w:bidi="ar-SA"/>
      </w:rPr>
    </w:lvl>
    <w:lvl w:ilvl="5" w:tentative="0">
      <w:start w:val="0"/>
      <w:numFmt w:val="bullet"/>
      <w:lvlText w:val="•"/>
      <w:lvlJc w:val="left"/>
      <w:pPr>
        <w:ind w:left="4603" w:hanging="800"/>
      </w:pPr>
      <w:rPr>
        <w:rFonts w:hint="default"/>
        <w:lang w:val="en-US" w:eastAsia="zh-CN" w:bidi="ar-SA"/>
      </w:rPr>
    </w:lvl>
    <w:lvl w:ilvl="6" w:tentative="0">
      <w:start w:val="0"/>
      <w:numFmt w:val="bullet"/>
      <w:lvlText w:val="•"/>
      <w:lvlJc w:val="left"/>
      <w:pPr>
        <w:ind w:left="5503" w:hanging="800"/>
      </w:pPr>
      <w:rPr>
        <w:rFonts w:hint="default"/>
        <w:lang w:val="en-US" w:eastAsia="zh-CN" w:bidi="ar-SA"/>
      </w:rPr>
    </w:lvl>
    <w:lvl w:ilvl="7" w:tentative="0">
      <w:start w:val="0"/>
      <w:numFmt w:val="bullet"/>
      <w:lvlText w:val="•"/>
      <w:lvlJc w:val="left"/>
      <w:pPr>
        <w:ind w:left="6404" w:hanging="800"/>
      </w:pPr>
      <w:rPr>
        <w:rFonts w:hint="default"/>
        <w:lang w:val="en-US" w:eastAsia="zh-CN" w:bidi="ar-SA"/>
      </w:rPr>
    </w:lvl>
    <w:lvl w:ilvl="8" w:tentative="0">
      <w:start w:val="0"/>
      <w:numFmt w:val="bullet"/>
      <w:lvlText w:val="•"/>
      <w:lvlJc w:val="left"/>
      <w:pPr>
        <w:ind w:left="7304" w:hanging="800"/>
      </w:pPr>
      <w:rPr>
        <w:rFonts w:hint="default"/>
        <w:lang w:val="en-US" w:eastAsia="zh-CN" w:bidi="ar-SA"/>
      </w:rPr>
    </w:lvl>
  </w:abstractNum>
  <w:abstractNum w:abstractNumId="12">
    <w:nsid w:val="72183CF9"/>
    <w:multiLevelType w:val="multilevel"/>
    <w:tmpl w:val="72183CF9"/>
    <w:lvl w:ilvl="0" w:tentative="0">
      <w:start w:val="1"/>
      <w:numFmt w:val="decimal"/>
      <w:lvlText w:val="（%1）"/>
      <w:lvlJc w:val="left"/>
      <w:pPr>
        <w:ind w:left="106" w:hanging="800"/>
        <w:jc w:val="left"/>
      </w:pPr>
      <w:rPr>
        <w:rFonts w:hint="default" w:ascii="宋体" w:hAnsi="宋体" w:eastAsia="宋体" w:cs="宋体"/>
        <w:b w:val="0"/>
        <w:bCs w:val="0"/>
        <w:i w:val="0"/>
        <w:iCs w:val="0"/>
        <w:spacing w:val="-34"/>
        <w:w w:val="99"/>
        <w:sz w:val="30"/>
        <w:szCs w:val="30"/>
        <w:lang w:val="en-US" w:eastAsia="zh-CN" w:bidi="ar-SA"/>
      </w:rPr>
    </w:lvl>
    <w:lvl w:ilvl="1" w:tentative="0">
      <w:start w:val="0"/>
      <w:numFmt w:val="bullet"/>
      <w:lvlText w:val="•"/>
      <w:lvlJc w:val="left"/>
      <w:pPr>
        <w:ind w:left="1000" w:hanging="800"/>
      </w:pPr>
      <w:rPr>
        <w:rFonts w:hint="default"/>
        <w:lang w:val="en-US" w:eastAsia="zh-CN" w:bidi="ar-SA"/>
      </w:rPr>
    </w:lvl>
    <w:lvl w:ilvl="2" w:tentative="0">
      <w:start w:val="0"/>
      <w:numFmt w:val="bullet"/>
      <w:lvlText w:val="•"/>
      <w:lvlJc w:val="left"/>
      <w:pPr>
        <w:ind w:left="1901" w:hanging="800"/>
      </w:pPr>
      <w:rPr>
        <w:rFonts w:hint="default"/>
        <w:lang w:val="en-US" w:eastAsia="zh-CN" w:bidi="ar-SA"/>
      </w:rPr>
    </w:lvl>
    <w:lvl w:ilvl="3" w:tentative="0">
      <w:start w:val="0"/>
      <w:numFmt w:val="bullet"/>
      <w:lvlText w:val="•"/>
      <w:lvlJc w:val="left"/>
      <w:pPr>
        <w:ind w:left="2801" w:hanging="800"/>
      </w:pPr>
      <w:rPr>
        <w:rFonts w:hint="default"/>
        <w:lang w:val="en-US" w:eastAsia="zh-CN" w:bidi="ar-SA"/>
      </w:rPr>
    </w:lvl>
    <w:lvl w:ilvl="4" w:tentative="0">
      <w:start w:val="0"/>
      <w:numFmt w:val="bullet"/>
      <w:lvlText w:val="•"/>
      <w:lvlJc w:val="left"/>
      <w:pPr>
        <w:ind w:left="3702" w:hanging="800"/>
      </w:pPr>
      <w:rPr>
        <w:rFonts w:hint="default"/>
        <w:lang w:val="en-US" w:eastAsia="zh-CN" w:bidi="ar-SA"/>
      </w:rPr>
    </w:lvl>
    <w:lvl w:ilvl="5" w:tentative="0">
      <w:start w:val="0"/>
      <w:numFmt w:val="bullet"/>
      <w:lvlText w:val="•"/>
      <w:lvlJc w:val="left"/>
      <w:pPr>
        <w:ind w:left="4603" w:hanging="800"/>
      </w:pPr>
      <w:rPr>
        <w:rFonts w:hint="default"/>
        <w:lang w:val="en-US" w:eastAsia="zh-CN" w:bidi="ar-SA"/>
      </w:rPr>
    </w:lvl>
    <w:lvl w:ilvl="6" w:tentative="0">
      <w:start w:val="0"/>
      <w:numFmt w:val="bullet"/>
      <w:lvlText w:val="•"/>
      <w:lvlJc w:val="left"/>
      <w:pPr>
        <w:ind w:left="5503" w:hanging="800"/>
      </w:pPr>
      <w:rPr>
        <w:rFonts w:hint="default"/>
        <w:lang w:val="en-US" w:eastAsia="zh-CN" w:bidi="ar-SA"/>
      </w:rPr>
    </w:lvl>
    <w:lvl w:ilvl="7" w:tentative="0">
      <w:start w:val="0"/>
      <w:numFmt w:val="bullet"/>
      <w:lvlText w:val="•"/>
      <w:lvlJc w:val="left"/>
      <w:pPr>
        <w:ind w:left="6404" w:hanging="800"/>
      </w:pPr>
      <w:rPr>
        <w:rFonts w:hint="default"/>
        <w:lang w:val="en-US" w:eastAsia="zh-CN" w:bidi="ar-SA"/>
      </w:rPr>
    </w:lvl>
    <w:lvl w:ilvl="8" w:tentative="0">
      <w:start w:val="0"/>
      <w:numFmt w:val="bullet"/>
      <w:lvlText w:val="•"/>
      <w:lvlJc w:val="left"/>
      <w:pPr>
        <w:ind w:left="7304" w:hanging="800"/>
      </w:pPr>
      <w:rPr>
        <w:rFonts w:hint="default"/>
        <w:lang w:val="en-US" w:eastAsia="zh-CN" w:bidi="ar-SA"/>
      </w:rPr>
    </w:lvl>
  </w:abstractNum>
  <w:num w:numId="1">
    <w:abstractNumId w:val="5"/>
  </w:num>
  <w:num w:numId="2">
    <w:abstractNumId w:val="4"/>
  </w:num>
  <w:num w:numId="3">
    <w:abstractNumId w:val="10"/>
  </w:num>
  <w:num w:numId="4">
    <w:abstractNumId w:val="2"/>
  </w:num>
  <w:num w:numId="5">
    <w:abstractNumId w:val="1"/>
  </w:num>
  <w:num w:numId="6">
    <w:abstractNumId w:val="7"/>
  </w:num>
  <w:num w:numId="7">
    <w:abstractNumId w:val="8"/>
  </w:num>
  <w:num w:numId="8">
    <w:abstractNumId w:val="12"/>
  </w:num>
  <w:num w:numId="9">
    <w:abstractNumId w:val="6"/>
  </w:num>
  <w:num w:numId="10">
    <w:abstractNumId w:val="0"/>
  </w:num>
  <w:num w:numId="11">
    <w:abstractNumId w:val="9"/>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evenAndOddHeaders w:val="1"/>
  <w:drawingGridHorizontalSpacing w:val="110"/>
  <w:displayHorizontalDrawingGridEvery w:val="2"/>
  <w:characterSpacingControl w:val="doNotCompress"/>
  <w:footnotePr>
    <w:footnote w:id="0"/>
    <w:footnote w:id="1"/>
  </w:footnotePr>
  <w:endnotePr>
    <w:endnote w:id="0"/>
    <w:endnote w:id="1"/>
  </w:endnotePr>
  <w:compat>
    <w:ulTrailSpace/>
    <w:shapeLayoutLikeWW8/>
    <w:useFELayout/>
    <w:compatSetting w:name="compatibilityMode" w:uri="http://schemas.microsoft.com/office/word" w:val="14"/>
  </w:compat>
  <w:rsids>
    <w:rsidRoot w:val="00000000"/>
    <w:rsid w:val="46AD642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paragraph" w:styleId="2">
    <w:name w:val="heading 1"/>
    <w:basedOn w:val="1"/>
    <w:qFormat/>
    <w:uiPriority w:val="1"/>
    <w:pPr>
      <w:ind w:left="747"/>
      <w:outlineLvl w:val="1"/>
    </w:pPr>
    <w:rPr>
      <w:rFonts w:ascii="Microsoft JhengHei" w:hAnsi="Microsoft JhengHei" w:eastAsia="Microsoft JhengHei" w:cs="Microsoft JhengHei"/>
      <w:b/>
      <w:bCs/>
      <w:sz w:val="32"/>
      <w:szCs w:val="32"/>
      <w:lang w:val="en-US" w:eastAsia="zh-CN" w:bidi="ar-SA"/>
    </w:rPr>
  </w:style>
  <w:style w:type="character" w:default="1" w:styleId="6">
    <w:name w:val="Default Paragraph Font"/>
    <w:semiHidden/>
    <w:unhideWhenUsed/>
    <w:uiPriority w:val="1"/>
  </w:style>
  <w:style w:type="table" w:default="1" w:styleId="5">
    <w:name w:val="Normal Table"/>
    <w:semiHidden/>
    <w:uiPriority w:val="0"/>
    <w:tblPr>
      <w:tblCellMar>
        <w:top w:w="0" w:type="dxa"/>
        <w:left w:w="108" w:type="dxa"/>
        <w:bottom w:w="0" w:type="dxa"/>
        <w:right w:w="108" w:type="dxa"/>
      </w:tblCellMar>
    </w:tblPr>
  </w:style>
  <w:style w:type="paragraph" w:styleId="3">
    <w:name w:val="Body Text"/>
    <w:basedOn w:val="1"/>
    <w:qFormat/>
    <w:uiPriority w:val="1"/>
    <w:pPr>
      <w:ind w:left="106"/>
    </w:pPr>
    <w:rPr>
      <w:rFonts w:ascii="宋体" w:hAnsi="宋体" w:eastAsia="宋体" w:cs="宋体"/>
      <w:sz w:val="32"/>
      <w:szCs w:val="32"/>
      <w:lang w:val="en-US" w:eastAsia="zh-CN" w:bidi="ar-SA"/>
    </w:rPr>
  </w:style>
  <w:style w:type="paragraph" w:styleId="4">
    <w:name w:val="Title"/>
    <w:basedOn w:val="1"/>
    <w:qFormat/>
    <w:uiPriority w:val="1"/>
    <w:pPr>
      <w:spacing w:before="1"/>
      <w:ind w:right="157"/>
      <w:jc w:val="center"/>
    </w:pPr>
    <w:rPr>
      <w:rFonts w:ascii="宋体" w:hAnsi="宋体" w:eastAsia="宋体" w:cs="宋体"/>
      <w:sz w:val="40"/>
      <w:szCs w:val="40"/>
      <w:lang w:val="en-US" w:eastAsia="zh-CN" w:bidi="ar-SA"/>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ind w:left="106" w:firstLine="640"/>
    </w:pPr>
    <w:rPr>
      <w:rFonts w:ascii="宋体" w:hAnsi="宋体" w:eastAsia="宋体" w:cs="宋体"/>
      <w:lang w:val="en-US" w:eastAsia="zh-CN" w:bidi="ar-SA"/>
    </w:rPr>
  </w:style>
  <w:style w:type="paragraph" w:customStyle="1" w:styleId="9">
    <w:name w:val="Table Paragraph"/>
    <w:basedOn w:val="1"/>
    <w:qFormat/>
    <w:uiPriority w:val="1"/>
    <w:rPr>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jpeg"/><Relationship Id="rId15" Type="http://schemas.openxmlformats.org/officeDocument/2006/relationships/image" Target="media/image6.png"/><Relationship Id="rId14" Type="http://schemas.openxmlformats.org/officeDocument/2006/relationships/image" Target="media/image5.jpe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26</Pages>
  <Words>7284</Words>
  <Characters>7805</Characters>
  <TotalTime>0</TotalTime>
  <ScaleCrop>false</ScaleCrop>
  <LinksUpToDate>false</LinksUpToDate>
  <CharactersWithSpaces>8072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2026-10-13T08:31:00Z</dcterms:created>
  <dc:creator>微软用户</dc:creator>
  <cp:lastModifiedBy>丽丽</cp:lastModifiedBy>
  <dcterms:modified xsi:type="dcterms:W3CDTF">2026-10-13T08:32:14Z</dcterms:modified>
  <dc:title>市财政局关于下达2010年市直部门预算的通知</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WPS 文字</vt:lpwstr>
  </property>
  <property fmtid="{D5CDD505-2E9C-101B-9397-08002B2CF9AE}" pid="4" name="LastSaved">
    <vt:filetime>2026-10-13T00:00:00Z</vt:filetime>
  </property>
  <property fmtid="{D5CDD505-2E9C-101B-9397-08002B2CF9AE}" pid="5" name="SourceModified">
    <vt:lpwstr>D:20250227154149+08'00'</vt:lpwstr>
  </property>
  <property fmtid="{D5CDD505-2E9C-101B-9397-08002B2CF9AE}" pid="6" name="KSOTemplateDocerSaveRecord">
    <vt:lpwstr>eyJoZGlkIjoiMzYyYWJlNGVjOTlhNWNkZDc5OTVlMTI3YjViMTA1NjMiLCJ1c2VySWQiOiI5NDU5NTAwMTgifQ==</vt:lpwstr>
  </property>
  <property fmtid="{D5CDD505-2E9C-101B-9397-08002B2CF9AE}" pid="7" name="KSOProductBuildVer">
    <vt:lpwstr>2052-12.1.0.28505</vt:lpwstr>
  </property>
  <property fmtid="{D5CDD505-2E9C-101B-9397-08002B2CF9AE}" pid="8" name="ICV">
    <vt:lpwstr>3353981FD6754B88A08F21C6AD7D4752_13</vt:lpwstr>
  </property>
</Properties>
</file>