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大标宋简体" w:cs="Times New Roman"/>
          <w:color w:val="auto"/>
          <w:spacing w:val="0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大标宋简体" w:cs="Times New Roman"/>
          <w:color w:val="auto"/>
          <w:spacing w:val="0"/>
          <w:sz w:val="40"/>
          <w:szCs w:val="40"/>
          <w:highlight w:val="none"/>
        </w:rPr>
        <w:t>20</w:t>
      </w:r>
      <w:r>
        <w:rPr>
          <w:rFonts w:hint="default" w:ascii="Times New Roman" w:hAnsi="Times New Roman" w:eastAsia="方正大标宋简体" w:cs="Times New Roman"/>
          <w:color w:val="auto"/>
          <w:spacing w:val="0"/>
          <w:sz w:val="40"/>
          <w:szCs w:val="40"/>
          <w:highlight w:val="none"/>
          <w:lang w:val="en-US" w:eastAsia="zh-CN"/>
        </w:rPr>
        <w:t>2</w:t>
      </w:r>
      <w:r>
        <w:rPr>
          <w:rFonts w:hint="eastAsia" w:eastAsia="方正大标宋简体" w:cs="Times New Roman"/>
          <w:color w:val="auto"/>
          <w:spacing w:val="0"/>
          <w:sz w:val="40"/>
          <w:szCs w:val="40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大标宋简体" w:cs="Times New Roman"/>
          <w:color w:val="auto"/>
          <w:spacing w:val="0"/>
          <w:sz w:val="40"/>
          <w:szCs w:val="40"/>
          <w:highlight w:val="none"/>
        </w:rPr>
        <w:t>年高新区预算调整方案</w:t>
      </w:r>
      <w:r>
        <w:rPr>
          <w:rFonts w:hint="default" w:ascii="Times New Roman" w:hAnsi="Times New Roman" w:eastAsia="方正大标宋简体" w:cs="Times New Roman"/>
          <w:color w:val="auto"/>
          <w:spacing w:val="0"/>
          <w:sz w:val="40"/>
          <w:szCs w:val="40"/>
          <w:highlight w:val="none"/>
          <w:lang w:val="en-US" w:eastAsia="zh-CN"/>
        </w:rPr>
        <w:t>及草案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</w:rPr>
        <w:t>一、一般公共预算调整情况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根据有关变化情况，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级一般公共预算总收入由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76380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万元调整为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83413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万元，调增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7033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万元，同时，一般公共预算总支出由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76380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万元调整为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83413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万元，调增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7033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万元，收支平衡。调整的主要项目是：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楷体_GB2312" w:hAnsi="楷体_GB2312" w:eastAsia="楷体_GB2312" w:cs="楷体_GB2312"/>
          <w:b/>
          <w:color w:val="auto"/>
          <w:spacing w:val="0"/>
          <w:sz w:val="32"/>
          <w:szCs w:val="32"/>
          <w:highlight w:val="none"/>
        </w:rPr>
        <w:t>收入调整情况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根据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非税收入中一次性收入实际入库情况，调增非税收入772万元；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根据转移支付实际到位情况，调增转移性收入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6261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万元。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上述调增收入共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7033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b/>
          <w:color w:val="auto"/>
          <w:spacing w:val="0"/>
          <w:sz w:val="32"/>
          <w:szCs w:val="32"/>
          <w:highlight w:val="none"/>
        </w:rPr>
        <w:t>支出调整情况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3" w:firstLineChars="200"/>
        <w:textAlignment w:val="auto"/>
        <w:rPr>
          <w:rFonts w:hint="default" w:eastAsia="楷体_GB231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sz w:val="32"/>
          <w:szCs w:val="32"/>
          <w:highlight w:val="none"/>
          <w:lang w:val="en-US" w:eastAsia="zh-CN"/>
        </w:rPr>
        <w:t>1、调增情况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根据中央、省转移支付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实际到位和支出进度情况，需调增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一般公共预算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支出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8143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因淅河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划转，做实学校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教师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职业年金及运营前后利息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调增预算1393万元；三是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支付202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-202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年两年的城乡居民养老保险配套资金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调增预算1586万元；四是非税相关支出调增772万元。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3" w:firstLineChars="200"/>
        <w:jc w:val="both"/>
        <w:textAlignment w:val="auto"/>
        <w:rPr>
          <w:rFonts w:hint="eastAsia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2、调减情况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一是调减兑现企业奖励资金1861万元；二是调减实施养老保险计划3000万元。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上述调增支出共</w:t>
      </w:r>
      <w:r>
        <w:rPr>
          <w:rFonts w:hint="eastAsia"/>
          <w:highlight w:val="none"/>
          <w:lang w:val="en-US" w:eastAsia="zh-CN"/>
        </w:rPr>
        <w:t>11894</w:t>
      </w:r>
      <w:r>
        <w:rPr>
          <w:rFonts w:hint="eastAsia"/>
          <w:highlight w:val="none"/>
        </w:rPr>
        <w:t>万元，调减支出共</w:t>
      </w:r>
      <w:r>
        <w:rPr>
          <w:rFonts w:hint="eastAsia"/>
          <w:highlight w:val="none"/>
          <w:lang w:val="en-US" w:eastAsia="zh-CN"/>
        </w:rPr>
        <w:t>4861</w:t>
      </w:r>
      <w:r>
        <w:rPr>
          <w:rFonts w:hint="eastAsia"/>
          <w:highlight w:val="none"/>
        </w:rPr>
        <w:t>万元，增减相抵后支出共增加</w:t>
      </w:r>
      <w:r>
        <w:rPr>
          <w:rFonts w:hint="eastAsia"/>
          <w:highlight w:val="none"/>
          <w:lang w:val="en-US" w:eastAsia="zh-CN"/>
        </w:rPr>
        <w:t>7033</w:t>
      </w:r>
      <w:r>
        <w:rPr>
          <w:rFonts w:hint="eastAsia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sz w:val="32"/>
          <w:szCs w:val="32"/>
          <w:highlight w:val="none"/>
        </w:rPr>
        <w:t>（三）科目之间调整情况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年初预留的正常增人增资根据实际发生情况拨付到各预算单位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；二是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经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管委会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批准动用预备费用于部分不可预见性支出拨付到各预算单位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。两项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合计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1735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万元，均需在相应支出科目之间进行调整。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  <w:highlight w:val="none"/>
        </w:rPr>
        <w:t>根据以上调整因素，分类支出调整情况为：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一般公共服务支出调增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317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主要是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增加产业新区工作委员会增人增资支出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公共安全支出调减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16万元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（主要是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淅河镇划转后调减部分支出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教育支出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调减2219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主要是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调整用于支付教师职业年金做实，调整到社会保障和就业支出科目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科学技术支出调增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127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万元（主要是上级专款增加），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文化和旅游支出调增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万元（主要是上级专款增加），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社会保障和就业支出调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增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4518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主要是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做实教师职业年金、负担2023-2024年两年城乡居民养老保险配套资金和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上级专款增加）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，卫生健康支出调增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32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主要是上级专款增加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节能环保支出调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增699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万元（主要是上级专款增加），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城乡社区支出调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增3810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（主要是上级专款增加，非税收入安排的园区建设及化债资金增加）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农林水支出调增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685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主要是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上级专款的增加）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交通运输支出调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减364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万元（主要是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一般债还本付息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支出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调整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到对应科目），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资源勘探信息等事务支出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调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减2038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万元（主要是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调减招商引资政策兑现资金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），金融支出增加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万元（主要是预备费安排调整到对应科目），自然资源海洋气象等支出调增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1325万元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（主要是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自规中心预计使用以前年度结余资金和增人增资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住房保障支出调增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29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主要是上级专款增加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，灾害防治及应急管理支出调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减25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（主要是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淅河镇划转调减部分支出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预备费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</w:rPr>
        <w:t>调减</w:t>
      </w:r>
      <w:r>
        <w:rPr>
          <w:rFonts w:hint="eastAsia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735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根据具体用途调整到相应支出科目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</w:rPr>
        <w:t>，其他支出调减</w:t>
      </w:r>
      <w:r>
        <w:rPr>
          <w:rFonts w:hint="eastAsia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主要是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年初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预留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根据具体用途调整到相应支出科目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债务还本支出调增1256万元（</w:t>
      </w:r>
      <w:r>
        <w:rPr>
          <w:rFonts w:hint="eastAsia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据实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调整到相应支出科目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cs="Times New Roman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债务付息支出调增361万元（</w:t>
      </w:r>
      <w:r>
        <w:rPr>
          <w:rFonts w:hint="eastAsia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据实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调整到相应支出科目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color w:val="auto"/>
          <w:spacing w:val="0"/>
          <w:sz w:val="32"/>
          <w:szCs w:val="32"/>
          <w:highlight w:val="none"/>
        </w:rPr>
        <w:t>二、政府性基金预算调整情况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根据有关变化情况，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级政府性基金预算总收入由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50032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万元调整为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44153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万元，调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减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5879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万元，同时，政府性基金预算总支出由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50032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万元调整为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44153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万元，调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减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5879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万元，收支平衡。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楷体_GB2312" w:hAnsi="楷体_GB2312" w:eastAsia="楷体_GB2312" w:cs="楷体_GB2312"/>
          <w:b/>
          <w:color w:val="auto"/>
          <w:spacing w:val="0"/>
          <w:sz w:val="32"/>
          <w:szCs w:val="32"/>
          <w:highlight w:val="none"/>
        </w:rPr>
        <w:t>收入调整情况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3" w:firstLineChars="200"/>
        <w:textAlignment w:val="auto"/>
        <w:rPr>
          <w:rFonts w:hint="default"/>
          <w:highlight w:val="none"/>
        </w:rPr>
      </w:pPr>
      <w:r>
        <w:rPr>
          <w:rFonts w:hint="eastAsia"/>
          <w:b/>
          <w:bCs/>
          <w:highlight w:val="none"/>
          <w:lang w:val="en-US" w:eastAsia="zh-CN"/>
        </w:rPr>
        <w:t>1、调增情况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根据中央、省拨政府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性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基金专款情况，调增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政府性基金转移支付收入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1366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3" w:firstLineChars="200"/>
        <w:jc w:val="both"/>
        <w:textAlignment w:val="auto"/>
        <w:rPr>
          <w:rFonts w:hint="eastAsia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2、调减情况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受经济下行影响，国有土地使用权出让减少，调减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国有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土地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使用权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出让收入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7245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default"/>
          <w:highlight w:val="none"/>
          <w:lang w:val="en-US" w:eastAsia="zh-CN"/>
        </w:rPr>
        <w:t>上述</w:t>
      </w:r>
      <w:r>
        <w:rPr>
          <w:rFonts w:hint="eastAsia"/>
          <w:highlight w:val="none"/>
          <w:lang w:val="en-US" w:eastAsia="zh-CN"/>
        </w:rPr>
        <w:t>收入</w:t>
      </w:r>
      <w:r>
        <w:rPr>
          <w:rFonts w:hint="default"/>
          <w:highlight w:val="none"/>
          <w:lang w:val="en-US" w:eastAsia="zh-CN"/>
        </w:rPr>
        <w:t>调增</w:t>
      </w:r>
      <w:r>
        <w:rPr>
          <w:rFonts w:hint="eastAsia"/>
          <w:highlight w:val="none"/>
          <w:lang w:val="en-US" w:eastAsia="zh-CN"/>
        </w:rPr>
        <w:t>、</w:t>
      </w:r>
      <w:r>
        <w:rPr>
          <w:rFonts w:hint="default"/>
          <w:highlight w:val="none"/>
          <w:lang w:val="en-US" w:eastAsia="zh-CN"/>
        </w:rPr>
        <w:t>调减相抵后收入共</w:t>
      </w:r>
      <w:r>
        <w:rPr>
          <w:rFonts w:hint="eastAsia"/>
          <w:highlight w:val="none"/>
          <w:lang w:val="en-US" w:eastAsia="zh-CN"/>
        </w:rPr>
        <w:t>调减5879</w:t>
      </w:r>
      <w:r>
        <w:rPr>
          <w:rFonts w:hint="default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3" w:firstLineChars="200"/>
        <w:jc w:val="both"/>
        <w:textAlignment w:val="auto"/>
        <w:rPr>
          <w:rFonts w:hint="default" w:ascii="楷体_GB2312" w:hAnsi="楷体_GB2312" w:eastAsia="楷体_GB2312" w:cs="楷体_GB2312"/>
          <w:b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_GB2312" w:hAnsi="楷体_GB2312" w:eastAsia="楷体_GB2312" w:cs="楷体_GB2312"/>
          <w:b/>
          <w:color w:val="auto"/>
          <w:spacing w:val="0"/>
          <w:sz w:val="32"/>
          <w:szCs w:val="32"/>
          <w:highlight w:val="none"/>
          <w:lang w:eastAsia="zh-CN"/>
        </w:rPr>
        <w:t>支出调整情况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调减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地方政府性基金支出1840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；二是调减从政府性基金预算调出资金4039万元。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上述调减支出共5879万元。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  <w:highlight w:val="none"/>
        </w:rPr>
        <w:t>根据以上调整因素，分类支出调整为</w:t>
      </w:r>
      <w:r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cs="Times New Roman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社会保障和就业支出调增98万元（为上年结余安排的支出），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城乡社区支出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</w:rPr>
        <w:t>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减</w:t>
      </w:r>
      <w:r>
        <w:rPr>
          <w:rFonts w:hint="eastAsia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2936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万元（主要是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调减土地出让收入安排的支出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及调增补助被征地农民支出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农林水支出调增300万元（主要是上级专款增加），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eastAsia="zh-CN"/>
        </w:rPr>
        <w:t>其他支出调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增698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万元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（主要是上级专款增加），调出资金调减4039万元（主要减少调入一</w:t>
      </w:r>
      <w:bookmarkStart w:id="0" w:name="_GoBack"/>
      <w:bookmarkEnd w:id="0"/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般公共预算的资金）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附件：20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  <w:t>预算调整方案（草案）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</w:p>
    <w:sectPr>
      <w:footerReference r:id="rId3" w:type="default"/>
      <w:footerReference r:id="rId4" w:type="even"/>
      <w:pgSz w:w="11906" w:h="16838"/>
      <w:pgMar w:top="1984" w:right="1587" w:bottom="1814" w:left="1587" w:header="851" w:footer="1417" w:gutter="0"/>
      <w:pgNumType w:fmt="decimal"/>
      <w:cols w:space="0" w:num="1"/>
      <w:rtlGutter w:val="0"/>
      <w:docGrid w:type="line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-9.35pt;height:19.7pt;width:46.6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4"/>
                  <w:rPr>
                    <w:rFonts w:hint="default" w:ascii="Times New Roman" w:hAnsi="Times New Roman" w:eastAsia="仿宋_GB2312" w:cs="Times New Roman"/>
                    <w:sz w:val="24"/>
                    <w:szCs w:val="24"/>
                    <w:lang w:val="en-US"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eastAsia="zh-CN"/>
                  </w:rPr>
                  <w:t>—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NotTrackMoves/>
  <w:documentProtection w:enforcement="0"/>
  <w:defaultTabStop w:val="420"/>
  <w:drawingGridVerticalSpacing w:val="31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MDI0Mzg1NmNlYTVkZDg1MTEwZWI2NzY0Zjg4NzUifQ=="/>
    <w:docVar w:name="KSO_WPS_MARK_KEY" w:val="1b433b29-1b6e-4dc8-a98a-e860ee345eea"/>
  </w:docVars>
  <w:rsids>
    <w:rsidRoot w:val="004B41E8"/>
    <w:rsid w:val="0000459E"/>
    <w:rsid w:val="00042F11"/>
    <w:rsid w:val="00046C8F"/>
    <w:rsid w:val="0007150C"/>
    <w:rsid w:val="0008004C"/>
    <w:rsid w:val="00082A9E"/>
    <w:rsid w:val="000A1111"/>
    <w:rsid w:val="000A26A8"/>
    <w:rsid w:val="000B2E72"/>
    <w:rsid w:val="0010548A"/>
    <w:rsid w:val="0011469F"/>
    <w:rsid w:val="00115E18"/>
    <w:rsid w:val="00117B61"/>
    <w:rsid w:val="00134B4B"/>
    <w:rsid w:val="00145944"/>
    <w:rsid w:val="00153F6E"/>
    <w:rsid w:val="00174352"/>
    <w:rsid w:val="00176F1E"/>
    <w:rsid w:val="00182BE0"/>
    <w:rsid w:val="001B1F90"/>
    <w:rsid w:val="001C511A"/>
    <w:rsid w:val="00217A6D"/>
    <w:rsid w:val="0023320F"/>
    <w:rsid w:val="00251AF4"/>
    <w:rsid w:val="00271FD6"/>
    <w:rsid w:val="00277DE8"/>
    <w:rsid w:val="002948BE"/>
    <w:rsid w:val="002B1701"/>
    <w:rsid w:val="002C710C"/>
    <w:rsid w:val="003247E0"/>
    <w:rsid w:val="00334E46"/>
    <w:rsid w:val="00341C40"/>
    <w:rsid w:val="00345B05"/>
    <w:rsid w:val="00362EC9"/>
    <w:rsid w:val="00377B05"/>
    <w:rsid w:val="00383F21"/>
    <w:rsid w:val="003B0986"/>
    <w:rsid w:val="004473F9"/>
    <w:rsid w:val="00493647"/>
    <w:rsid w:val="004A6C74"/>
    <w:rsid w:val="004B41E8"/>
    <w:rsid w:val="004C5C7F"/>
    <w:rsid w:val="004E39A9"/>
    <w:rsid w:val="004E5FE9"/>
    <w:rsid w:val="004F3905"/>
    <w:rsid w:val="0050377F"/>
    <w:rsid w:val="005124E7"/>
    <w:rsid w:val="0051346E"/>
    <w:rsid w:val="00551507"/>
    <w:rsid w:val="00551C68"/>
    <w:rsid w:val="00553660"/>
    <w:rsid w:val="005770E5"/>
    <w:rsid w:val="005806F5"/>
    <w:rsid w:val="00583054"/>
    <w:rsid w:val="005A5CF5"/>
    <w:rsid w:val="005D5EF6"/>
    <w:rsid w:val="005E6C8F"/>
    <w:rsid w:val="00610780"/>
    <w:rsid w:val="00611F73"/>
    <w:rsid w:val="0061529B"/>
    <w:rsid w:val="006245E7"/>
    <w:rsid w:val="00647F31"/>
    <w:rsid w:val="0065370B"/>
    <w:rsid w:val="006C7811"/>
    <w:rsid w:val="006D0357"/>
    <w:rsid w:val="006F2D28"/>
    <w:rsid w:val="00704970"/>
    <w:rsid w:val="00714483"/>
    <w:rsid w:val="00792875"/>
    <w:rsid w:val="007A01D1"/>
    <w:rsid w:val="007A0983"/>
    <w:rsid w:val="007D4BC7"/>
    <w:rsid w:val="00825960"/>
    <w:rsid w:val="008521DD"/>
    <w:rsid w:val="0086277E"/>
    <w:rsid w:val="00884889"/>
    <w:rsid w:val="00886700"/>
    <w:rsid w:val="008920F8"/>
    <w:rsid w:val="008927E0"/>
    <w:rsid w:val="008A4A05"/>
    <w:rsid w:val="008E240C"/>
    <w:rsid w:val="008F17B2"/>
    <w:rsid w:val="00902887"/>
    <w:rsid w:val="00903D97"/>
    <w:rsid w:val="0091672D"/>
    <w:rsid w:val="009202DE"/>
    <w:rsid w:val="0094492A"/>
    <w:rsid w:val="00950351"/>
    <w:rsid w:val="00954478"/>
    <w:rsid w:val="00967F6D"/>
    <w:rsid w:val="009703F4"/>
    <w:rsid w:val="00975A69"/>
    <w:rsid w:val="009856B9"/>
    <w:rsid w:val="009874A9"/>
    <w:rsid w:val="00992552"/>
    <w:rsid w:val="009B630F"/>
    <w:rsid w:val="009E3BA9"/>
    <w:rsid w:val="009E442A"/>
    <w:rsid w:val="00A01B1B"/>
    <w:rsid w:val="00A026F9"/>
    <w:rsid w:val="00A2750B"/>
    <w:rsid w:val="00A53FC2"/>
    <w:rsid w:val="00A70F5B"/>
    <w:rsid w:val="00A73556"/>
    <w:rsid w:val="00AA2569"/>
    <w:rsid w:val="00AA3A19"/>
    <w:rsid w:val="00AB5667"/>
    <w:rsid w:val="00AC1313"/>
    <w:rsid w:val="00B044DF"/>
    <w:rsid w:val="00B14401"/>
    <w:rsid w:val="00B5135F"/>
    <w:rsid w:val="00B7263C"/>
    <w:rsid w:val="00B842D0"/>
    <w:rsid w:val="00B93E51"/>
    <w:rsid w:val="00BE34A7"/>
    <w:rsid w:val="00BF473E"/>
    <w:rsid w:val="00C1304D"/>
    <w:rsid w:val="00C14161"/>
    <w:rsid w:val="00C27B1F"/>
    <w:rsid w:val="00C462D4"/>
    <w:rsid w:val="00C658F5"/>
    <w:rsid w:val="00C94319"/>
    <w:rsid w:val="00CA7A9A"/>
    <w:rsid w:val="00CD54FF"/>
    <w:rsid w:val="00CE0891"/>
    <w:rsid w:val="00CE1C45"/>
    <w:rsid w:val="00D06977"/>
    <w:rsid w:val="00D32070"/>
    <w:rsid w:val="00D35382"/>
    <w:rsid w:val="00D378FC"/>
    <w:rsid w:val="00D53DDD"/>
    <w:rsid w:val="00D61F48"/>
    <w:rsid w:val="00D969A3"/>
    <w:rsid w:val="00DA0F54"/>
    <w:rsid w:val="00DB2E1F"/>
    <w:rsid w:val="00DC2AC5"/>
    <w:rsid w:val="00DF1E5B"/>
    <w:rsid w:val="00E013FF"/>
    <w:rsid w:val="00E03A8A"/>
    <w:rsid w:val="00E04AEC"/>
    <w:rsid w:val="00E65CEE"/>
    <w:rsid w:val="00ED2CD8"/>
    <w:rsid w:val="00EE22B9"/>
    <w:rsid w:val="00EE6B51"/>
    <w:rsid w:val="00F02D9E"/>
    <w:rsid w:val="00F355F2"/>
    <w:rsid w:val="00F53062"/>
    <w:rsid w:val="00F8159A"/>
    <w:rsid w:val="00F85BCE"/>
    <w:rsid w:val="00FA0E7B"/>
    <w:rsid w:val="00FB3E1D"/>
    <w:rsid w:val="00FD2920"/>
    <w:rsid w:val="00FF713E"/>
    <w:rsid w:val="04AE3A9A"/>
    <w:rsid w:val="08E157CF"/>
    <w:rsid w:val="0C6C32E5"/>
    <w:rsid w:val="0F2606C1"/>
    <w:rsid w:val="0F7E6311"/>
    <w:rsid w:val="0FD931A8"/>
    <w:rsid w:val="124F6566"/>
    <w:rsid w:val="19A93019"/>
    <w:rsid w:val="1AFF29E6"/>
    <w:rsid w:val="1FD42758"/>
    <w:rsid w:val="2251575D"/>
    <w:rsid w:val="28150146"/>
    <w:rsid w:val="2C5C1BF0"/>
    <w:rsid w:val="2E2973BE"/>
    <w:rsid w:val="2EC70EE8"/>
    <w:rsid w:val="33F25721"/>
    <w:rsid w:val="36BE64B4"/>
    <w:rsid w:val="37EF1EDB"/>
    <w:rsid w:val="37FB671D"/>
    <w:rsid w:val="391624C1"/>
    <w:rsid w:val="3D124C9C"/>
    <w:rsid w:val="3D423181"/>
    <w:rsid w:val="3DC31CFB"/>
    <w:rsid w:val="43415EFF"/>
    <w:rsid w:val="4AC90AEA"/>
    <w:rsid w:val="4CCB3E8A"/>
    <w:rsid w:val="4E31130D"/>
    <w:rsid w:val="50223542"/>
    <w:rsid w:val="513C218E"/>
    <w:rsid w:val="59461C11"/>
    <w:rsid w:val="5E1E35CE"/>
    <w:rsid w:val="5E5E3A95"/>
    <w:rsid w:val="61B22A1B"/>
    <w:rsid w:val="620B1AB5"/>
    <w:rsid w:val="629E026C"/>
    <w:rsid w:val="68831D6F"/>
    <w:rsid w:val="69D24046"/>
    <w:rsid w:val="6B3C3C78"/>
    <w:rsid w:val="6DA4530A"/>
    <w:rsid w:val="6DB43457"/>
    <w:rsid w:val="6E143CAC"/>
    <w:rsid w:val="6E3347CF"/>
    <w:rsid w:val="70B278EA"/>
    <w:rsid w:val="7205C3F1"/>
    <w:rsid w:val="724B77A6"/>
    <w:rsid w:val="736B5F78"/>
    <w:rsid w:val="758E5275"/>
    <w:rsid w:val="77A60897"/>
    <w:rsid w:val="78C0F80E"/>
    <w:rsid w:val="7A2B7E8C"/>
    <w:rsid w:val="7AB1181E"/>
    <w:rsid w:val="7C84387B"/>
    <w:rsid w:val="7EEF26F6"/>
    <w:rsid w:val="7FDD5E6C"/>
    <w:rsid w:val="7FFE031A"/>
    <w:rsid w:val="9CEBBF1F"/>
    <w:rsid w:val="BFFB2A56"/>
    <w:rsid w:val="CF6F5F67"/>
    <w:rsid w:val="DB53F0AE"/>
    <w:rsid w:val="FCE81D8A"/>
    <w:rsid w:val="FCFDEA9C"/>
    <w:rsid w:val="FEFD289C"/>
    <w:rsid w:val="FFF7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64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2"/>
    <w:qFormat/>
    <w:uiPriority w:val="99"/>
    <w:pPr>
      <w:ind w:left="420" w:leftChars="200"/>
    </w:pPr>
    <w:rPr>
      <w:rFonts w:ascii="Times New Roman" w:hAnsi="Times New Roman" w:cs="Times New Roman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页脚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1552</Words>
  <Characters>1725</Characters>
  <Lines>2</Lines>
  <Paragraphs>1</Paragraphs>
  <TotalTime>143</TotalTime>
  <ScaleCrop>false</ScaleCrop>
  <LinksUpToDate>false</LinksUpToDate>
  <CharactersWithSpaces>1725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2017-11-06T17:23:00Z</dcterms:created>
  <dc:creator>Administrator</dc:creator>
  <cp:lastModifiedBy>WPS_1601385079</cp:lastModifiedBy>
  <cp:lastPrinted>2024-11-07T04:28:25Z</cp:lastPrinted>
  <dcterms:modified xsi:type="dcterms:W3CDTF">2024-11-07T05:09:34Z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848E97356C014704A5EDD5F0877A862F</vt:lpwstr>
  </property>
</Properties>
</file>