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</w:pPr>
      <w:r>
        <w:rPr>
          <w:rFonts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  <w:t>20</w:t>
      </w:r>
      <w:r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  <w:t>年</w:t>
      </w:r>
      <w:r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  <w:lang w:eastAsia="zh-CN"/>
        </w:rPr>
        <w:t>随州高新技术产业园区</w:t>
      </w:r>
      <w:r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  <w:t>绩效管理</w:t>
      </w:r>
    </w:p>
    <w:p>
      <w:pPr>
        <w:jc w:val="center"/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</w:pPr>
      <w:r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  <w:t>情况说明</w:t>
      </w:r>
    </w:p>
    <w:p>
      <w:pPr>
        <w:jc w:val="center"/>
        <w:rPr>
          <w:rFonts w:hint="eastAsia" w:ascii="黑体" w:hAnsi="黑体" w:eastAsia="黑体" w:cs="微软雅黑"/>
          <w:spacing w:val="8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pacing w:beforeAutospacing="0" w:afterAutospacing="0" w:line="600" w:lineRule="atLeast"/>
        <w:ind w:firstLine="672" w:firstLineChars="200"/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年我区按照《中共中央国务院关于全面实施预算绩效管理的意见》的要求，根据市财政工作会议精神，结合我区年初工作计划，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全面开展实施财政支出绩效管理工作，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稳步推进财政资金预算绩效管理，不断提高预算绩效管理工作的质量和水平，使我区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预算绩效管理工作制度化、规范化、科学化。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现将我区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的预算绩效管理工作开展说明如下：</w:t>
      </w:r>
    </w:p>
    <w:p>
      <w:pPr>
        <w:pStyle w:val="4"/>
        <w:widowControl/>
        <w:spacing w:beforeAutospacing="0" w:afterAutospacing="0" w:line="600" w:lineRule="atLeast"/>
        <w:ind w:firstLine="675" w:firstLineChars="200"/>
        <w:rPr>
          <w:rFonts w:hint="eastAsia" w:ascii="楷体_GB2312" w:hAnsi="仿宋" w:eastAsia="楷体_GB2312" w:cs="微软雅黑"/>
          <w:b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楷体_GB2312" w:hAnsi="仿宋" w:eastAsia="楷体_GB2312" w:cs="微软雅黑"/>
          <w:b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一</w:t>
      </w:r>
      <w:r>
        <w:rPr>
          <w:rFonts w:hint="eastAsia" w:ascii="楷体_GB2312" w:hAnsi="仿宋" w:eastAsia="楷体_GB2312" w:cs="微软雅黑"/>
          <w:b/>
          <w:spacing w:val="8"/>
          <w:kern w:val="2"/>
          <w:sz w:val="32"/>
          <w:szCs w:val="32"/>
          <w:highlight w:val="none"/>
          <w:shd w:val="clear" w:color="auto" w:fill="FFFFFF"/>
        </w:rPr>
        <w:t>、全面实施预算项目绩效目标管理</w:t>
      </w:r>
    </w:p>
    <w:p>
      <w:pPr>
        <w:pStyle w:val="4"/>
        <w:widowControl/>
        <w:spacing w:beforeAutospacing="0" w:afterAutospacing="0" w:line="600" w:lineRule="atLeast"/>
        <w:ind w:firstLine="672" w:firstLineChars="200"/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绩效目标管理是绩效管理的前提和基础，科学的绩效目标是过程监控和结果评价的重要依据。我区将绩效目标作为绩效管理的核心内容，夯实编制部门预算的基础，细化绩效目标开展评审的工作方案，充分发挥绩效目标在绩效管理中的前置作用，从源头上增强预算编制的科学性和预算执行的可行性，促进绩效目标的实现，提高财政资金的使用效益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atLeast"/>
        <w:ind w:firstLine="643" w:firstLineChars="200"/>
        <w:rPr>
          <w:rFonts w:hint="eastAsia" w:ascii="楷体_GB2312" w:hAnsi="仿宋" w:eastAsia="楷体_GB2312"/>
          <w:b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" w:eastAsia="楷体_GB2312"/>
          <w:b/>
          <w:kern w:val="2"/>
          <w:sz w:val="32"/>
          <w:szCs w:val="32"/>
          <w:highlight w:val="none"/>
          <w:shd w:val="clear" w:color="auto" w:fill="FFFFFF"/>
          <w:lang w:eastAsia="zh-CN"/>
        </w:rPr>
        <w:t>全面推行预算绩效自评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atLeast"/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" w:eastAsia="楷体_GB2312"/>
          <w:b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  我区在去年绩效管理工作的基础上，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进一步扩大预算绩效管理工作的覆盖面，明确责任部门和责任人，通过刚性约束不断强化预算部门的主体意识、责任意识。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2022年，我区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完成项目支出自评价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个，评价金额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1349万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元；完成部门整体支出自评价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个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一级预算单位全覆盖开展本级预算资金绩效自评，自评面达100%。通过自评不仅能了解项目的资金使用率、使用效果</w:t>
      </w:r>
      <w:bookmarkStart w:id="0" w:name="_GoBack"/>
      <w:bookmarkEnd w:id="0"/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，更能在自评的过程中发现本身的不足，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为下一年绩效管理工作提供思路和改进措施</w:t>
      </w:r>
      <w:r>
        <w:rPr>
          <w:rFonts w:hint="default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widowControl/>
        <w:spacing w:beforeAutospacing="0" w:afterAutospacing="0" w:line="600" w:lineRule="atLeast"/>
        <w:ind w:firstLine="643" w:firstLineChars="200"/>
        <w:rPr>
          <w:rFonts w:hint="eastAsia" w:ascii="楷体_GB2312" w:hAnsi="仿宋" w:eastAsia="楷体_GB2312"/>
          <w:b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" w:eastAsia="楷体_GB2312"/>
          <w:b/>
          <w:kern w:val="2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楷体_GB2312" w:hAnsi="仿宋" w:eastAsia="楷体_GB2312"/>
          <w:b/>
          <w:kern w:val="2"/>
          <w:sz w:val="32"/>
          <w:szCs w:val="32"/>
          <w:highlight w:val="none"/>
          <w:shd w:val="clear" w:color="auto" w:fill="FFFFFF"/>
        </w:rPr>
        <w:t>、绩效评价和结果应用情况</w:t>
      </w:r>
    </w:p>
    <w:p>
      <w:pPr>
        <w:pStyle w:val="4"/>
        <w:widowControl/>
        <w:spacing w:beforeAutospacing="0" w:afterAutospacing="0" w:line="600" w:lineRule="atLeast"/>
        <w:ind w:firstLine="672" w:firstLineChars="200"/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依据“结果有反馈、反馈结果有应用”的绩效评价管理原则，我区将绩效评价结果作为下年度部门预算项目安排情况的重要依据，对未能如期实现绩效目标或绩效评价结果较差的，在年底通过清理结转结余资金收回项目资金，或在编制下年度预算时适当调减项目资金额度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315" w:lineRule="atLeast"/>
        <w:jc w:val="both"/>
        <w:rPr>
          <w:rFonts w:hint="eastAsia" w:ascii="仿宋" w:hAnsi="仿宋" w:eastAsia="仿宋" w:cs="微软雅黑"/>
          <w:spacing w:val="8"/>
          <w:sz w:val="32"/>
          <w:szCs w:val="32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8F9C6"/>
    <w:multiLevelType w:val="singleLevel"/>
    <w:tmpl w:val="37A8F9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58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2M3YjI2NDc4MzU0YmQ0MDUyNTQ5MjI4OGNhZDYifQ=="/>
  </w:docVars>
  <w:rsids>
    <w:rsidRoot w:val="0099469F"/>
    <w:rsid w:val="00003E65"/>
    <w:rsid w:val="0002490A"/>
    <w:rsid w:val="00057480"/>
    <w:rsid w:val="00063F5A"/>
    <w:rsid w:val="0015120A"/>
    <w:rsid w:val="00180216"/>
    <w:rsid w:val="001A3488"/>
    <w:rsid w:val="001E0722"/>
    <w:rsid w:val="00234AD1"/>
    <w:rsid w:val="002A3E0C"/>
    <w:rsid w:val="003018AC"/>
    <w:rsid w:val="0030666B"/>
    <w:rsid w:val="003132B3"/>
    <w:rsid w:val="00372160"/>
    <w:rsid w:val="003E7F30"/>
    <w:rsid w:val="00432A58"/>
    <w:rsid w:val="00446EA7"/>
    <w:rsid w:val="00475660"/>
    <w:rsid w:val="00536109"/>
    <w:rsid w:val="005F553A"/>
    <w:rsid w:val="00611F68"/>
    <w:rsid w:val="0062739E"/>
    <w:rsid w:val="00637A3B"/>
    <w:rsid w:val="006B6A5A"/>
    <w:rsid w:val="0075753D"/>
    <w:rsid w:val="007F0BAB"/>
    <w:rsid w:val="00852A92"/>
    <w:rsid w:val="0085617D"/>
    <w:rsid w:val="008B19C2"/>
    <w:rsid w:val="0091253E"/>
    <w:rsid w:val="0099469F"/>
    <w:rsid w:val="00A3340C"/>
    <w:rsid w:val="00A35FD5"/>
    <w:rsid w:val="00A36BDC"/>
    <w:rsid w:val="00A46976"/>
    <w:rsid w:val="00A61B50"/>
    <w:rsid w:val="00A76561"/>
    <w:rsid w:val="00A934FB"/>
    <w:rsid w:val="00AC1AFA"/>
    <w:rsid w:val="00B51548"/>
    <w:rsid w:val="00C041E4"/>
    <w:rsid w:val="00C37522"/>
    <w:rsid w:val="00D0625B"/>
    <w:rsid w:val="00D2796B"/>
    <w:rsid w:val="00D8353D"/>
    <w:rsid w:val="00D84489"/>
    <w:rsid w:val="00DB72E4"/>
    <w:rsid w:val="00E22C7E"/>
    <w:rsid w:val="00E57294"/>
    <w:rsid w:val="00EC23DB"/>
    <w:rsid w:val="00FA30D5"/>
    <w:rsid w:val="00FE210C"/>
    <w:rsid w:val="04E90B5B"/>
    <w:rsid w:val="06853C15"/>
    <w:rsid w:val="0F1F1245"/>
    <w:rsid w:val="0FF5544D"/>
    <w:rsid w:val="11627CCB"/>
    <w:rsid w:val="12F76018"/>
    <w:rsid w:val="13990CC3"/>
    <w:rsid w:val="15A44D56"/>
    <w:rsid w:val="186B24B6"/>
    <w:rsid w:val="18826EA4"/>
    <w:rsid w:val="210E39CB"/>
    <w:rsid w:val="23A6613D"/>
    <w:rsid w:val="23C14D25"/>
    <w:rsid w:val="242A77F8"/>
    <w:rsid w:val="271D04C4"/>
    <w:rsid w:val="28421A00"/>
    <w:rsid w:val="2ACD75BB"/>
    <w:rsid w:val="31666F0B"/>
    <w:rsid w:val="34030A42"/>
    <w:rsid w:val="36E7289C"/>
    <w:rsid w:val="3A3C2EFF"/>
    <w:rsid w:val="3D670293"/>
    <w:rsid w:val="3DDF3CD0"/>
    <w:rsid w:val="3ECC2AA4"/>
    <w:rsid w:val="3FCD6CAD"/>
    <w:rsid w:val="4068749F"/>
    <w:rsid w:val="45253C06"/>
    <w:rsid w:val="454F7F8B"/>
    <w:rsid w:val="4843694F"/>
    <w:rsid w:val="484A65D9"/>
    <w:rsid w:val="4E49752E"/>
    <w:rsid w:val="52707792"/>
    <w:rsid w:val="573A56C4"/>
    <w:rsid w:val="5A296BA4"/>
    <w:rsid w:val="5A8A5831"/>
    <w:rsid w:val="6017749F"/>
    <w:rsid w:val="60545FFD"/>
    <w:rsid w:val="61CF0031"/>
    <w:rsid w:val="64F16511"/>
    <w:rsid w:val="6FB95E7D"/>
    <w:rsid w:val="72442376"/>
    <w:rsid w:val="7AC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locked/>
    <w:uiPriority w:val="99"/>
    <w:pPr>
      <w:widowControl w:val="0"/>
      <w:spacing w:line="500" w:lineRule="exact"/>
      <w:jc w:val="both"/>
    </w:pPr>
    <w:rPr>
      <w:rFonts w:eastAsia="仿宋_GB2312" w:cs="Calibri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529</Words>
  <Characters>548</Characters>
  <Lines>6</Lines>
  <Paragraphs>1</Paragraphs>
  <TotalTime>11</TotalTime>
  <ScaleCrop>false</ScaleCrop>
  <LinksUpToDate>false</LinksUpToDate>
  <CharactersWithSpaces>549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2021-10-09T08:48:00Z</dcterms:created>
  <dc:creator>Administrator</dc:creator>
  <cp:lastModifiedBy>多莉Or</cp:lastModifiedBy>
  <cp:lastPrinted>2017-06-16T03:16:00Z</cp:lastPrinted>
  <dcterms:modified xsi:type="dcterms:W3CDTF">2024-04-22T08:40:28Z</dcterms:modified>
  <dc:title>随财公开〔2017〕3号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1ED74BD23BB04D62BF66F703772AEF35</vt:lpwstr>
  </property>
</Properties>
</file>