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微软雅黑"/>
          <w:spacing w:val="8"/>
          <w:sz w:val="44"/>
          <w:szCs w:val="44"/>
          <w:shd w:val="clear" w:color="auto" w:fill="FFFFFF"/>
        </w:rPr>
      </w:pPr>
      <w:r>
        <w:rPr>
          <w:rFonts w:ascii="黑体" w:hAnsi="黑体" w:eastAsia="黑体" w:cs="微软雅黑"/>
          <w:spacing w:val="8"/>
          <w:sz w:val="44"/>
          <w:szCs w:val="44"/>
          <w:shd w:val="clear" w:color="auto" w:fill="FFFFFF"/>
        </w:rPr>
        <w:t>20</w:t>
      </w:r>
      <w:r>
        <w:rPr>
          <w:rFonts w:hint="eastAsia" w:ascii="黑体" w:hAnsi="黑体" w:eastAsia="黑体" w:cs="微软雅黑"/>
          <w:spacing w:val="8"/>
          <w:sz w:val="44"/>
          <w:szCs w:val="44"/>
          <w:shd w:val="clear" w:color="auto" w:fill="FFFFFF"/>
          <w:lang w:val="en-US" w:eastAsia="zh-CN"/>
        </w:rPr>
        <w:t>21</w:t>
      </w:r>
      <w:r>
        <w:rPr>
          <w:rFonts w:hint="eastAsia" w:ascii="黑体" w:hAnsi="黑体" w:eastAsia="黑体" w:cs="微软雅黑"/>
          <w:spacing w:val="8"/>
          <w:sz w:val="44"/>
          <w:szCs w:val="44"/>
          <w:shd w:val="clear" w:color="auto" w:fill="FFFFFF"/>
        </w:rPr>
        <w:t>年</w:t>
      </w:r>
      <w:r>
        <w:rPr>
          <w:rFonts w:hint="eastAsia" w:ascii="黑体" w:hAnsi="黑体" w:eastAsia="黑体" w:cs="微软雅黑"/>
          <w:spacing w:val="8"/>
          <w:sz w:val="44"/>
          <w:szCs w:val="44"/>
          <w:shd w:val="clear" w:color="auto" w:fill="FFFFFF"/>
          <w:lang w:eastAsia="zh-CN"/>
        </w:rPr>
        <w:t>随州高新技术产业园区</w:t>
      </w:r>
      <w:r>
        <w:rPr>
          <w:rFonts w:hint="eastAsia" w:ascii="黑体" w:hAnsi="黑体" w:eastAsia="黑体" w:cs="微软雅黑"/>
          <w:spacing w:val="8"/>
          <w:sz w:val="44"/>
          <w:szCs w:val="44"/>
          <w:shd w:val="clear" w:color="auto" w:fill="FFFFFF"/>
        </w:rPr>
        <w:t>绩效管理</w:t>
      </w:r>
    </w:p>
    <w:p>
      <w:pPr>
        <w:jc w:val="center"/>
        <w:rPr>
          <w:rFonts w:hint="eastAsia" w:ascii="黑体" w:hAnsi="黑体" w:eastAsia="黑体" w:cs="微软雅黑"/>
          <w:spacing w:val="8"/>
          <w:sz w:val="44"/>
          <w:szCs w:val="44"/>
          <w:shd w:val="clear" w:color="auto" w:fill="FFFFFF"/>
        </w:rPr>
      </w:pPr>
      <w:r>
        <w:rPr>
          <w:rFonts w:hint="eastAsia" w:ascii="黑体" w:hAnsi="黑体" w:eastAsia="黑体" w:cs="微软雅黑"/>
          <w:spacing w:val="8"/>
          <w:sz w:val="44"/>
          <w:szCs w:val="44"/>
          <w:shd w:val="clear" w:color="auto" w:fill="FFFFFF"/>
        </w:rPr>
        <w:t>情况说明</w:t>
      </w:r>
    </w:p>
    <w:p>
      <w:pPr>
        <w:ind w:firstLine="1140" w:firstLineChars="250"/>
        <w:rPr>
          <w:rFonts w:ascii="黑体" w:hAnsi="黑体" w:eastAsia="黑体" w:cs="微软雅黑"/>
          <w:spacing w:val="8"/>
          <w:sz w:val="44"/>
          <w:szCs w:val="44"/>
          <w:shd w:val="clear" w:color="auto" w:fill="FFFFFF"/>
        </w:rPr>
      </w:pPr>
    </w:p>
    <w:p>
      <w:pPr>
        <w:pStyle w:val="4"/>
        <w:widowControl/>
        <w:spacing w:beforeAutospacing="0" w:afterAutospacing="0" w:line="600" w:lineRule="atLeast"/>
        <w:ind w:firstLine="643" w:firstLineChars="200"/>
        <w:rPr>
          <w:rFonts w:hint="eastAsia" w:ascii="楷体_GB2312" w:hAnsi="仿宋" w:eastAsia="楷体_GB2312"/>
          <w:b/>
          <w:kern w:val="2"/>
          <w:sz w:val="32"/>
          <w:szCs w:val="32"/>
          <w:shd w:val="clear" w:color="auto" w:fill="FFFFFF"/>
          <w:lang w:eastAsia="zh-CN"/>
        </w:rPr>
      </w:pPr>
      <w:r>
        <w:rPr>
          <w:rFonts w:hint="eastAsia" w:ascii="楷体_GB2312" w:hAnsi="仿宋" w:eastAsia="楷体_GB2312"/>
          <w:b/>
          <w:kern w:val="2"/>
          <w:sz w:val="32"/>
          <w:szCs w:val="32"/>
          <w:shd w:val="clear" w:color="auto" w:fill="FFFFFF"/>
          <w:lang w:eastAsia="zh-CN"/>
        </w:rPr>
        <w:t>一</w:t>
      </w:r>
      <w:r>
        <w:rPr>
          <w:rFonts w:hint="eastAsia" w:ascii="楷体_GB2312" w:hAnsi="仿宋" w:eastAsia="楷体_GB2312"/>
          <w:b/>
          <w:kern w:val="2"/>
          <w:sz w:val="32"/>
          <w:szCs w:val="32"/>
          <w:shd w:val="clear" w:color="auto" w:fill="FFFFFF"/>
        </w:rPr>
        <w:t>、</w:t>
      </w:r>
      <w:r>
        <w:rPr>
          <w:rFonts w:hint="eastAsia" w:ascii="楷体_GB2312" w:hAnsi="仿宋" w:eastAsia="楷体_GB2312"/>
          <w:b/>
          <w:kern w:val="2"/>
          <w:sz w:val="32"/>
          <w:szCs w:val="32"/>
          <w:shd w:val="clear" w:color="auto" w:fill="FFFFFF"/>
          <w:lang w:eastAsia="zh-CN"/>
        </w:rPr>
        <w:t>提高</w:t>
      </w:r>
      <w:r>
        <w:rPr>
          <w:rFonts w:hint="eastAsia" w:ascii="楷体_GB2312" w:hAnsi="仿宋" w:eastAsia="楷体_GB2312" w:cs="微软雅黑"/>
          <w:b/>
          <w:spacing w:val="8"/>
          <w:kern w:val="2"/>
          <w:sz w:val="32"/>
          <w:szCs w:val="32"/>
          <w:shd w:val="clear" w:color="auto" w:fill="FFFFFF"/>
        </w:rPr>
        <w:t>绩效目标管理水平</w:t>
      </w:r>
    </w:p>
    <w:p>
      <w:pPr>
        <w:pStyle w:val="4"/>
        <w:widowControl/>
        <w:spacing w:beforeAutospacing="0" w:afterAutospacing="0" w:line="600" w:lineRule="atLeast"/>
        <w:ind w:firstLine="672" w:firstLineChars="200"/>
        <w:rPr>
          <w:rFonts w:hint="eastAsia" w:ascii="仿宋" w:hAnsi="仿宋" w:eastAsia="仿宋" w:cs="微软雅黑"/>
          <w:spacing w:val="8"/>
          <w:kern w:val="2"/>
          <w:sz w:val="32"/>
          <w:szCs w:val="32"/>
          <w:shd w:val="clear" w:color="auto" w:fill="FFFFFF"/>
          <w:lang w:eastAsia="zh-CN"/>
        </w:rPr>
      </w:pPr>
      <w:r>
        <w:rPr>
          <w:rFonts w:hint="eastAsia" w:ascii="仿宋" w:hAnsi="仿宋" w:eastAsia="仿宋" w:cs="微软雅黑"/>
          <w:spacing w:val="8"/>
          <w:kern w:val="2"/>
          <w:sz w:val="32"/>
          <w:szCs w:val="32"/>
          <w:shd w:val="clear" w:color="auto" w:fill="FFFFFF"/>
          <w:lang w:eastAsia="zh-CN"/>
        </w:rPr>
        <w:t>将</w:t>
      </w:r>
      <w:r>
        <w:rPr>
          <w:rFonts w:hint="eastAsia" w:ascii="仿宋" w:hAnsi="仿宋" w:eastAsia="仿宋" w:cs="微软雅黑"/>
          <w:spacing w:val="8"/>
          <w:kern w:val="2"/>
          <w:sz w:val="32"/>
          <w:szCs w:val="32"/>
          <w:shd w:val="clear" w:color="auto" w:fill="FFFFFF"/>
        </w:rPr>
        <w:t>绩效目标</w:t>
      </w:r>
      <w:r>
        <w:rPr>
          <w:rFonts w:hint="eastAsia" w:ascii="仿宋" w:hAnsi="仿宋" w:eastAsia="仿宋" w:cs="微软雅黑"/>
          <w:spacing w:val="8"/>
          <w:kern w:val="2"/>
          <w:sz w:val="32"/>
          <w:szCs w:val="32"/>
          <w:shd w:val="clear" w:color="auto" w:fill="FFFFFF"/>
          <w:lang w:eastAsia="zh-CN"/>
        </w:rPr>
        <w:t>作为</w:t>
      </w:r>
      <w:r>
        <w:rPr>
          <w:rFonts w:hint="eastAsia" w:ascii="仿宋" w:hAnsi="仿宋" w:eastAsia="仿宋" w:cs="微软雅黑"/>
          <w:spacing w:val="8"/>
          <w:kern w:val="2"/>
          <w:sz w:val="32"/>
          <w:szCs w:val="32"/>
          <w:shd w:val="clear" w:color="auto" w:fill="FFFFFF"/>
        </w:rPr>
        <w:t>绩效管理的核心内容，</w:t>
      </w:r>
      <w:r>
        <w:rPr>
          <w:rFonts w:hint="eastAsia" w:ascii="仿宋" w:hAnsi="仿宋" w:eastAsia="仿宋" w:cs="微软雅黑"/>
          <w:spacing w:val="8"/>
          <w:kern w:val="2"/>
          <w:sz w:val="32"/>
          <w:szCs w:val="32"/>
          <w:shd w:val="clear" w:color="auto" w:fill="FFFFFF"/>
          <w:lang w:eastAsia="zh-CN"/>
        </w:rPr>
        <w:t>夯实</w:t>
      </w:r>
      <w:r>
        <w:rPr>
          <w:rFonts w:hint="eastAsia" w:ascii="仿宋" w:hAnsi="仿宋" w:eastAsia="仿宋" w:cs="微软雅黑"/>
          <w:spacing w:val="8"/>
          <w:kern w:val="2"/>
          <w:sz w:val="32"/>
          <w:szCs w:val="32"/>
          <w:shd w:val="clear" w:color="auto" w:fill="FFFFFF"/>
        </w:rPr>
        <w:t>编制部门预算的基础。</w:t>
      </w:r>
      <w:r>
        <w:rPr>
          <w:rFonts w:hint="eastAsia" w:ascii="仿宋" w:hAnsi="仿宋" w:eastAsia="仿宋" w:cs="微软雅黑"/>
          <w:spacing w:val="8"/>
          <w:kern w:val="2"/>
          <w:sz w:val="32"/>
          <w:szCs w:val="32"/>
          <w:shd w:val="clear" w:color="auto" w:fill="FFFFFF"/>
          <w:lang w:eastAsia="zh-CN"/>
        </w:rPr>
        <w:t>细化</w:t>
      </w:r>
      <w:r>
        <w:rPr>
          <w:rFonts w:hint="eastAsia" w:ascii="仿宋" w:hAnsi="仿宋" w:eastAsia="仿宋" w:cs="微软雅黑"/>
          <w:spacing w:val="8"/>
          <w:kern w:val="2"/>
          <w:sz w:val="32"/>
          <w:szCs w:val="32"/>
          <w:shd w:val="clear" w:color="auto" w:fill="FFFFFF"/>
        </w:rPr>
        <w:t>绩效目标开展评审</w:t>
      </w:r>
      <w:r>
        <w:rPr>
          <w:rFonts w:hint="eastAsia" w:ascii="仿宋" w:hAnsi="仿宋" w:eastAsia="仿宋" w:cs="微软雅黑"/>
          <w:spacing w:val="8"/>
          <w:kern w:val="2"/>
          <w:sz w:val="32"/>
          <w:szCs w:val="32"/>
          <w:shd w:val="clear" w:color="auto" w:fill="FFFFFF"/>
          <w:lang w:eastAsia="zh-CN"/>
        </w:rPr>
        <w:t>的</w:t>
      </w:r>
      <w:r>
        <w:rPr>
          <w:rFonts w:hint="eastAsia" w:ascii="仿宋" w:hAnsi="仿宋" w:eastAsia="仿宋" w:cs="微软雅黑"/>
          <w:spacing w:val="8"/>
          <w:kern w:val="2"/>
          <w:sz w:val="32"/>
          <w:szCs w:val="32"/>
          <w:shd w:val="clear" w:color="auto" w:fill="FFFFFF"/>
        </w:rPr>
        <w:t>工作方案</w:t>
      </w:r>
      <w:r>
        <w:rPr>
          <w:rFonts w:hint="eastAsia" w:ascii="仿宋" w:hAnsi="仿宋" w:eastAsia="仿宋" w:cs="微软雅黑"/>
          <w:spacing w:val="8"/>
          <w:kern w:val="2"/>
          <w:sz w:val="32"/>
          <w:szCs w:val="32"/>
          <w:shd w:val="clear" w:color="auto" w:fill="FFFFFF"/>
          <w:lang w:eastAsia="zh-CN"/>
        </w:rPr>
        <w:t>，</w:t>
      </w:r>
      <w:r>
        <w:rPr>
          <w:rFonts w:hint="eastAsia" w:ascii="仿宋" w:hAnsi="仿宋" w:eastAsia="仿宋" w:cs="微软雅黑"/>
          <w:spacing w:val="8"/>
          <w:kern w:val="2"/>
          <w:sz w:val="32"/>
          <w:szCs w:val="32"/>
          <w:shd w:val="clear" w:color="auto" w:fill="FFFFFF"/>
        </w:rPr>
        <w:t>对预算单位申报项目的绩效目标，围绕“有没有必要做”、</w:t>
      </w:r>
      <w:r>
        <w:rPr>
          <w:rFonts w:ascii="仿宋" w:hAnsi="仿宋" w:eastAsia="仿宋" w:cs="微软雅黑"/>
          <w:spacing w:val="8"/>
          <w:kern w:val="2"/>
          <w:sz w:val="32"/>
          <w:szCs w:val="32"/>
          <w:shd w:val="clear" w:color="auto" w:fill="FFFFFF"/>
        </w:rPr>
        <w:t xml:space="preserve"> </w:t>
      </w:r>
      <w:r>
        <w:rPr>
          <w:rFonts w:hint="eastAsia" w:ascii="仿宋" w:hAnsi="仿宋" w:eastAsia="仿宋" w:cs="微软雅黑"/>
          <w:spacing w:val="8"/>
          <w:kern w:val="2"/>
          <w:sz w:val="32"/>
          <w:szCs w:val="32"/>
          <w:shd w:val="clear" w:color="auto" w:fill="FFFFFF"/>
        </w:rPr>
        <w:t>“能不能做好”、“能不能产生预算效果”、“预算安排与项目成熟度是否匹配、与预期能实现的绩效目标是否匹配”等要素，组织评审专家小组评审该项目绩效目标</w:t>
      </w:r>
      <w:r>
        <w:rPr>
          <w:rFonts w:hint="eastAsia" w:ascii="仿宋" w:hAnsi="仿宋" w:eastAsia="仿宋" w:cs="微软雅黑"/>
          <w:spacing w:val="8"/>
          <w:kern w:val="2"/>
          <w:sz w:val="32"/>
          <w:szCs w:val="32"/>
          <w:shd w:val="clear" w:color="auto" w:fill="FFFFFF"/>
          <w:lang w:eastAsia="zh-CN"/>
        </w:rPr>
        <w:t>。</w:t>
      </w:r>
    </w:p>
    <w:p>
      <w:pPr>
        <w:pStyle w:val="4"/>
        <w:widowControl/>
        <w:spacing w:beforeAutospacing="0" w:afterAutospacing="0" w:line="600" w:lineRule="atLeast"/>
        <w:ind w:firstLine="643" w:firstLineChars="200"/>
        <w:rPr>
          <w:rFonts w:hint="eastAsia" w:ascii="楷体_GB2312" w:hAnsi="仿宋" w:eastAsia="楷体_GB2312"/>
          <w:b/>
          <w:kern w:val="2"/>
          <w:sz w:val="32"/>
          <w:szCs w:val="32"/>
          <w:shd w:val="clear" w:color="auto" w:fill="FFFFFF"/>
        </w:rPr>
      </w:pPr>
      <w:r>
        <w:rPr>
          <w:rFonts w:hint="eastAsia" w:ascii="楷体_GB2312" w:hAnsi="仿宋" w:eastAsia="楷体_GB2312"/>
          <w:b/>
          <w:kern w:val="2"/>
          <w:sz w:val="32"/>
          <w:szCs w:val="32"/>
          <w:shd w:val="clear" w:color="auto" w:fill="FFFFFF"/>
          <w:lang w:eastAsia="zh-CN"/>
        </w:rPr>
        <w:t>二</w:t>
      </w:r>
      <w:r>
        <w:rPr>
          <w:rFonts w:hint="eastAsia" w:ascii="楷体_GB2312" w:hAnsi="仿宋" w:eastAsia="楷体_GB2312"/>
          <w:b/>
          <w:kern w:val="2"/>
          <w:sz w:val="32"/>
          <w:szCs w:val="32"/>
          <w:shd w:val="clear" w:color="auto" w:fill="FFFFFF"/>
        </w:rPr>
        <w:t>、绩效评价和结果应用情况</w:t>
      </w:r>
    </w:p>
    <w:p>
      <w:pPr>
        <w:pStyle w:val="4"/>
        <w:widowControl/>
        <w:spacing w:beforeAutospacing="0" w:afterAutospacing="0" w:line="600" w:lineRule="atLeast"/>
        <w:ind w:firstLine="672" w:firstLineChars="200"/>
        <w:rPr>
          <w:rFonts w:hint="eastAsia" w:ascii="仿宋" w:hAnsi="仿宋" w:eastAsia="仿宋" w:cs="微软雅黑"/>
          <w:spacing w:val="8"/>
          <w:kern w:val="2"/>
          <w:sz w:val="32"/>
          <w:szCs w:val="32"/>
          <w:shd w:val="clear" w:color="auto" w:fill="FFFFFF"/>
          <w:lang w:eastAsia="zh-CN"/>
        </w:rPr>
      </w:pPr>
      <w:r>
        <w:rPr>
          <w:rFonts w:hint="eastAsia" w:ascii="仿宋" w:hAnsi="仿宋" w:eastAsia="仿宋" w:cs="微软雅黑"/>
          <w:spacing w:val="8"/>
          <w:kern w:val="2"/>
          <w:sz w:val="32"/>
          <w:szCs w:val="32"/>
          <w:shd w:val="clear" w:color="auto" w:fill="FFFFFF"/>
          <w:lang w:eastAsia="zh-CN"/>
        </w:rPr>
        <w:t>2022年上半年，按照预算绩效管理的相关要求，对全区2021年执行的</w:t>
      </w:r>
      <w:r>
        <w:rPr>
          <w:rFonts w:hint="eastAsia" w:ascii="仿宋" w:hAnsi="仿宋" w:eastAsia="仿宋" w:cs="微软雅黑"/>
          <w:spacing w:val="8"/>
          <w:kern w:val="2"/>
          <w:sz w:val="32"/>
          <w:szCs w:val="32"/>
          <w:shd w:val="clear" w:color="auto" w:fill="FFFFFF"/>
          <w:lang w:val="en-US" w:eastAsia="zh-CN"/>
        </w:rPr>
        <w:t>6</w:t>
      </w:r>
      <w:r>
        <w:rPr>
          <w:rFonts w:hint="eastAsia" w:ascii="仿宋" w:hAnsi="仿宋" w:eastAsia="仿宋" w:cs="微软雅黑"/>
          <w:spacing w:val="8"/>
          <w:kern w:val="2"/>
          <w:sz w:val="32"/>
          <w:szCs w:val="32"/>
          <w:shd w:val="clear" w:color="auto" w:fill="FFFFFF"/>
          <w:lang w:eastAsia="zh-CN"/>
        </w:rPr>
        <w:t>个部门整体支出和</w:t>
      </w:r>
      <w:r>
        <w:rPr>
          <w:rFonts w:hint="eastAsia" w:ascii="仿宋" w:hAnsi="仿宋" w:eastAsia="仿宋" w:cs="微软雅黑"/>
          <w:spacing w:val="8"/>
          <w:kern w:val="2"/>
          <w:sz w:val="32"/>
          <w:szCs w:val="32"/>
          <w:shd w:val="clear" w:color="auto" w:fill="FFFFFF"/>
          <w:lang w:val="en-US" w:eastAsia="zh-CN"/>
        </w:rPr>
        <w:t>14</w:t>
      </w:r>
      <w:r>
        <w:rPr>
          <w:rFonts w:hint="eastAsia" w:ascii="仿宋" w:hAnsi="仿宋" w:eastAsia="仿宋" w:cs="微软雅黑"/>
          <w:spacing w:val="8"/>
          <w:kern w:val="2"/>
          <w:sz w:val="32"/>
          <w:szCs w:val="32"/>
          <w:shd w:val="clear" w:color="auto" w:fill="FFFFFF"/>
          <w:lang w:eastAsia="zh-CN"/>
        </w:rPr>
        <w:t>个重点项目支出开展了绩效评价工作，涉及执行资金</w:t>
      </w:r>
      <w:r>
        <w:rPr>
          <w:rFonts w:hint="eastAsia" w:ascii="仿宋" w:hAnsi="仿宋" w:eastAsia="仿宋" w:cs="微软雅黑"/>
          <w:spacing w:val="8"/>
          <w:kern w:val="2"/>
          <w:sz w:val="32"/>
          <w:szCs w:val="32"/>
          <w:shd w:val="clear" w:color="auto" w:fill="FFFFFF"/>
          <w:lang w:val="en-US" w:eastAsia="zh-CN"/>
        </w:rPr>
        <w:t>3823.8</w:t>
      </w:r>
      <w:r>
        <w:rPr>
          <w:rFonts w:hint="eastAsia" w:ascii="仿宋" w:hAnsi="仿宋" w:eastAsia="仿宋" w:cs="微软雅黑"/>
          <w:spacing w:val="8"/>
          <w:kern w:val="2"/>
          <w:sz w:val="32"/>
          <w:szCs w:val="32"/>
          <w:shd w:val="clear" w:color="auto" w:fill="FFFFFF"/>
          <w:lang w:eastAsia="zh-CN"/>
        </w:rPr>
        <w:t>万元。</w:t>
      </w:r>
      <w:r>
        <w:rPr>
          <w:rFonts w:hint="eastAsia" w:ascii="仿宋" w:hAnsi="仿宋" w:eastAsia="仿宋" w:cs="微软雅黑"/>
          <w:spacing w:val="8"/>
          <w:kern w:val="2"/>
          <w:sz w:val="32"/>
          <w:szCs w:val="32"/>
          <w:shd w:val="clear" w:color="auto" w:fill="FFFFFF"/>
          <w:lang w:val="en-US" w:eastAsia="zh-CN"/>
        </w:rPr>
        <w:t>14</w:t>
      </w:r>
      <w:r>
        <w:rPr>
          <w:rFonts w:hint="eastAsia" w:ascii="仿宋" w:hAnsi="仿宋" w:eastAsia="仿宋" w:cs="微软雅黑"/>
          <w:spacing w:val="8"/>
          <w:kern w:val="2"/>
          <w:sz w:val="32"/>
          <w:szCs w:val="32"/>
          <w:shd w:val="clear" w:color="auto" w:fill="FFFFFF"/>
          <w:lang w:eastAsia="zh-CN"/>
        </w:rPr>
        <w:t>个重点项目支出，绩效评价结果为：</w:t>
      </w:r>
      <w:r>
        <w:rPr>
          <w:rFonts w:hint="eastAsia" w:ascii="仿宋" w:hAnsi="仿宋" w:eastAsia="仿宋" w:cs="微软雅黑"/>
          <w:spacing w:val="8"/>
          <w:kern w:val="2"/>
          <w:sz w:val="32"/>
          <w:szCs w:val="32"/>
          <w:shd w:val="clear" w:color="auto" w:fill="FFFFFF"/>
          <w:lang w:val="en-US" w:eastAsia="zh-CN"/>
        </w:rPr>
        <w:t>9</w:t>
      </w:r>
      <w:r>
        <w:rPr>
          <w:rFonts w:hint="eastAsia" w:ascii="仿宋" w:hAnsi="仿宋" w:eastAsia="仿宋" w:cs="微软雅黑"/>
          <w:spacing w:val="8"/>
          <w:kern w:val="2"/>
          <w:sz w:val="32"/>
          <w:szCs w:val="32"/>
          <w:shd w:val="clear" w:color="auto" w:fill="FFFFFF"/>
          <w:lang w:eastAsia="zh-CN"/>
        </w:rPr>
        <w:t>个优、</w:t>
      </w:r>
      <w:r>
        <w:rPr>
          <w:rFonts w:hint="eastAsia" w:ascii="仿宋" w:hAnsi="仿宋" w:eastAsia="仿宋" w:cs="微软雅黑"/>
          <w:spacing w:val="8"/>
          <w:kern w:val="2"/>
          <w:sz w:val="32"/>
          <w:szCs w:val="32"/>
          <w:shd w:val="clear" w:color="auto" w:fill="FFFFFF"/>
          <w:lang w:val="en-US" w:eastAsia="zh-CN"/>
        </w:rPr>
        <w:t>5</w:t>
      </w:r>
      <w:r>
        <w:rPr>
          <w:rFonts w:hint="eastAsia" w:ascii="仿宋" w:hAnsi="仿宋" w:eastAsia="仿宋" w:cs="微软雅黑"/>
          <w:spacing w:val="8"/>
          <w:kern w:val="2"/>
          <w:sz w:val="32"/>
          <w:szCs w:val="32"/>
          <w:shd w:val="clear" w:color="auto" w:fill="FFFFFF"/>
          <w:lang w:eastAsia="zh-CN"/>
        </w:rPr>
        <w:t>个良。我们将持续加强绩效评价结果应用，将评价结果作为调整支出布局、完善财政政策和预算安排的重要依据，进一步提高财政资金使用的科学性、合理性。</w:t>
      </w:r>
    </w:p>
    <w:p>
      <w:pPr>
        <w:pStyle w:val="4"/>
        <w:widowControl/>
        <w:spacing w:beforeAutospacing="0" w:afterAutospacing="0" w:line="315" w:lineRule="atLeast"/>
        <w:ind w:firstLine="675" w:firstLineChars="200"/>
        <w:jc w:val="both"/>
        <w:rPr>
          <w:rFonts w:ascii="仿宋" w:hAnsi="仿宋" w:eastAsia="仿宋" w:cs="Times New Roman"/>
          <w:sz w:val="32"/>
          <w:szCs w:val="32"/>
        </w:rPr>
      </w:pPr>
      <w:r>
        <w:rPr>
          <w:rFonts w:hint="eastAsia" w:ascii="楷体_GB2312" w:hAnsi="仿宋" w:eastAsia="楷体_GB2312" w:cs="微软雅黑"/>
          <w:b/>
          <w:spacing w:val="8"/>
          <w:kern w:val="2"/>
          <w:sz w:val="32"/>
          <w:szCs w:val="32"/>
          <w:shd w:val="clear" w:color="auto" w:fill="FFFFFF"/>
          <w:lang w:eastAsia="zh-CN"/>
        </w:rPr>
        <w:t>三、</w:t>
      </w:r>
      <w:r>
        <w:rPr>
          <w:rFonts w:hint="eastAsia" w:ascii="楷体_GB2312" w:hAnsi="仿宋" w:eastAsia="楷体_GB2312" w:cs="微软雅黑"/>
          <w:b/>
          <w:spacing w:val="8"/>
          <w:kern w:val="2"/>
          <w:sz w:val="32"/>
          <w:szCs w:val="32"/>
          <w:shd w:val="clear" w:color="auto" w:fill="FFFFFF"/>
        </w:rPr>
        <w:t>第三方重点评价过程</w:t>
      </w:r>
      <w:r>
        <w:rPr>
          <w:rFonts w:hint="eastAsia" w:ascii="楷体_GB2312" w:hAnsi="仿宋" w:eastAsia="楷体_GB2312" w:cs="微软雅黑"/>
          <w:b/>
          <w:spacing w:val="8"/>
          <w:kern w:val="2"/>
          <w:sz w:val="32"/>
          <w:szCs w:val="32"/>
          <w:shd w:val="clear" w:color="auto" w:fill="FFFFFF"/>
          <w:lang w:eastAsia="zh-CN"/>
        </w:rPr>
        <w:t>逐步</w:t>
      </w:r>
      <w:r>
        <w:rPr>
          <w:rFonts w:hint="eastAsia" w:ascii="楷体_GB2312" w:hAnsi="仿宋" w:eastAsia="楷体_GB2312" w:cs="微软雅黑"/>
          <w:b/>
          <w:spacing w:val="8"/>
          <w:kern w:val="2"/>
          <w:sz w:val="32"/>
          <w:szCs w:val="32"/>
          <w:shd w:val="clear" w:color="auto" w:fill="FFFFFF"/>
        </w:rPr>
        <w:t>规范。</w:t>
      </w:r>
      <w:r>
        <w:rPr>
          <w:rFonts w:hint="eastAsia" w:ascii="仿宋" w:hAnsi="仿宋" w:eastAsia="仿宋" w:cs="微软雅黑"/>
          <w:spacing w:val="8"/>
          <w:sz w:val="32"/>
          <w:szCs w:val="32"/>
          <w:shd w:val="clear" w:color="auto" w:fill="FFFFFF"/>
        </w:rPr>
        <w:t>根据</w:t>
      </w:r>
      <w:r>
        <w:rPr>
          <w:rFonts w:ascii="仿宋" w:hAnsi="仿宋" w:eastAsia="仿宋" w:cs="微软雅黑"/>
          <w:spacing w:val="8"/>
          <w:sz w:val="32"/>
          <w:szCs w:val="32"/>
          <w:shd w:val="clear" w:color="auto" w:fill="FFFFFF"/>
        </w:rPr>
        <w:t>2</w:t>
      </w:r>
      <w:r>
        <w:rPr>
          <w:rFonts w:hint="eastAsia" w:ascii="仿宋" w:hAnsi="仿宋" w:eastAsia="仿宋" w:cs="微软雅黑"/>
          <w:spacing w:val="8"/>
          <w:sz w:val="32"/>
          <w:szCs w:val="32"/>
          <w:shd w:val="clear" w:color="auto" w:fill="FFFFFF"/>
          <w:lang w:val="en-US" w:eastAsia="zh-CN"/>
        </w:rPr>
        <w:t>021</w:t>
      </w:r>
      <w:r>
        <w:rPr>
          <w:rFonts w:hint="eastAsia" w:ascii="仿宋" w:hAnsi="仿宋" w:eastAsia="仿宋" w:cs="微软雅黑"/>
          <w:spacing w:val="8"/>
          <w:sz w:val="32"/>
          <w:szCs w:val="32"/>
          <w:shd w:val="clear" w:color="auto" w:fill="FFFFFF"/>
        </w:rPr>
        <w:t>年</w:t>
      </w:r>
      <w:r>
        <w:rPr>
          <w:rFonts w:hint="eastAsia" w:ascii="仿宋" w:hAnsi="仿宋" w:eastAsia="仿宋" w:cs="微软雅黑"/>
          <w:spacing w:val="8"/>
          <w:sz w:val="32"/>
          <w:szCs w:val="32"/>
          <w:shd w:val="clear" w:color="auto" w:fill="FFFFFF"/>
          <w:lang w:eastAsia="zh-CN"/>
        </w:rPr>
        <w:t>度</w:t>
      </w:r>
      <w:r>
        <w:rPr>
          <w:rFonts w:hint="eastAsia" w:ascii="仿宋" w:hAnsi="仿宋" w:eastAsia="仿宋" w:cs="微软雅黑"/>
          <w:spacing w:val="8"/>
          <w:sz w:val="32"/>
          <w:szCs w:val="32"/>
          <w:shd w:val="clear" w:color="auto" w:fill="FFFFFF"/>
        </w:rPr>
        <w:t>项目资金执行情况，选取</w:t>
      </w:r>
      <w:r>
        <w:rPr>
          <w:rFonts w:hint="eastAsia" w:ascii="仿宋" w:hAnsi="仿宋" w:eastAsia="仿宋" w:cs="微软雅黑"/>
          <w:spacing w:val="8"/>
          <w:sz w:val="32"/>
          <w:szCs w:val="32"/>
          <w:shd w:val="clear" w:color="auto" w:fill="FFFFFF"/>
          <w:lang w:val="en-US" w:eastAsia="zh-CN"/>
        </w:rPr>
        <w:t>多</w:t>
      </w:r>
      <w:r>
        <w:rPr>
          <w:rFonts w:hint="eastAsia" w:ascii="仿宋" w:hAnsi="仿宋" w:eastAsia="仿宋" w:cs="微软雅黑"/>
          <w:spacing w:val="8"/>
          <w:sz w:val="32"/>
          <w:szCs w:val="32"/>
          <w:shd w:val="clear" w:color="auto" w:fill="FFFFFF"/>
        </w:rPr>
        <w:t>部门开展第三方整体支出重点评价，涉及扶贫、教育、卫生、环保等多个领域。</w:t>
      </w:r>
      <w:bookmarkStart w:id="0" w:name="_GoBack"/>
      <w:bookmarkEnd w:id="0"/>
      <w:r>
        <w:rPr>
          <w:rFonts w:hint="eastAsia" w:ascii="仿宋" w:hAnsi="仿宋" w:eastAsia="仿宋" w:cs="微软雅黑"/>
          <w:spacing w:val="8"/>
          <w:sz w:val="32"/>
          <w:szCs w:val="32"/>
          <w:shd w:val="clear" w:color="auto" w:fill="FFFFFF"/>
        </w:rPr>
        <w:t>评价结束之后组织专家对第三方机构出具的绩效评价报告质量进行再评审，强化评价监督，考核第三方机构业务能力，实行入库、退出机制。将重点绩效评价结果反馈相关单位进行整改，部分绩效评价结果已经作为预算安排、改进管理和完善政策的重要依据。</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583"/>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2M2M3YjI2NDc4MzU0YmQ0MDUyNTQ5MjI4OGNhZDYifQ=="/>
  </w:docVars>
  <w:rsids>
    <w:rsidRoot w:val="0099469F"/>
    <w:rsid w:val="00003E65"/>
    <w:rsid w:val="0002490A"/>
    <w:rsid w:val="00057480"/>
    <w:rsid w:val="00063F5A"/>
    <w:rsid w:val="0015120A"/>
    <w:rsid w:val="00180216"/>
    <w:rsid w:val="001A3488"/>
    <w:rsid w:val="001E0722"/>
    <w:rsid w:val="00234AD1"/>
    <w:rsid w:val="002A3E0C"/>
    <w:rsid w:val="003018AC"/>
    <w:rsid w:val="0030666B"/>
    <w:rsid w:val="003132B3"/>
    <w:rsid w:val="00372160"/>
    <w:rsid w:val="003E7F30"/>
    <w:rsid w:val="00432A58"/>
    <w:rsid w:val="00446EA7"/>
    <w:rsid w:val="00475660"/>
    <w:rsid w:val="00536109"/>
    <w:rsid w:val="005F553A"/>
    <w:rsid w:val="00611F68"/>
    <w:rsid w:val="0062739E"/>
    <w:rsid w:val="00637A3B"/>
    <w:rsid w:val="006B6A5A"/>
    <w:rsid w:val="0075753D"/>
    <w:rsid w:val="007F0BAB"/>
    <w:rsid w:val="00852A92"/>
    <w:rsid w:val="0085617D"/>
    <w:rsid w:val="008B19C2"/>
    <w:rsid w:val="0091253E"/>
    <w:rsid w:val="0099469F"/>
    <w:rsid w:val="00A3340C"/>
    <w:rsid w:val="00A35FD5"/>
    <w:rsid w:val="00A36BDC"/>
    <w:rsid w:val="00A46976"/>
    <w:rsid w:val="00A61B50"/>
    <w:rsid w:val="00A76561"/>
    <w:rsid w:val="00A934FB"/>
    <w:rsid w:val="00AC1AFA"/>
    <w:rsid w:val="00B51548"/>
    <w:rsid w:val="00C041E4"/>
    <w:rsid w:val="00C37522"/>
    <w:rsid w:val="00D0625B"/>
    <w:rsid w:val="00D2796B"/>
    <w:rsid w:val="00D8353D"/>
    <w:rsid w:val="00D84489"/>
    <w:rsid w:val="00DB72E4"/>
    <w:rsid w:val="00E22C7E"/>
    <w:rsid w:val="00E57294"/>
    <w:rsid w:val="00EC23DB"/>
    <w:rsid w:val="00FA30D5"/>
    <w:rsid w:val="00FE210C"/>
    <w:rsid w:val="04E90B5B"/>
    <w:rsid w:val="06853C15"/>
    <w:rsid w:val="0F1F1245"/>
    <w:rsid w:val="0FF5544D"/>
    <w:rsid w:val="11627CCB"/>
    <w:rsid w:val="12F76018"/>
    <w:rsid w:val="13990CC3"/>
    <w:rsid w:val="15A44D56"/>
    <w:rsid w:val="186B24B6"/>
    <w:rsid w:val="18826EA4"/>
    <w:rsid w:val="210E39CB"/>
    <w:rsid w:val="23A6613D"/>
    <w:rsid w:val="23C14D25"/>
    <w:rsid w:val="242A77F8"/>
    <w:rsid w:val="271D04C4"/>
    <w:rsid w:val="28421A00"/>
    <w:rsid w:val="2ACD75BB"/>
    <w:rsid w:val="31666F0B"/>
    <w:rsid w:val="34030A42"/>
    <w:rsid w:val="36E7289C"/>
    <w:rsid w:val="3A3C2EFF"/>
    <w:rsid w:val="3D670293"/>
    <w:rsid w:val="3ECC2AA4"/>
    <w:rsid w:val="3FCD6CAD"/>
    <w:rsid w:val="4068749F"/>
    <w:rsid w:val="454F7F8B"/>
    <w:rsid w:val="4843694F"/>
    <w:rsid w:val="484A65D9"/>
    <w:rsid w:val="4E49752E"/>
    <w:rsid w:val="52707792"/>
    <w:rsid w:val="573A56C4"/>
    <w:rsid w:val="5A296BA4"/>
    <w:rsid w:val="5A8A5831"/>
    <w:rsid w:val="6017749F"/>
    <w:rsid w:val="60545FFD"/>
    <w:rsid w:val="61CF0031"/>
    <w:rsid w:val="64F16511"/>
    <w:rsid w:val="6FB95E7D"/>
    <w:rsid w:val="72442376"/>
    <w:rsid w:val="7AC7768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qFormat/>
    <w:uiPriority w:val="99"/>
    <w:pPr>
      <w:spacing w:beforeAutospacing="1" w:afterAutospacing="1"/>
      <w:jc w:val="left"/>
    </w:pPr>
    <w:rPr>
      <w:kern w:val="0"/>
      <w:sz w:val="24"/>
      <w:szCs w:val="24"/>
    </w:rPr>
  </w:style>
  <w:style w:type="table" w:styleId="6">
    <w:name w:val="Table Grid"/>
    <w:basedOn w:val="5"/>
    <w:qFormat/>
    <w:locked/>
    <w:uiPriority w:val="99"/>
    <w:pPr>
      <w:widowControl w:val="0"/>
      <w:spacing w:line="500" w:lineRule="exact"/>
      <w:jc w:val="both"/>
    </w:pPr>
    <w:rPr>
      <w:rFonts w:eastAsia="仿宋_GB2312" w:cs="Calibri"/>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99"/>
    <w:rPr>
      <w:rFonts w:cs="Calibri"/>
      <w:kern w:val="2"/>
      <w:sz w:val="18"/>
      <w:szCs w:val="18"/>
    </w:rPr>
  </w:style>
  <w:style w:type="character" w:customStyle="1" w:styleId="9">
    <w:name w:val="页脚 Char"/>
    <w:basedOn w:val="7"/>
    <w:link w:val="2"/>
    <w:qFormat/>
    <w:uiPriority w:val="99"/>
    <w:rPr>
      <w:rFonts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2</Pages>
  <Words>529</Words>
  <Characters>548</Characters>
  <Lines>6</Lines>
  <Paragraphs>1</Paragraphs>
  <TotalTime>0</TotalTime>
  <ScaleCrop>false</ScaleCrop>
  <LinksUpToDate>false</LinksUpToDate>
  <CharactersWithSpaces>549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2021-10-09T08:48:00Z</dcterms:created>
  <dc:creator>Administrator</dc:creator>
  <cp:lastModifiedBy>Administrator</cp:lastModifiedBy>
  <cp:lastPrinted>2017-06-16T03:16:00Z</cp:lastPrinted>
  <dcterms:modified xsi:type="dcterms:W3CDTF">2023-04-27T06:48:33Z</dcterms:modified>
  <dc:title>随财公开〔2017〕3号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1ED74BD23BB04D62BF66F703772AEF35</vt:lpwstr>
  </property>
</Properties>
</file>