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5" w:lineRule="auto"/>
        <w:ind w:left="35"/>
        <w:rPr>
          <w:rFonts w:ascii="黑体" w:hAnsi="黑体" w:eastAsia="黑体" w:cs="黑体"/>
          <w:spacing w:val="-10"/>
          <w:sz w:val="32"/>
          <w:szCs w:val="32"/>
          <w:highlight w:val="none"/>
        </w:rPr>
      </w:pPr>
      <w:r>
        <w:rPr>
          <w:rFonts w:ascii="黑体" w:hAnsi="黑体" w:eastAsia="黑体" w:cs="黑体"/>
          <w:spacing w:val="-10"/>
          <w:sz w:val="32"/>
          <w:szCs w:val="32"/>
          <w:highlight w:val="none"/>
        </w:rPr>
        <w:t>附件3</w:t>
      </w:r>
    </w:p>
    <w:p>
      <w:pPr>
        <w:spacing w:before="104" w:line="225" w:lineRule="auto"/>
        <w:ind w:left="35"/>
        <w:rPr>
          <w:rFonts w:ascii="黑体" w:hAnsi="黑体" w:eastAsia="黑体" w:cs="黑体"/>
          <w:spacing w:val="-1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2" w:lineRule="auto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  <w:highlight w:val="none"/>
          <w:lang w:val="en-US" w:eastAsia="zh-CN"/>
        </w:rPr>
        <w:t>随州高新区各相关单位</w:t>
      </w: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  <w:highlight w:val="none"/>
        </w:rPr>
        <w:t>惠企政策发言人名单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2" w:lineRule="auto"/>
        <w:ind w:left="0"/>
        <w:jc w:val="center"/>
        <w:textAlignment w:val="baseline"/>
        <w:rPr>
          <w:rFonts w:hint="eastAsia" w:ascii="仿宋_GB2312" w:hAnsi="仿宋_GB2312" w:eastAsia="仿宋_GB2312" w:cs="仿宋_GB2312"/>
          <w:spacing w:val="-1"/>
          <w:sz w:val="32"/>
          <w:szCs w:val="32"/>
          <w:highlight w:val="none"/>
        </w:rPr>
      </w:pPr>
    </w:p>
    <w:p>
      <w:pPr>
        <w:spacing w:line="23" w:lineRule="exact"/>
        <w:rPr>
          <w:highlight w:val="none"/>
        </w:rPr>
      </w:pPr>
    </w:p>
    <w:tbl>
      <w:tblPr>
        <w:tblStyle w:val="6"/>
        <w:tblW w:w="885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2753"/>
        <w:gridCol w:w="2295"/>
        <w:gridCol w:w="29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04" w:type="dxa"/>
            <w:vAlign w:val="center"/>
          </w:tcPr>
          <w:p>
            <w:pPr>
              <w:spacing w:before="187" w:line="223" w:lineRule="auto"/>
              <w:ind w:left="157"/>
              <w:jc w:val="center"/>
              <w:rPr>
                <w:rFonts w:ascii="黑体" w:hAnsi="黑体" w:eastAsia="黑体" w:cs="黑体"/>
                <w:sz w:val="32"/>
                <w:szCs w:val="32"/>
                <w:highlight w:val="none"/>
              </w:rPr>
            </w:pPr>
            <w:r>
              <w:rPr>
                <w:rFonts w:ascii="黑体" w:hAnsi="黑体" w:eastAsia="黑体" w:cs="黑体"/>
                <w:spacing w:val="-3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2753" w:type="dxa"/>
            <w:vAlign w:val="center"/>
          </w:tcPr>
          <w:p>
            <w:pPr>
              <w:spacing w:before="187" w:line="222" w:lineRule="auto"/>
              <w:jc w:val="center"/>
              <w:rPr>
                <w:rFonts w:ascii="黑体" w:hAnsi="黑体" w:eastAsia="黑体" w:cs="黑体"/>
                <w:sz w:val="32"/>
                <w:szCs w:val="32"/>
                <w:highlight w:val="none"/>
              </w:rPr>
            </w:pPr>
            <w:r>
              <w:rPr>
                <w:rFonts w:ascii="黑体" w:hAnsi="黑体" w:eastAsia="黑体" w:cs="黑体"/>
                <w:spacing w:val="-4"/>
                <w:sz w:val="32"/>
                <w:szCs w:val="32"/>
                <w:highlight w:val="none"/>
              </w:rPr>
              <w:t>单位</w:t>
            </w:r>
          </w:p>
        </w:tc>
        <w:tc>
          <w:tcPr>
            <w:tcW w:w="2295" w:type="dxa"/>
            <w:vAlign w:val="center"/>
          </w:tcPr>
          <w:p>
            <w:pPr>
              <w:spacing w:before="33"/>
              <w:jc w:val="center"/>
              <w:rPr>
                <w:rFonts w:ascii="黑体" w:hAnsi="黑体" w:eastAsia="黑体" w:cs="黑体"/>
                <w:sz w:val="32"/>
                <w:szCs w:val="32"/>
                <w:highlight w:val="none"/>
              </w:rPr>
            </w:pPr>
            <w:r>
              <w:rPr>
                <w:rFonts w:ascii="黑体" w:hAnsi="黑体" w:eastAsia="黑体" w:cs="黑体"/>
                <w:spacing w:val="-3"/>
                <w:sz w:val="32"/>
                <w:szCs w:val="32"/>
                <w:highlight w:val="none"/>
              </w:rPr>
              <w:t>惠企政策发言人</w:t>
            </w:r>
          </w:p>
        </w:tc>
        <w:tc>
          <w:tcPr>
            <w:tcW w:w="2998" w:type="dxa"/>
            <w:vAlign w:val="center"/>
          </w:tcPr>
          <w:p>
            <w:pPr>
              <w:spacing w:before="187" w:line="221" w:lineRule="auto"/>
              <w:jc w:val="center"/>
              <w:rPr>
                <w:rFonts w:ascii="黑体" w:hAnsi="黑体" w:eastAsia="黑体" w:cs="黑体"/>
                <w:sz w:val="32"/>
                <w:szCs w:val="32"/>
                <w:highlight w:val="none"/>
              </w:rPr>
            </w:pPr>
            <w:r>
              <w:rPr>
                <w:rFonts w:ascii="黑体" w:hAnsi="黑体" w:eastAsia="黑体" w:cs="黑体"/>
                <w:spacing w:val="-3"/>
                <w:sz w:val="32"/>
                <w:szCs w:val="32"/>
                <w:highlight w:val="none"/>
              </w:rPr>
              <w:t>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2" w:hRule="atLeast"/>
        </w:trPr>
        <w:tc>
          <w:tcPr>
            <w:tcW w:w="804" w:type="dxa"/>
            <w:vAlign w:val="center"/>
          </w:tcPr>
          <w:p>
            <w:pPr>
              <w:spacing w:before="92" w:line="183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2753" w:type="dxa"/>
            <w:vAlign w:val="center"/>
          </w:tcPr>
          <w:p>
            <w:pPr>
              <w:spacing w:before="58" w:line="22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highlight w:val="none"/>
                <w:lang w:val="en-US" w:eastAsia="zh-CN"/>
              </w:rPr>
              <w:t>区经济发展局</w:t>
            </w:r>
          </w:p>
        </w:tc>
        <w:tc>
          <w:tcPr>
            <w:tcW w:w="2295" w:type="dxa"/>
            <w:vAlign w:val="center"/>
          </w:tcPr>
          <w:p>
            <w:pPr>
              <w:spacing w:before="57" w:line="22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方旖旎</w:t>
            </w:r>
          </w:p>
          <w:p>
            <w:pPr>
              <w:spacing w:before="57" w:line="22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李  灵</w:t>
            </w:r>
          </w:p>
        </w:tc>
        <w:tc>
          <w:tcPr>
            <w:tcW w:w="2998" w:type="dxa"/>
            <w:vAlign w:val="center"/>
          </w:tcPr>
          <w:p>
            <w:pPr>
              <w:spacing w:before="57" w:line="22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经信负责人</w:t>
            </w:r>
          </w:p>
          <w:p>
            <w:pPr>
              <w:spacing w:before="57" w:line="22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商务负责人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4" w:type="dxa"/>
            <w:vAlign w:val="center"/>
          </w:tcPr>
          <w:p>
            <w:pPr>
              <w:spacing w:before="93" w:line="182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2753" w:type="dxa"/>
            <w:vAlign w:val="center"/>
          </w:tcPr>
          <w:p>
            <w:pPr>
              <w:spacing w:before="57" w:line="22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highlight w:val="none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highlight w:val="none"/>
              </w:rPr>
              <w:t>科技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highlight w:val="none"/>
                <w:lang w:val="en-US" w:eastAsia="zh-CN"/>
              </w:rPr>
              <w:t>创新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highlight w:val="none"/>
              </w:rPr>
              <w:t>局</w:t>
            </w:r>
          </w:p>
        </w:tc>
        <w:tc>
          <w:tcPr>
            <w:tcW w:w="2295" w:type="dxa"/>
            <w:vAlign w:val="center"/>
          </w:tcPr>
          <w:p>
            <w:pPr>
              <w:spacing w:before="58" w:line="22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熊秋菊</w:t>
            </w:r>
          </w:p>
        </w:tc>
        <w:tc>
          <w:tcPr>
            <w:tcW w:w="2998" w:type="dxa"/>
            <w:vAlign w:val="center"/>
          </w:tcPr>
          <w:p>
            <w:pPr>
              <w:spacing w:before="57" w:line="22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科技/火炬统计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4" w:type="dxa"/>
            <w:vAlign w:val="center"/>
          </w:tcPr>
          <w:p>
            <w:pPr>
              <w:spacing w:before="96" w:line="18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2753" w:type="dxa"/>
            <w:vAlign w:val="center"/>
          </w:tcPr>
          <w:p>
            <w:pPr>
              <w:spacing w:before="59" w:line="22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highlight w:val="none"/>
                <w:lang w:val="en-US" w:eastAsia="zh-CN"/>
              </w:rPr>
              <w:t>区财政金融局</w:t>
            </w:r>
          </w:p>
        </w:tc>
        <w:tc>
          <w:tcPr>
            <w:tcW w:w="2295" w:type="dxa"/>
            <w:vAlign w:val="center"/>
          </w:tcPr>
          <w:p>
            <w:pPr>
              <w:spacing w:before="59" w:line="22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刘  伟</w:t>
            </w:r>
          </w:p>
        </w:tc>
        <w:tc>
          <w:tcPr>
            <w:tcW w:w="2998" w:type="dxa"/>
            <w:vAlign w:val="center"/>
          </w:tcPr>
          <w:p>
            <w:pPr>
              <w:spacing w:before="59" w:line="22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农业科科长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4" w:type="dxa"/>
            <w:vAlign w:val="center"/>
          </w:tcPr>
          <w:p>
            <w:pPr>
              <w:spacing w:before="96" w:line="182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2753" w:type="dxa"/>
            <w:vAlign w:val="center"/>
          </w:tcPr>
          <w:p>
            <w:pPr>
              <w:spacing w:before="61" w:line="22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highlight w:val="none"/>
                <w:lang w:val="en-US" w:eastAsia="zh-CN"/>
              </w:rPr>
              <w:t>区规划建设局</w:t>
            </w:r>
          </w:p>
        </w:tc>
        <w:tc>
          <w:tcPr>
            <w:tcW w:w="2295" w:type="dxa"/>
            <w:vAlign w:val="center"/>
          </w:tcPr>
          <w:p>
            <w:pPr>
              <w:spacing w:before="60" w:line="223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吴强国</w:t>
            </w:r>
          </w:p>
        </w:tc>
        <w:tc>
          <w:tcPr>
            <w:tcW w:w="2998" w:type="dxa"/>
            <w:vAlign w:val="center"/>
          </w:tcPr>
          <w:p>
            <w:pPr>
              <w:spacing w:before="61" w:line="22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市场管理负责人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04" w:type="dxa"/>
            <w:vAlign w:val="center"/>
          </w:tcPr>
          <w:p>
            <w:pPr>
              <w:spacing w:before="96" w:line="183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2753" w:type="dxa"/>
            <w:vAlign w:val="center"/>
          </w:tcPr>
          <w:p>
            <w:pPr>
              <w:spacing w:before="62" w:line="22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区招商投资促进中心</w:t>
            </w:r>
          </w:p>
        </w:tc>
        <w:tc>
          <w:tcPr>
            <w:tcW w:w="2295" w:type="dxa"/>
            <w:vAlign w:val="center"/>
          </w:tcPr>
          <w:p>
            <w:pPr>
              <w:spacing w:before="62" w:line="22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李思颖</w:t>
            </w:r>
          </w:p>
        </w:tc>
        <w:tc>
          <w:tcPr>
            <w:tcW w:w="2998" w:type="dxa"/>
            <w:vAlign w:val="center"/>
          </w:tcPr>
          <w:p>
            <w:pPr>
              <w:spacing w:before="61" w:line="221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招商引资科副科长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4" w:type="dxa"/>
            <w:vAlign w:val="center"/>
          </w:tcPr>
          <w:p>
            <w:pPr>
              <w:spacing w:before="96" w:line="183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2753" w:type="dxa"/>
            <w:vAlign w:val="center"/>
          </w:tcPr>
          <w:p>
            <w:pPr>
              <w:spacing w:before="62" w:line="22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区政务服务中心</w:t>
            </w:r>
          </w:p>
        </w:tc>
        <w:tc>
          <w:tcPr>
            <w:tcW w:w="2295" w:type="dxa"/>
            <w:vAlign w:val="center"/>
          </w:tcPr>
          <w:p>
            <w:pPr>
              <w:spacing w:before="62" w:line="22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刘  群</w:t>
            </w:r>
          </w:p>
        </w:tc>
        <w:tc>
          <w:tcPr>
            <w:tcW w:w="2998" w:type="dxa"/>
            <w:vAlign w:val="center"/>
          </w:tcPr>
          <w:p>
            <w:pPr>
              <w:spacing w:before="62" w:line="22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大数据管理负责人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4" w:type="dxa"/>
            <w:vAlign w:val="center"/>
          </w:tcPr>
          <w:p>
            <w:pPr>
              <w:spacing w:before="96" w:line="183" w:lineRule="auto"/>
              <w:jc w:val="center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2753" w:type="dxa"/>
            <w:vAlign w:val="center"/>
          </w:tcPr>
          <w:p>
            <w:pPr>
              <w:spacing w:before="62" w:line="22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区税务局</w:t>
            </w:r>
          </w:p>
        </w:tc>
        <w:tc>
          <w:tcPr>
            <w:tcW w:w="2295" w:type="dxa"/>
            <w:vAlign w:val="center"/>
          </w:tcPr>
          <w:p>
            <w:pPr>
              <w:spacing w:before="62" w:line="22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石  璠</w:t>
            </w:r>
          </w:p>
        </w:tc>
        <w:tc>
          <w:tcPr>
            <w:tcW w:w="2998" w:type="dxa"/>
            <w:vAlign w:val="center"/>
          </w:tcPr>
          <w:p>
            <w:pPr>
              <w:spacing w:before="62" w:line="22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税政股副股长</w:t>
            </w: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62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  <w:highlight w:val="none"/>
        </w:rPr>
        <w:t>“惠企政策发言人”的具体职责：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1.及时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惠企政策，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highlight w:val="none"/>
        </w:rPr>
        <w:t>牵头建立惠企政策台账，及时动态更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highlight w:val="none"/>
          <w:lang w:val="en-US" w:eastAsia="zh-CN"/>
        </w:rPr>
        <w:t>新；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2.做好惠企政策解读工作，单个部门制定的政策，由制定部门的“惠企政策发言人”负责实施解读工作；多个部门共同制定的，由牵头部门“惠企政策发言人”组织开展解读工作，其他相关部门做好配合工作；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3.牵头做好惠企政策解读材料编写工作，对政策内容、适用对象、适用时间、申报条件、申请材料等方面进行解读，帮助市场主体用足用好惠企政策；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4.创新惠企政策解读方式，充分发挥政府官方网站、新媒体等重要载体宣传作用，综合运用政策问答、图文漫画、短视频等形式开展多元化解读；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5.做好惠企政策问题咨询解答，严格落实“首问负责”“限时答复”，对能够当场解答的问题，应当场解答；对无法当场解答的问题，要及时联系相关业务负责人，在2个工作日内予以答复，辅导帮助市场主体进行惠企政策申报；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6.做好惠企政策意见建议收集，在惠企政策解读、解答过程中，认真听取市场主体的意见建议，及时反馈至政策制定部门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420" w:firstLineChars="200"/>
        <w:textAlignment w:val="baseline"/>
        <w:rPr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420" w:firstLineChars="200"/>
        <w:textAlignment w:val="baseline"/>
        <w:rPr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right="0" w:firstLine="420" w:firstLineChars="200"/>
        <w:textAlignment w:val="baseline"/>
        <w:rPr>
          <w:highlight w:val="none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MjMxNjUxNzc4MDhhNmI5MTdjZDQ1OTEzMzY3YmYifQ=="/>
  </w:docVars>
  <w:rsids>
    <w:rsidRoot w:val="4E1F6B7C"/>
    <w:rsid w:val="4E1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2023-11-02T07:40:00Z</dcterms:created>
  <dc:creator>PC</dc:creator>
  <cp:lastModifiedBy>PC</cp:lastModifiedBy>
  <dcterms:modified xsi:type="dcterms:W3CDTF">2023-11-02T07:41:24Z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4736B850ECF74CFB8BC0F31027A63665_11</vt:lpwstr>
  </property>
</Properties>
</file>